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DBC1B">
      <w:pPr>
        <w:spacing w:line="360" w:lineRule="auto"/>
        <w:jc w:val="center"/>
        <w:rPr>
          <w:rFonts w:ascii="宋体" w:hAnsi="宋体"/>
          <w:kern w:val="0"/>
          <w:sz w:val="32"/>
          <w:szCs w:val="32"/>
        </w:rPr>
      </w:pPr>
      <w:bookmarkStart w:id="0" w:name="_Toc287620665"/>
      <w:r>
        <w:rPr>
          <w:rFonts w:hint="eastAsia" w:ascii="宋体" w:hAnsi="宋体"/>
          <w:kern w:val="0"/>
          <w:sz w:val="36"/>
          <w:szCs w:val="36"/>
          <w:lang w:val="en-US" w:eastAsia="zh-CN"/>
        </w:rPr>
        <w:t>北山摩崖造像之妙高山摩崖造像妙高寺正殿保护修缮工程</w:t>
      </w:r>
    </w:p>
    <w:p w14:paraId="6209B8F0">
      <w:pPr>
        <w:autoSpaceDE w:val="0"/>
        <w:autoSpaceDN w:val="0"/>
        <w:adjustRightInd w:val="0"/>
        <w:snapToGrid w:val="0"/>
        <w:spacing w:line="360" w:lineRule="auto"/>
        <w:jc w:val="left"/>
        <w:rPr>
          <w:rFonts w:ascii="宋体" w:hAnsi="宋体"/>
          <w:kern w:val="0"/>
          <w:sz w:val="20"/>
          <w:szCs w:val="20"/>
        </w:rPr>
      </w:pPr>
    </w:p>
    <w:p w14:paraId="5A2A770B">
      <w:pPr>
        <w:autoSpaceDE w:val="0"/>
        <w:autoSpaceDN w:val="0"/>
        <w:adjustRightInd w:val="0"/>
        <w:snapToGrid w:val="0"/>
        <w:spacing w:line="360" w:lineRule="auto"/>
        <w:jc w:val="left"/>
        <w:rPr>
          <w:rFonts w:ascii="宋体" w:hAnsi="宋体"/>
          <w:kern w:val="0"/>
          <w:sz w:val="20"/>
          <w:szCs w:val="20"/>
        </w:rPr>
      </w:pPr>
    </w:p>
    <w:p w14:paraId="689132DD">
      <w:pPr>
        <w:autoSpaceDE w:val="0"/>
        <w:autoSpaceDN w:val="0"/>
        <w:adjustRightInd w:val="0"/>
        <w:snapToGrid w:val="0"/>
        <w:spacing w:line="360" w:lineRule="auto"/>
        <w:jc w:val="left"/>
        <w:rPr>
          <w:rFonts w:ascii="宋体" w:hAnsi="宋体"/>
          <w:kern w:val="0"/>
          <w:sz w:val="20"/>
          <w:szCs w:val="20"/>
        </w:rPr>
      </w:pPr>
    </w:p>
    <w:p w14:paraId="74066AA7">
      <w:pPr>
        <w:autoSpaceDE w:val="0"/>
        <w:autoSpaceDN w:val="0"/>
        <w:adjustRightInd w:val="0"/>
        <w:snapToGrid w:val="0"/>
        <w:spacing w:line="360" w:lineRule="auto"/>
        <w:jc w:val="left"/>
        <w:rPr>
          <w:rFonts w:ascii="宋体" w:hAnsi="宋体"/>
          <w:kern w:val="0"/>
          <w:sz w:val="20"/>
          <w:szCs w:val="20"/>
        </w:rPr>
      </w:pPr>
    </w:p>
    <w:p w14:paraId="41318B25">
      <w:pPr>
        <w:autoSpaceDE w:val="0"/>
        <w:autoSpaceDN w:val="0"/>
        <w:adjustRightInd w:val="0"/>
        <w:snapToGrid w:val="0"/>
        <w:spacing w:line="360" w:lineRule="auto"/>
        <w:jc w:val="left"/>
        <w:rPr>
          <w:rFonts w:ascii="宋体" w:hAnsi="宋体"/>
          <w:kern w:val="0"/>
          <w:sz w:val="20"/>
          <w:szCs w:val="20"/>
        </w:rPr>
      </w:pPr>
    </w:p>
    <w:p w14:paraId="334A875B">
      <w:pPr>
        <w:autoSpaceDE w:val="0"/>
        <w:autoSpaceDN w:val="0"/>
        <w:adjustRightInd w:val="0"/>
        <w:snapToGrid w:val="0"/>
        <w:spacing w:line="360" w:lineRule="auto"/>
        <w:jc w:val="left"/>
        <w:rPr>
          <w:rFonts w:ascii="宋体" w:hAnsi="宋体"/>
          <w:kern w:val="0"/>
          <w:sz w:val="20"/>
          <w:szCs w:val="20"/>
        </w:rPr>
      </w:pPr>
    </w:p>
    <w:p w14:paraId="70C1A226">
      <w:pPr>
        <w:autoSpaceDE w:val="0"/>
        <w:autoSpaceDN w:val="0"/>
        <w:adjustRightInd w:val="0"/>
        <w:snapToGrid w:val="0"/>
        <w:spacing w:line="360" w:lineRule="auto"/>
        <w:jc w:val="center"/>
        <w:rPr>
          <w:rFonts w:ascii="宋体" w:hAnsi="宋体"/>
          <w:kern w:val="0"/>
          <w:sz w:val="72"/>
          <w:szCs w:val="72"/>
        </w:rPr>
      </w:pPr>
    </w:p>
    <w:p w14:paraId="5CD1BC9C">
      <w:pPr>
        <w:autoSpaceDE w:val="0"/>
        <w:autoSpaceDN w:val="0"/>
        <w:adjustRightInd w:val="0"/>
        <w:snapToGrid w:val="0"/>
        <w:spacing w:line="360" w:lineRule="auto"/>
        <w:jc w:val="both"/>
        <w:rPr>
          <w:rFonts w:ascii="宋体" w:hAnsi="宋体"/>
          <w:kern w:val="0"/>
          <w:sz w:val="72"/>
          <w:szCs w:val="72"/>
        </w:rPr>
      </w:pPr>
    </w:p>
    <w:p w14:paraId="3F70AFB1">
      <w:pPr>
        <w:autoSpaceDE w:val="0"/>
        <w:autoSpaceDN w:val="0"/>
        <w:adjustRightInd w:val="0"/>
        <w:snapToGrid w:val="0"/>
        <w:spacing w:line="360" w:lineRule="auto"/>
        <w:jc w:val="center"/>
        <w:rPr>
          <w:rFonts w:ascii="宋体" w:hAnsi="宋体"/>
          <w:kern w:val="0"/>
          <w:sz w:val="72"/>
          <w:szCs w:val="72"/>
        </w:rPr>
      </w:pPr>
      <w:r>
        <w:rPr>
          <w:rFonts w:ascii="宋体" w:hAnsi="宋体"/>
          <w:kern w:val="0"/>
          <w:sz w:val="72"/>
          <w:szCs w:val="72"/>
        </w:rPr>
        <w:t>施</w:t>
      </w:r>
      <w:r>
        <w:rPr>
          <w:rFonts w:hint="eastAsia" w:ascii="宋体" w:hAnsi="宋体"/>
          <w:kern w:val="0"/>
          <w:sz w:val="72"/>
          <w:szCs w:val="72"/>
        </w:rPr>
        <w:t xml:space="preserve"> </w:t>
      </w:r>
      <w:r>
        <w:rPr>
          <w:rFonts w:ascii="宋体" w:hAnsi="宋体"/>
          <w:kern w:val="0"/>
          <w:sz w:val="72"/>
          <w:szCs w:val="72"/>
        </w:rPr>
        <w:t>工</w:t>
      </w:r>
      <w:r>
        <w:rPr>
          <w:rFonts w:hint="eastAsia" w:ascii="宋体" w:hAnsi="宋体"/>
          <w:kern w:val="0"/>
          <w:sz w:val="72"/>
          <w:szCs w:val="72"/>
        </w:rPr>
        <w:t xml:space="preserve"> </w:t>
      </w:r>
      <w:r>
        <w:rPr>
          <w:rFonts w:ascii="宋体" w:hAnsi="宋体"/>
          <w:kern w:val="0"/>
          <w:sz w:val="72"/>
          <w:szCs w:val="72"/>
        </w:rPr>
        <w:t>招</w:t>
      </w:r>
      <w:r>
        <w:rPr>
          <w:rFonts w:hint="eastAsia" w:ascii="宋体" w:hAnsi="宋体"/>
          <w:kern w:val="0"/>
          <w:sz w:val="72"/>
          <w:szCs w:val="72"/>
        </w:rPr>
        <w:t xml:space="preserve"> </w:t>
      </w:r>
      <w:r>
        <w:rPr>
          <w:rFonts w:ascii="宋体" w:hAnsi="宋体"/>
          <w:kern w:val="0"/>
          <w:sz w:val="72"/>
          <w:szCs w:val="72"/>
        </w:rPr>
        <w:t>标</w:t>
      </w:r>
      <w:r>
        <w:rPr>
          <w:rFonts w:hint="eastAsia" w:ascii="宋体" w:hAnsi="宋体"/>
          <w:kern w:val="0"/>
          <w:sz w:val="72"/>
          <w:szCs w:val="72"/>
        </w:rPr>
        <w:t xml:space="preserve"> </w:t>
      </w:r>
      <w:r>
        <w:rPr>
          <w:rFonts w:ascii="宋体" w:hAnsi="宋体"/>
          <w:kern w:val="0"/>
          <w:sz w:val="72"/>
          <w:szCs w:val="72"/>
        </w:rPr>
        <w:t>文</w:t>
      </w:r>
      <w:r>
        <w:rPr>
          <w:rFonts w:hint="eastAsia" w:ascii="宋体" w:hAnsi="宋体"/>
          <w:kern w:val="0"/>
          <w:sz w:val="72"/>
          <w:szCs w:val="72"/>
        </w:rPr>
        <w:t xml:space="preserve"> </w:t>
      </w:r>
      <w:r>
        <w:rPr>
          <w:rFonts w:ascii="宋体" w:hAnsi="宋体"/>
          <w:kern w:val="0"/>
          <w:sz w:val="72"/>
          <w:szCs w:val="72"/>
        </w:rPr>
        <w:t>件</w:t>
      </w:r>
    </w:p>
    <w:p w14:paraId="1EDB19DD">
      <w:pPr>
        <w:autoSpaceDE w:val="0"/>
        <w:autoSpaceDN w:val="0"/>
        <w:adjustRightInd w:val="0"/>
        <w:snapToGrid w:val="0"/>
        <w:spacing w:line="360" w:lineRule="auto"/>
        <w:jc w:val="left"/>
        <w:rPr>
          <w:rFonts w:ascii="宋体" w:hAnsi="宋体"/>
          <w:kern w:val="0"/>
          <w:sz w:val="10"/>
          <w:szCs w:val="10"/>
        </w:rPr>
      </w:pPr>
    </w:p>
    <w:p w14:paraId="332D29DF">
      <w:pPr>
        <w:autoSpaceDE w:val="0"/>
        <w:autoSpaceDN w:val="0"/>
        <w:adjustRightInd w:val="0"/>
        <w:snapToGrid w:val="0"/>
        <w:spacing w:line="360" w:lineRule="auto"/>
        <w:jc w:val="left"/>
        <w:rPr>
          <w:rFonts w:ascii="宋体" w:hAnsi="宋体"/>
          <w:kern w:val="0"/>
          <w:sz w:val="20"/>
          <w:szCs w:val="20"/>
        </w:rPr>
      </w:pPr>
    </w:p>
    <w:p w14:paraId="5A4C009D">
      <w:pPr>
        <w:autoSpaceDE w:val="0"/>
        <w:autoSpaceDN w:val="0"/>
        <w:adjustRightInd w:val="0"/>
        <w:snapToGrid w:val="0"/>
        <w:spacing w:line="360" w:lineRule="auto"/>
        <w:jc w:val="left"/>
        <w:rPr>
          <w:rFonts w:ascii="宋体" w:hAnsi="宋体"/>
          <w:kern w:val="0"/>
          <w:sz w:val="20"/>
          <w:szCs w:val="20"/>
        </w:rPr>
      </w:pPr>
    </w:p>
    <w:p w14:paraId="351AAF47">
      <w:pPr>
        <w:autoSpaceDE w:val="0"/>
        <w:autoSpaceDN w:val="0"/>
        <w:adjustRightInd w:val="0"/>
        <w:snapToGrid w:val="0"/>
        <w:spacing w:line="360" w:lineRule="auto"/>
        <w:jc w:val="left"/>
        <w:rPr>
          <w:rFonts w:ascii="宋体" w:hAnsi="宋体"/>
          <w:kern w:val="0"/>
          <w:sz w:val="20"/>
          <w:szCs w:val="20"/>
        </w:rPr>
      </w:pPr>
    </w:p>
    <w:p w14:paraId="65D9B15F">
      <w:pPr>
        <w:autoSpaceDE w:val="0"/>
        <w:autoSpaceDN w:val="0"/>
        <w:adjustRightInd w:val="0"/>
        <w:snapToGrid w:val="0"/>
        <w:spacing w:line="360" w:lineRule="auto"/>
        <w:jc w:val="left"/>
        <w:rPr>
          <w:rFonts w:ascii="宋体" w:hAnsi="宋体"/>
          <w:kern w:val="0"/>
          <w:sz w:val="20"/>
          <w:szCs w:val="20"/>
        </w:rPr>
      </w:pPr>
    </w:p>
    <w:p w14:paraId="1289BC65">
      <w:pPr>
        <w:autoSpaceDE w:val="0"/>
        <w:autoSpaceDN w:val="0"/>
        <w:adjustRightInd w:val="0"/>
        <w:snapToGrid w:val="0"/>
        <w:spacing w:line="360" w:lineRule="auto"/>
        <w:jc w:val="left"/>
        <w:rPr>
          <w:rFonts w:ascii="宋体" w:hAnsi="宋体"/>
          <w:kern w:val="0"/>
          <w:sz w:val="20"/>
          <w:szCs w:val="20"/>
        </w:rPr>
      </w:pPr>
    </w:p>
    <w:p w14:paraId="0176DC98">
      <w:pPr>
        <w:autoSpaceDE w:val="0"/>
        <w:autoSpaceDN w:val="0"/>
        <w:adjustRightInd w:val="0"/>
        <w:snapToGrid w:val="0"/>
        <w:spacing w:line="360" w:lineRule="auto"/>
        <w:jc w:val="left"/>
        <w:rPr>
          <w:rFonts w:ascii="宋体" w:hAnsi="宋体"/>
          <w:kern w:val="0"/>
          <w:sz w:val="20"/>
          <w:szCs w:val="20"/>
        </w:rPr>
      </w:pPr>
    </w:p>
    <w:p w14:paraId="25B61B26">
      <w:pPr>
        <w:autoSpaceDE w:val="0"/>
        <w:autoSpaceDN w:val="0"/>
        <w:adjustRightInd w:val="0"/>
        <w:snapToGrid w:val="0"/>
        <w:spacing w:line="360" w:lineRule="auto"/>
        <w:jc w:val="left"/>
        <w:rPr>
          <w:rFonts w:ascii="宋体" w:hAnsi="宋体"/>
          <w:kern w:val="0"/>
          <w:sz w:val="20"/>
          <w:szCs w:val="20"/>
        </w:rPr>
      </w:pPr>
    </w:p>
    <w:p w14:paraId="06951A4D">
      <w:pPr>
        <w:autoSpaceDE w:val="0"/>
        <w:autoSpaceDN w:val="0"/>
        <w:adjustRightInd w:val="0"/>
        <w:snapToGrid w:val="0"/>
        <w:spacing w:line="360" w:lineRule="auto"/>
        <w:rPr>
          <w:rFonts w:ascii="宋体" w:hAnsi="宋体"/>
          <w:kern w:val="0"/>
          <w:sz w:val="20"/>
          <w:szCs w:val="20"/>
        </w:rPr>
      </w:pPr>
    </w:p>
    <w:p w14:paraId="451F4893">
      <w:pPr>
        <w:pStyle w:val="2"/>
      </w:pPr>
    </w:p>
    <w:p w14:paraId="4B7E57FF">
      <w:pPr>
        <w:autoSpaceDE w:val="0"/>
        <w:autoSpaceDN w:val="0"/>
        <w:adjustRightInd w:val="0"/>
        <w:snapToGrid w:val="0"/>
        <w:spacing w:line="360" w:lineRule="auto"/>
        <w:jc w:val="left"/>
        <w:rPr>
          <w:rFonts w:ascii="宋体" w:hAnsi="宋体"/>
          <w:kern w:val="0"/>
          <w:sz w:val="20"/>
          <w:szCs w:val="20"/>
        </w:rPr>
      </w:pPr>
    </w:p>
    <w:p w14:paraId="7CFCDE59">
      <w:pPr>
        <w:autoSpaceDE w:val="0"/>
        <w:autoSpaceDN w:val="0"/>
        <w:adjustRightInd w:val="0"/>
        <w:snapToGrid w:val="0"/>
        <w:spacing w:line="360" w:lineRule="auto"/>
        <w:rPr>
          <w:rFonts w:ascii="宋体" w:hAnsi="宋体"/>
          <w:kern w:val="0"/>
          <w:sz w:val="20"/>
          <w:szCs w:val="20"/>
        </w:rPr>
      </w:pPr>
    </w:p>
    <w:p w14:paraId="106BCA6B">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w w:val="99"/>
          <w:kern w:val="0"/>
          <w:sz w:val="28"/>
          <w:szCs w:val="28"/>
        </w:rPr>
        <w:t>招</w:t>
      </w:r>
      <w:r>
        <w:rPr>
          <w:rFonts w:hint="eastAsia" w:ascii="宋体" w:hAnsi="宋体"/>
          <w:bCs/>
          <w:w w:val="99"/>
          <w:kern w:val="0"/>
          <w:sz w:val="28"/>
          <w:szCs w:val="28"/>
        </w:rPr>
        <w:t xml:space="preserve">   </w:t>
      </w:r>
      <w:r>
        <w:rPr>
          <w:rFonts w:ascii="宋体" w:hAnsi="宋体"/>
          <w:bCs/>
          <w:w w:val="99"/>
          <w:kern w:val="0"/>
          <w:sz w:val="28"/>
          <w:szCs w:val="28"/>
        </w:rPr>
        <w:t>标</w:t>
      </w:r>
      <w:r>
        <w:rPr>
          <w:rFonts w:hint="eastAsia" w:ascii="宋体" w:hAnsi="宋体"/>
          <w:bCs/>
          <w:w w:val="99"/>
          <w:kern w:val="0"/>
          <w:sz w:val="28"/>
          <w:szCs w:val="28"/>
        </w:rPr>
        <w:t xml:space="preserve">   </w:t>
      </w:r>
      <w:r>
        <w:rPr>
          <w:rFonts w:ascii="宋体" w:hAnsi="宋体"/>
          <w:bCs/>
          <w:w w:val="99"/>
          <w:kern w:val="0"/>
          <w:sz w:val="28"/>
          <w:szCs w:val="28"/>
        </w:rPr>
        <w:t>人：</w:t>
      </w:r>
      <w:r>
        <w:rPr>
          <w:rFonts w:hint="eastAsia" w:ascii="宋体" w:hAnsi="宋体"/>
          <w:bCs/>
          <w:w w:val="99"/>
          <w:kern w:val="0"/>
          <w:sz w:val="28"/>
          <w:szCs w:val="28"/>
          <w:u w:val="single"/>
          <w:lang w:val="en-US" w:eastAsia="zh-CN"/>
        </w:rPr>
        <w:t xml:space="preserve"> 大足石刻研究院 </w:t>
      </w:r>
      <w:r>
        <w:rPr>
          <w:rFonts w:ascii="宋体" w:hAnsi="宋体"/>
          <w:bCs/>
          <w:w w:val="99"/>
          <w:kern w:val="0"/>
          <w:sz w:val="28"/>
          <w:szCs w:val="28"/>
        </w:rPr>
        <w:t>（盖单位法人章）</w:t>
      </w:r>
    </w:p>
    <w:p w14:paraId="22283571">
      <w:pPr>
        <w:tabs>
          <w:tab w:val="left" w:pos="6252"/>
        </w:tabs>
        <w:autoSpaceDE w:val="0"/>
        <w:autoSpaceDN w:val="0"/>
        <w:adjustRightInd w:val="0"/>
        <w:snapToGrid w:val="0"/>
        <w:spacing w:line="360" w:lineRule="auto"/>
        <w:jc w:val="center"/>
        <w:rPr>
          <w:rFonts w:ascii="宋体" w:hAnsi="宋体"/>
          <w:bCs/>
          <w:spacing w:val="8"/>
          <w:kern w:val="0"/>
          <w:sz w:val="28"/>
          <w:szCs w:val="28"/>
        </w:rPr>
      </w:pPr>
    </w:p>
    <w:p w14:paraId="3121C226">
      <w:pPr>
        <w:tabs>
          <w:tab w:val="left" w:pos="6252"/>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spacing w:val="8"/>
          <w:kern w:val="0"/>
          <w:sz w:val="28"/>
          <w:szCs w:val="28"/>
        </w:rPr>
        <w:t>招标代理机构：</w:t>
      </w:r>
      <w:r>
        <w:rPr>
          <w:rFonts w:hint="eastAsia" w:ascii="宋体" w:hAnsi="宋体"/>
          <w:bCs/>
          <w:spacing w:val="8"/>
          <w:kern w:val="0"/>
          <w:sz w:val="28"/>
          <w:szCs w:val="28"/>
          <w:u w:val="single"/>
          <w:lang w:val="en-US" w:eastAsia="zh-CN"/>
        </w:rPr>
        <w:t xml:space="preserve"> </w:t>
      </w:r>
      <w:r>
        <w:rPr>
          <w:rFonts w:ascii="宋体" w:hAnsi="宋体"/>
          <w:bCs/>
          <w:spacing w:val="8"/>
          <w:kern w:val="0"/>
          <w:sz w:val="28"/>
          <w:szCs w:val="28"/>
          <w:u w:val="single"/>
        </w:rPr>
        <w:t>重庆立荣工程项目管理有限公司</w:t>
      </w:r>
      <w:r>
        <w:rPr>
          <w:rFonts w:hint="eastAsia" w:ascii="宋体" w:hAnsi="宋体"/>
          <w:bCs/>
          <w:spacing w:val="8"/>
          <w:kern w:val="0"/>
          <w:sz w:val="28"/>
          <w:szCs w:val="28"/>
          <w:u w:val="single"/>
          <w:lang w:val="en-US" w:eastAsia="zh-CN"/>
        </w:rPr>
        <w:t xml:space="preserve"> </w:t>
      </w:r>
      <w:r>
        <w:rPr>
          <w:rFonts w:ascii="宋体" w:hAnsi="宋体"/>
          <w:bCs/>
          <w:w w:val="99"/>
          <w:kern w:val="0"/>
          <w:sz w:val="28"/>
          <w:szCs w:val="28"/>
        </w:rPr>
        <w:t>（盖单位法人章）</w:t>
      </w:r>
    </w:p>
    <w:p w14:paraId="410DC901">
      <w:pPr>
        <w:sectPr>
          <w:headerReference r:id="rId3" w:type="default"/>
          <w:pgSz w:w="11907" w:h="16840"/>
          <w:pgMar w:top="1304" w:right="1134" w:bottom="1304" w:left="1304" w:header="851" w:footer="992" w:gutter="0"/>
          <w:pgNumType w:fmt="numberInDash" w:start="1"/>
          <w:cols w:space="720" w:num="1"/>
          <w:docGrid w:linePitch="312" w:charSpace="0"/>
        </w:sectPr>
      </w:pPr>
    </w:p>
    <w:p w14:paraId="5A73BAA7">
      <w:pPr>
        <w:pStyle w:val="57"/>
        <w:jc w:val="both"/>
        <w:rPr>
          <w:rFonts w:ascii="宋体" w:hAnsi="宋体"/>
          <w:i w:val="0"/>
          <w:iCs w:val="0"/>
          <w:color w:val="auto"/>
          <w:sz w:val="44"/>
          <w:szCs w:val="44"/>
          <w:lang w:val="zh-CN"/>
        </w:rPr>
      </w:pPr>
      <w:bookmarkStart w:id="1" w:name="_Toc23843"/>
    </w:p>
    <w:p w14:paraId="769831CC">
      <w:pPr>
        <w:pStyle w:val="57"/>
        <w:jc w:val="both"/>
        <w:rPr>
          <w:rFonts w:ascii="宋体" w:hAnsi="宋体"/>
          <w:i w:val="0"/>
          <w:iCs w:val="0"/>
          <w:color w:val="auto"/>
          <w:sz w:val="44"/>
          <w:szCs w:val="44"/>
          <w:lang w:val="zh-CN"/>
        </w:rPr>
      </w:pPr>
    </w:p>
    <w:p w14:paraId="59D8D75E">
      <w:pPr>
        <w:pStyle w:val="57"/>
        <w:jc w:val="both"/>
        <w:rPr>
          <w:rFonts w:ascii="宋体" w:hAnsi="宋体"/>
          <w:i w:val="0"/>
          <w:iCs w:val="0"/>
          <w:color w:val="auto"/>
          <w:sz w:val="44"/>
          <w:szCs w:val="44"/>
          <w:lang w:val="zh-CN"/>
        </w:rPr>
      </w:pPr>
    </w:p>
    <w:p w14:paraId="67B13BE2">
      <w:pPr>
        <w:pStyle w:val="57"/>
        <w:jc w:val="both"/>
        <w:rPr>
          <w:rFonts w:ascii="宋体" w:hAnsi="宋体"/>
          <w:i w:val="0"/>
          <w:iCs w:val="0"/>
          <w:color w:val="auto"/>
          <w:sz w:val="44"/>
          <w:szCs w:val="44"/>
          <w:lang w:val="zh-CN"/>
        </w:rPr>
      </w:pPr>
    </w:p>
    <w:p w14:paraId="39209E44">
      <w:pPr>
        <w:pStyle w:val="57"/>
        <w:jc w:val="both"/>
        <w:rPr>
          <w:rFonts w:ascii="宋体" w:hAnsi="宋体"/>
          <w:i w:val="0"/>
          <w:iCs w:val="0"/>
          <w:color w:val="auto"/>
          <w:sz w:val="44"/>
          <w:szCs w:val="44"/>
          <w:lang w:val="zh-CN"/>
        </w:rPr>
      </w:pPr>
    </w:p>
    <w:p w14:paraId="084FF332">
      <w:pPr>
        <w:pStyle w:val="57"/>
        <w:jc w:val="both"/>
        <w:rPr>
          <w:rFonts w:ascii="宋体" w:hAnsi="宋体"/>
          <w:i w:val="0"/>
          <w:iCs w:val="0"/>
          <w:color w:val="auto"/>
          <w:sz w:val="44"/>
          <w:szCs w:val="44"/>
          <w:lang w:val="zh-CN"/>
        </w:rPr>
      </w:pPr>
    </w:p>
    <w:p w14:paraId="4FF8145B">
      <w:pPr>
        <w:pStyle w:val="57"/>
        <w:jc w:val="both"/>
        <w:rPr>
          <w:rFonts w:ascii="宋体" w:hAnsi="宋体"/>
          <w:i w:val="0"/>
          <w:iCs w:val="0"/>
          <w:color w:val="auto"/>
          <w:sz w:val="44"/>
          <w:szCs w:val="44"/>
          <w:lang w:val="zh-CN"/>
        </w:rPr>
      </w:pPr>
    </w:p>
    <w:p w14:paraId="417CE662">
      <w:pPr>
        <w:pStyle w:val="57"/>
        <w:jc w:val="both"/>
        <w:rPr>
          <w:rFonts w:ascii="宋体" w:hAnsi="宋体"/>
          <w:i w:val="0"/>
          <w:iCs w:val="0"/>
          <w:color w:val="auto"/>
          <w:sz w:val="44"/>
          <w:szCs w:val="44"/>
          <w:lang w:val="zh-CN"/>
        </w:rPr>
      </w:pPr>
    </w:p>
    <w:p w14:paraId="7E54CBB8">
      <w:pPr>
        <w:pStyle w:val="57"/>
        <w:jc w:val="both"/>
        <w:rPr>
          <w:rFonts w:ascii="宋体" w:hAnsi="宋体"/>
          <w:i w:val="0"/>
          <w:iCs w:val="0"/>
          <w:color w:val="auto"/>
          <w:sz w:val="44"/>
          <w:szCs w:val="44"/>
          <w:lang w:val="zh-CN"/>
        </w:rPr>
      </w:pPr>
    </w:p>
    <w:p w14:paraId="373587F8">
      <w:pPr>
        <w:pStyle w:val="57"/>
        <w:jc w:val="both"/>
        <w:rPr>
          <w:rFonts w:ascii="宋体" w:hAnsi="宋体"/>
          <w:i w:val="0"/>
          <w:iCs w:val="0"/>
          <w:color w:val="auto"/>
          <w:sz w:val="44"/>
          <w:szCs w:val="44"/>
          <w:lang w:val="zh-CN"/>
        </w:rPr>
      </w:pPr>
    </w:p>
    <w:p w14:paraId="2136C819">
      <w:pPr>
        <w:pStyle w:val="57"/>
        <w:jc w:val="both"/>
        <w:rPr>
          <w:rFonts w:ascii="宋体" w:hAnsi="宋体"/>
          <w:i w:val="0"/>
          <w:iCs w:val="0"/>
          <w:color w:val="auto"/>
          <w:sz w:val="44"/>
          <w:szCs w:val="44"/>
          <w:lang w:val="zh-CN"/>
        </w:rPr>
      </w:pPr>
    </w:p>
    <w:p w14:paraId="34941871">
      <w:pPr>
        <w:pStyle w:val="57"/>
        <w:jc w:val="both"/>
        <w:rPr>
          <w:rFonts w:ascii="宋体" w:hAnsi="宋体"/>
          <w:i w:val="0"/>
          <w:iCs w:val="0"/>
          <w:color w:val="auto"/>
          <w:sz w:val="44"/>
          <w:szCs w:val="44"/>
          <w:lang w:val="zh-CN"/>
        </w:rPr>
      </w:pPr>
    </w:p>
    <w:p w14:paraId="1F8AB0C5">
      <w:pPr>
        <w:pStyle w:val="57"/>
        <w:jc w:val="center"/>
        <w:rPr>
          <w:rFonts w:ascii="宋体" w:hAnsi="宋体"/>
          <w:i w:val="0"/>
          <w:iCs w:val="0"/>
          <w:color w:val="auto"/>
          <w:sz w:val="44"/>
          <w:szCs w:val="44"/>
          <w:lang w:val="zh-CN"/>
        </w:rPr>
        <w:sectPr>
          <w:footerReference r:id="rId4" w:type="default"/>
          <w:pgSz w:w="11907" w:h="16840"/>
          <w:pgMar w:top="1304" w:right="1134" w:bottom="1304" w:left="1304" w:header="851" w:footer="992" w:gutter="0"/>
          <w:pgNumType w:fmt="numberInDash" w:start="1"/>
          <w:cols w:space="720" w:num="1"/>
          <w:docGrid w:linePitch="312" w:charSpace="0"/>
        </w:sectPr>
      </w:pPr>
    </w:p>
    <w:p w14:paraId="5DA94DB8">
      <w:pPr>
        <w:pStyle w:val="57"/>
        <w:jc w:val="center"/>
        <w:rPr>
          <w:rFonts w:ascii="宋体" w:hAnsi="宋体"/>
          <w:i w:val="0"/>
          <w:iCs w:val="0"/>
          <w:color w:val="auto"/>
          <w:sz w:val="44"/>
          <w:szCs w:val="44"/>
        </w:rPr>
      </w:pPr>
      <w:r>
        <w:rPr>
          <w:rFonts w:ascii="宋体" w:hAnsi="宋体"/>
          <w:i w:val="0"/>
          <w:iCs w:val="0"/>
          <w:color w:val="auto"/>
          <w:sz w:val="44"/>
          <w:szCs w:val="44"/>
          <w:lang w:val="zh-CN"/>
        </w:rPr>
        <w:t>目</w:t>
      </w:r>
      <w:r>
        <w:rPr>
          <w:rFonts w:hint="eastAsia" w:ascii="宋体" w:hAnsi="宋体"/>
          <w:i w:val="0"/>
          <w:iCs w:val="0"/>
          <w:color w:val="auto"/>
          <w:sz w:val="44"/>
          <w:szCs w:val="44"/>
          <w:lang w:val="zh-CN"/>
        </w:rPr>
        <w:t xml:space="preserve"> </w:t>
      </w:r>
      <w:r>
        <w:rPr>
          <w:rFonts w:ascii="宋体" w:hAnsi="宋体"/>
          <w:i w:val="0"/>
          <w:iCs w:val="0"/>
          <w:color w:val="auto"/>
          <w:sz w:val="44"/>
          <w:szCs w:val="44"/>
          <w:lang w:val="zh-CN"/>
        </w:rPr>
        <w:t>录</w:t>
      </w:r>
      <w:bookmarkEnd w:id="1"/>
    </w:p>
    <w:p w14:paraId="6EBEB7CA">
      <w:pPr>
        <w:pStyle w:val="31"/>
        <w:tabs>
          <w:tab w:val="right" w:leader="dot" w:pos="9469"/>
        </w:tabs>
        <w:rPr>
          <w:rFonts w:hint="eastAsia" w:ascii="宋体" w:hAnsi="宋体" w:eastAsia="宋体" w:cs="宋体"/>
          <w:i w:val="0"/>
          <w:iCs w:val="0"/>
        </w:rPr>
      </w:pPr>
      <w:r>
        <w:rPr>
          <w:rFonts w:ascii="宋体" w:hAnsi="宋体"/>
          <w:i w:val="0"/>
          <w:iCs w:val="0"/>
        </w:rPr>
        <w:fldChar w:fldCharType="begin"/>
      </w:r>
      <w:r>
        <w:rPr>
          <w:rFonts w:ascii="宋体" w:hAnsi="宋体"/>
          <w:i w:val="0"/>
          <w:iCs w:val="0"/>
        </w:rPr>
        <w:instrText xml:space="preserve"> TOC \o "1-3" \h \z \u </w:instrText>
      </w:r>
      <w:r>
        <w:rPr>
          <w:rFonts w:ascii="宋体" w:hAnsi="宋体"/>
          <w:i w:val="0"/>
          <w:iCs w:val="0"/>
        </w:rPr>
        <w:fldChar w:fldCharType="separate"/>
      </w:r>
      <w:r>
        <w:rPr>
          <w:rFonts w:hint="eastAsia" w:ascii="宋体" w:hAnsi="宋体" w:eastAsia="宋体" w:cs="宋体"/>
          <w:i w:val="0"/>
          <w:iCs w:val="0"/>
        </w:rPr>
        <w:fldChar w:fldCharType="begin"/>
      </w:r>
      <w:r>
        <w:rPr>
          <w:rFonts w:hint="eastAsia" w:ascii="宋体" w:hAnsi="宋体" w:eastAsia="宋体" w:cs="宋体"/>
          <w:i w:val="0"/>
          <w:iCs w:val="0"/>
        </w:rPr>
        <w:instrText xml:space="preserve"> HYPERLINK \l _Toc3517 </w:instrText>
      </w:r>
      <w:r>
        <w:rPr>
          <w:rFonts w:hint="eastAsia" w:ascii="宋体" w:hAnsi="宋体" w:eastAsia="宋体" w:cs="宋体"/>
          <w:i w:val="0"/>
          <w:iCs w:val="0"/>
        </w:rPr>
        <w:fldChar w:fldCharType="separate"/>
      </w:r>
      <w:r>
        <w:rPr>
          <w:rFonts w:hint="eastAsia" w:ascii="宋体" w:hAnsi="宋体" w:eastAsia="宋体" w:cs="宋体"/>
          <w:i w:val="0"/>
          <w:iCs w:val="0"/>
          <w:szCs w:val="52"/>
        </w:rPr>
        <w:t>第 一 卷</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_Toc3517 \h </w:instrText>
      </w:r>
      <w:r>
        <w:rPr>
          <w:rFonts w:hint="eastAsia" w:ascii="宋体" w:hAnsi="宋体" w:eastAsia="宋体" w:cs="宋体"/>
          <w:i w:val="0"/>
          <w:iCs w:val="0"/>
        </w:rPr>
        <w:fldChar w:fldCharType="separate"/>
      </w:r>
      <w:r>
        <w:rPr>
          <w:rFonts w:hint="eastAsia" w:ascii="宋体" w:hAnsi="宋体" w:eastAsia="宋体" w:cs="宋体"/>
          <w:i w:val="0"/>
          <w:iCs w:val="0"/>
        </w:rPr>
        <w:t>4</w:t>
      </w:r>
      <w:r>
        <w:rPr>
          <w:rFonts w:hint="eastAsia" w:ascii="宋体" w:hAnsi="宋体" w:eastAsia="宋体" w:cs="宋体"/>
          <w:i w:val="0"/>
          <w:iCs w:val="0"/>
        </w:rPr>
        <w:fldChar w:fldCharType="end"/>
      </w:r>
      <w:r>
        <w:rPr>
          <w:rFonts w:hint="eastAsia" w:ascii="宋体" w:hAnsi="宋体" w:eastAsia="宋体" w:cs="宋体"/>
          <w:i w:val="0"/>
          <w:iCs w:val="0"/>
        </w:rPr>
        <w:fldChar w:fldCharType="end"/>
      </w:r>
    </w:p>
    <w:p w14:paraId="1E866166">
      <w:pPr>
        <w:pStyle w:val="31"/>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_Toc29037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kern w:val="0"/>
        </w:rPr>
        <w:t>第一章  招标公告</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_Toc29037 \h </w:instrText>
      </w:r>
      <w:r>
        <w:rPr>
          <w:rFonts w:hint="eastAsia" w:ascii="宋体" w:hAnsi="宋体" w:eastAsia="宋体" w:cs="宋体"/>
          <w:i w:val="0"/>
          <w:iCs w:val="0"/>
        </w:rPr>
        <w:fldChar w:fldCharType="separate"/>
      </w:r>
      <w:r>
        <w:rPr>
          <w:rFonts w:hint="eastAsia" w:ascii="宋体" w:hAnsi="宋体" w:eastAsia="宋体" w:cs="宋体"/>
          <w:i w:val="0"/>
          <w:iCs w:val="0"/>
        </w:rPr>
        <w:t>5</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20663895">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_Toc30101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8"/>
        </w:rPr>
        <w:t>1.  招标条件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_Toc30101 \h </w:instrText>
      </w:r>
      <w:r>
        <w:rPr>
          <w:rFonts w:hint="eastAsia" w:ascii="宋体" w:hAnsi="宋体" w:eastAsia="宋体" w:cs="宋体"/>
          <w:i w:val="0"/>
          <w:iCs w:val="0"/>
        </w:rPr>
        <w:fldChar w:fldCharType="separate"/>
      </w:r>
      <w:r>
        <w:rPr>
          <w:rFonts w:hint="eastAsia" w:ascii="宋体" w:hAnsi="宋体" w:eastAsia="宋体" w:cs="宋体"/>
          <w:i w:val="0"/>
          <w:iCs w:val="0"/>
        </w:rPr>
        <w:t>5</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5D9FD2CE">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_Toc23211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8"/>
        </w:rPr>
        <w:t>2.  项目概况与招标范围</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_Toc23211 \h </w:instrText>
      </w:r>
      <w:r>
        <w:rPr>
          <w:rFonts w:hint="eastAsia" w:ascii="宋体" w:hAnsi="宋体" w:eastAsia="宋体" w:cs="宋体"/>
          <w:i w:val="0"/>
          <w:iCs w:val="0"/>
        </w:rPr>
        <w:fldChar w:fldCharType="separate"/>
      </w:r>
      <w:r>
        <w:rPr>
          <w:rFonts w:hint="eastAsia" w:ascii="宋体" w:hAnsi="宋体" w:eastAsia="宋体" w:cs="宋体"/>
          <w:i w:val="0"/>
          <w:iCs w:val="0"/>
        </w:rPr>
        <w:t>5</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4C48DB87">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_Toc6447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8"/>
          <w:lang w:val="en-US" w:eastAsia="zh-CN"/>
        </w:rPr>
        <w:t>3</w:t>
      </w:r>
      <w:r>
        <w:rPr>
          <w:rFonts w:hint="eastAsia" w:ascii="宋体" w:hAnsi="宋体" w:eastAsia="宋体" w:cs="宋体"/>
          <w:i w:val="0"/>
          <w:iCs w:val="0"/>
          <w:snapToGrid w:val="0"/>
          <w:szCs w:val="28"/>
        </w:rPr>
        <w:t xml:space="preserve">.  </w:t>
      </w:r>
      <w:r>
        <w:rPr>
          <w:rFonts w:hint="eastAsia" w:ascii="宋体" w:hAnsi="宋体" w:eastAsia="宋体" w:cs="宋体"/>
          <w:i w:val="0"/>
          <w:iCs w:val="0"/>
          <w:snapToGrid w:val="0"/>
          <w:szCs w:val="28"/>
          <w:lang w:val="en-US" w:eastAsia="zh-CN"/>
        </w:rPr>
        <w:t>政府采购工程</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_Toc6447 \h </w:instrText>
      </w:r>
      <w:r>
        <w:rPr>
          <w:rFonts w:hint="eastAsia" w:ascii="宋体" w:hAnsi="宋体" w:eastAsia="宋体" w:cs="宋体"/>
          <w:i w:val="0"/>
          <w:iCs w:val="0"/>
        </w:rPr>
        <w:fldChar w:fldCharType="separate"/>
      </w:r>
      <w:r>
        <w:rPr>
          <w:rFonts w:hint="eastAsia" w:ascii="宋体" w:hAnsi="宋体" w:eastAsia="宋体" w:cs="宋体"/>
          <w:i w:val="0"/>
          <w:iCs w:val="0"/>
        </w:rPr>
        <w:t>5</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201D8FEE">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_Toc3327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8"/>
          <w:lang w:val="en-US" w:eastAsia="zh-CN"/>
        </w:rPr>
        <w:t>4</w:t>
      </w:r>
      <w:r>
        <w:rPr>
          <w:rFonts w:hint="eastAsia" w:ascii="宋体" w:hAnsi="宋体" w:eastAsia="宋体" w:cs="宋体"/>
          <w:i w:val="0"/>
          <w:iCs w:val="0"/>
          <w:snapToGrid w:val="0"/>
          <w:szCs w:val="28"/>
        </w:rPr>
        <w:t>.  投标人资格要求</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_Toc3327 \h </w:instrText>
      </w:r>
      <w:r>
        <w:rPr>
          <w:rFonts w:hint="eastAsia" w:ascii="宋体" w:hAnsi="宋体" w:eastAsia="宋体" w:cs="宋体"/>
          <w:i w:val="0"/>
          <w:iCs w:val="0"/>
        </w:rPr>
        <w:fldChar w:fldCharType="separate"/>
      </w:r>
      <w:r>
        <w:rPr>
          <w:rFonts w:hint="eastAsia" w:ascii="宋体" w:hAnsi="宋体" w:eastAsia="宋体" w:cs="宋体"/>
          <w:i w:val="0"/>
          <w:iCs w:val="0"/>
        </w:rPr>
        <w:t>6</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583F2AB7">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_Toc31081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8"/>
          <w:lang w:val="en-US" w:eastAsia="zh-CN"/>
        </w:rPr>
        <w:t>5</w:t>
      </w:r>
      <w:r>
        <w:rPr>
          <w:rFonts w:hint="eastAsia" w:ascii="宋体" w:hAnsi="宋体" w:eastAsia="宋体" w:cs="宋体"/>
          <w:i w:val="0"/>
          <w:iCs w:val="0"/>
          <w:snapToGrid w:val="0"/>
          <w:szCs w:val="28"/>
        </w:rPr>
        <w:t>.  招标文件的获取</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_Toc31081 \h </w:instrText>
      </w:r>
      <w:r>
        <w:rPr>
          <w:rFonts w:hint="eastAsia" w:ascii="宋体" w:hAnsi="宋体" w:eastAsia="宋体" w:cs="宋体"/>
          <w:i w:val="0"/>
          <w:iCs w:val="0"/>
        </w:rPr>
        <w:fldChar w:fldCharType="separate"/>
      </w:r>
      <w:r>
        <w:rPr>
          <w:rFonts w:hint="eastAsia" w:ascii="宋体" w:hAnsi="宋体" w:eastAsia="宋体" w:cs="宋体"/>
          <w:i w:val="0"/>
          <w:iCs w:val="0"/>
        </w:rPr>
        <w:t>6</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170FE9A5">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_Toc6860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8"/>
          <w:lang w:val="en-US" w:eastAsia="zh-CN"/>
        </w:rPr>
        <w:t>6</w:t>
      </w:r>
      <w:r>
        <w:rPr>
          <w:rFonts w:hint="eastAsia" w:ascii="宋体" w:hAnsi="宋体" w:eastAsia="宋体" w:cs="宋体"/>
          <w:i w:val="0"/>
          <w:iCs w:val="0"/>
          <w:snapToGrid w:val="0"/>
          <w:szCs w:val="28"/>
        </w:rPr>
        <w:t>.  投标文件的递交</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_Toc6860 \h </w:instrText>
      </w:r>
      <w:r>
        <w:rPr>
          <w:rFonts w:hint="eastAsia" w:ascii="宋体" w:hAnsi="宋体" w:eastAsia="宋体" w:cs="宋体"/>
          <w:i w:val="0"/>
          <w:iCs w:val="0"/>
        </w:rPr>
        <w:fldChar w:fldCharType="separate"/>
      </w:r>
      <w:r>
        <w:rPr>
          <w:rFonts w:hint="eastAsia" w:ascii="宋体" w:hAnsi="宋体" w:eastAsia="宋体" w:cs="宋体"/>
          <w:i w:val="0"/>
          <w:iCs w:val="0"/>
        </w:rPr>
        <w:t>6</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2715B8E5">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_Toc2092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8"/>
          <w:lang w:val="en-US" w:eastAsia="zh-CN"/>
        </w:rPr>
        <w:t>7</w:t>
      </w:r>
      <w:r>
        <w:rPr>
          <w:rFonts w:hint="eastAsia" w:ascii="宋体" w:hAnsi="宋体" w:eastAsia="宋体" w:cs="宋体"/>
          <w:i w:val="0"/>
          <w:iCs w:val="0"/>
          <w:snapToGrid w:val="0"/>
          <w:szCs w:val="28"/>
        </w:rPr>
        <w:t>.  发布公告的媒介</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_Toc2092 \h </w:instrText>
      </w:r>
      <w:r>
        <w:rPr>
          <w:rFonts w:hint="eastAsia" w:ascii="宋体" w:hAnsi="宋体" w:eastAsia="宋体" w:cs="宋体"/>
          <w:i w:val="0"/>
          <w:iCs w:val="0"/>
        </w:rPr>
        <w:fldChar w:fldCharType="separate"/>
      </w:r>
      <w:r>
        <w:rPr>
          <w:rFonts w:hint="eastAsia" w:ascii="宋体" w:hAnsi="宋体" w:eastAsia="宋体" w:cs="宋体"/>
          <w:i w:val="0"/>
          <w:iCs w:val="0"/>
        </w:rPr>
        <w:t>6</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08DBECA6">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_Toc31522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8"/>
          <w:lang w:val="en-US" w:eastAsia="zh-CN"/>
        </w:rPr>
        <w:t>8</w:t>
      </w:r>
      <w:r>
        <w:rPr>
          <w:rFonts w:hint="eastAsia" w:ascii="宋体" w:hAnsi="宋体" w:eastAsia="宋体" w:cs="宋体"/>
          <w:i w:val="0"/>
          <w:iCs w:val="0"/>
          <w:snapToGrid w:val="0"/>
          <w:szCs w:val="28"/>
        </w:rPr>
        <w:t>.  联系方式</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_Toc31522 \h </w:instrText>
      </w:r>
      <w:r>
        <w:rPr>
          <w:rFonts w:hint="eastAsia" w:ascii="宋体" w:hAnsi="宋体" w:eastAsia="宋体" w:cs="宋体"/>
          <w:i w:val="0"/>
          <w:iCs w:val="0"/>
        </w:rPr>
        <w:fldChar w:fldCharType="separate"/>
      </w:r>
      <w:r>
        <w:rPr>
          <w:rFonts w:hint="eastAsia" w:ascii="宋体" w:hAnsi="宋体" w:eastAsia="宋体" w:cs="宋体"/>
          <w:i w:val="0"/>
          <w:iCs w:val="0"/>
        </w:rPr>
        <w:t>6</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64E9A6BC">
      <w:pPr>
        <w:pStyle w:val="31"/>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_Toc31153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kern w:val="0"/>
        </w:rPr>
        <w:t>第二章  投标人须知</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_Toc31153 \h </w:instrText>
      </w:r>
      <w:r>
        <w:rPr>
          <w:rFonts w:hint="eastAsia" w:ascii="宋体" w:hAnsi="宋体" w:eastAsia="宋体" w:cs="宋体"/>
          <w:i w:val="0"/>
          <w:iCs w:val="0"/>
        </w:rPr>
        <w:fldChar w:fldCharType="separate"/>
      </w:r>
      <w:r>
        <w:rPr>
          <w:rFonts w:hint="eastAsia" w:ascii="宋体" w:hAnsi="宋体" w:eastAsia="宋体" w:cs="宋体"/>
          <w:i w:val="0"/>
          <w:iCs w:val="0"/>
        </w:rPr>
        <w:t>12</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3762EF03">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_Toc7624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rPr>
        <w:t>投标人须知前附表</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_Toc7624 \h </w:instrText>
      </w:r>
      <w:r>
        <w:rPr>
          <w:rFonts w:hint="eastAsia" w:ascii="宋体" w:hAnsi="宋体" w:eastAsia="宋体" w:cs="宋体"/>
          <w:i w:val="0"/>
          <w:iCs w:val="0"/>
        </w:rPr>
        <w:fldChar w:fldCharType="separate"/>
      </w:r>
      <w:r>
        <w:rPr>
          <w:rFonts w:hint="eastAsia" w:ascii="宋体" w:hAnsi="宋体" w:eastAsia="宋体" w:cs="宋体"/>
          <w:i w:val="0"/>
          <w:iCs w:val="0"/>
        </w:rPr>
        <w:t>12</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2F563DAE">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_Toc14628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rPr>
        <w:t>1.  总则</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_Toc14628 \h </w:instrText>
      </w:r>
      <w:r>
        <w:rPr>
          <w:rFonts w:hint="eastAsia" w:ascii="宋体" w:hAnsi="宋体" w:eastAsia="宋体" w:cs="宋体"/>
          <w:i w:val="0"/>
          <w:iCs w:val="0"/>
        </w:rPr>
        <w:fldChar w:fldCharType="separate"/>
      </w:r>
      <w:r>
        <w:rPr>
          <w:rFonts w:hint="eastAsia" w:ascii="宋体" w:hAnsi="宋体" w:eastAsia="宋体" w:cs="宋体"/>
          <w:i w:val="0"/>
          <w:iCs w:val="0"/>
        </w:rPr>
        <w:t>35</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008B016B">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_Toc27230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1.1  项目概况</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_Toc27230 \h </w:instrText>
      </w:r>
      <w:r>
        <w:rPr>
          <w:rFonts w:hint="eastAsia" w:ascii="宋体" w:hAnsi="宋体" w:eastAsia="宋体" w:cs="宋体"/>
          <w:i w:val="0"/>
          <w:iCs w:val="0"/>
        </w:rPr>
        <w:fldChar w:fldCharType="separate"/>
      </w:r>
      <w:r>
        <w:rPr>
          <w:rFonts w:hint="eastAsia" w:ascii="宋体" w:hAnsi="宋体" w:eastAsia="宋体" w:cs="宋体"/>
          <w:i w:val="0"/>
          <w:iCs w:val="0"/>
        </w:rPr>
        <w:t>35</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2218C67D">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_Toc15927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1.2  资金来源和落实情况</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_Toc15927 \h </w:instrText>
      </w:r>
      <w:r>
        <w:rPr>
          <w:rFonts w:hint="eastAsia" w:ascii="宋体" w:hAnsi="宋体" w:eastAsia="宋体" w:cs="宋体"/>
          <w:i w:val="0"/>
          <w:iCs w:val="0"/>
        </w:rPr>
        <w:fldChar w:fldCharType="separate"/>
      </w:r>
      <w:r>
        <w:rPr>
          <w:rFonts w:hint="eastAsia" w:ascii="宋体" w:hAnsi="宋体" w:eastAsia="宋体" w:cs="宋体"/>
          <w:i w:val="0"/>
          <w:iCs w:val="0"/>
        </w:rPr>
        <w:t>35</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09E2615C">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_Toc30662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1.3  招标范围、计划工期和质量要求</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_Toc30662 \h </w:instrText>
      </w:r>
      <w:r>
        <w:rPr>
          <w:rFonts w:hint="eastAsia" w:ascii="宋体" w:hAnsi="宋体" w:eastAsia="宋体" w:cs="宋体"/>
          <w:i w:val="0"/>
          <w:iCs w:val="0"/>
        </w:rPr>
        <w:fldChar w:fldCharType="separate"/>
      </w:r>
      <w:r>
        <w:rPr>
          <w:rFonts w:hint="eastAsia" w:ascii="宋体" w:hAnsi="宋体" w:eastAsia="宋体" w:cs="宋体"/>
          <w:i w:val="0"/>
          <w:iCs w:val="0"/>
        </w:rPr>
        <w:t>35</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70EF47E3">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_Toc17965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1.4  投标人资格要求</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_Toc17965 \h </w:instrText>
      </w:r>
      <w:r>
        <w:rPr>
          <w:rFonts w:hint="eastAsia" w:ascii="宋体" w:hAnsi="宋体" w:eastAsia="宋体" w:cs="宋体"/>
          <w:i w:val="0"/>
          <w:iCs w:val="0"/>
        </w:rPr>
        <w:fldChar w:fldCharType="separate"/>
      </w:r>
      <w:r>
        <w:rPr>
          <w:rFonts w:hint="eastAsia" w:ascii="宋体" w:hAnsi="宋体" w:eastAsia="宋体" w:cs="宋体"/>
          <w:i w:val="0"/>
          <w:iCs w:val="0"/>
        </w:rPr>
        <w:t>35</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39CFD40E">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_Toc26616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1.5  费用承担</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_Toc26616 \h </w:instrText>
      </w:r>
      <w:r>
        <w:rPr>
          <w:rFonts w:hint="eastAsia" w:ascii="宋体" w:hAnsi="宋体" w:eastAsia="宋体" w:cs="宋体"/>
          <w:i w:val="0"/>
          <w:iCs w:val="0"/>
        </w:rPr>
        <w:fldChar w:fldCharType="separate"/>
      </w:r>
      <w:r>
        <w:rPr>
          <w:rFonts w:hint="eastAsia" w:ascii="宋体" w:hAnsi="宋体" w:eastAsia="宋体" w:cs="宋体"/>
          <w:i w:val="0"/>
          <w:iCs w:val="0"/>
        </w:rPr>
        <w:t>36</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34D68BA2">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_Toc13218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1.6  保密</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_Toc13218 \h </w:instrText>
      </w:r>
      <w:r>
        <w:rPr>
          <w:rFonts w:hint="eastAsia" w:ascii="宋体" w:hAnsi="宋体" w:eastAsia="宋体" w:cs="宋体"/>
          <w:i w:val="0"/>
          <w:iCs w:val="0"/>
        </w:rPr>
        <w:fldChar w:fldCharType="separate"/>
      </w:r>
      <w:r>
        <w:rPr>
          <w:rFonts w:hint="eastAsia" w:ascii="宋体" w:hAnsi="宋体" w:eastAsia="宋体" w:cs="宋体"/>
          <w:i w:val="0"/>
          <w:iCs w:val="0"/>
        </w:rPr>
        <w:t>36</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442C8A3F">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_Toc14897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1.7  语言文字</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_Toc14897 \h </w:instrText>
      </w:r>
      <w:r>
        <w:rPr>
          <w:rFonts w:hint="eastAsia" w:ascii="宋体" w:hAnsi="宋体" w:eastAsia="宋体" w:cs="宋体"/>
          <w:i w:val="0"/>
          <w:iCs w:val="0"/>
        </w:rPr>
        <w:fldChar w:fldCharType="separate"/>
      </w:r>
      <w:r>
        <w:rPr>
          <w:rFonts w:hint="eastAsia" w:ascii="宋体" w:hAnsi="宋体" w:eastAsia="宋体" w:cs="宋体"/>
          <w:i w:val="0"/>
          <w:iCs w:val="0"/>
        </w:rPr>
        <w:t>36</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0D45C9A3">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_Toc12626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1.8  计量单位</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_Toc12626 \h </w:instrText>
      </w:r>
      <w:r>
        <w:rPr>
          <w:rFonts w:hint="eastAsia" w:ascii="宋体" w:hAnsi="宋体" w:eastAsia="宋体" w:cs="宋体"/>
          <w:i w:val="0"/>
          <w:iCs w:val="0"/>
        </w:rPr>
        <w:fldChar w:fldCharType="separate"/>
      </w:r>
      <w:r>
        <w:rPr>
          <w:rFonts w:hint="eastAsia" w:ascii="宋体" w:hAnsi="宋体" w:eastAsia="宋体" w:cs="宋体"/>
          <w:i w:val="0"/>
          <w:iCs w:val="0"/>
        </w:rPr>
        <w:t>36</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606901DF">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_Toc5427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1.9  踏勘现场</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_Toc5427 \h </w:instrText>
      </w:r>
      <w:r>
        <w:rPr>
          <w:rFonts w:hint="eastAsia" w:ascii="宋体" w:hAnsi="宋体" w:eastAsia="宋体" w:cs="宋体"/>
          <w:i w:val="0"/>
          <w:iCs w:val="0"/>
        </w:rPr>
        <w:fldChar w:fldCharType="separate"/>
      </w:r>
      <w:r>
        <w:rPr>
          <w:rFonts w:hint="eastAsia" w:ascii="宋体" w:hAnsi="宋体" w:eastAsia="宋体" w:cs="宋体"/>
          <w:i w:val="0"/>
          <w:iCs w:val="0"/>
        </w:rPr>
        <w:t>36</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3031A556">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_Toc4277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1.10  投标预备会</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_Toc4277 \h </w:instrText>
      </w:r>
      <w:r>
        <w:rPr>
          <w:rFonts w:hint="eastAsia" w:ascii="宋体" w:hAnsi="宋体" w:eastAsia="宋体" w:cs="宋体"/>
          <w:i w:val="0"/>
          <w:iCs w:val="0"/>
        </w:rPr>
        <w:fldChar w:fldCharType="separate"/>
      </w:r>
      <w:r>
        <w:rPr>
          <w:rFonts w:hint="eastAsia" w:ascii="宋体" w:hAnsi="宋体" w:eastAsia="宋体" w:cs="宋体"/>
          <w:i w:val="0"/>
          <w:iCs w:val="0"/>
        </w:rPr>
        <w:t>37</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6BBA4B53">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_Toc24561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1.11  分包</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_Toc24561 \h </w:instrText>
      </w:r>
      <w:r>
        <w:rPr>
          <w:rFonts w:hint="eastAsia" w:ascii="宋体" w:hAnsi="宋体" w:eastAsia="宋体" w:cs="宋体"/>
          <w:i w:val="0"/>
          <w:iCs w:val="0"/>
        </w:rPr>
        <w:fldChar w:fldCharType="separate"/>
      </w:r>
      <w:r>
        <w:rPr>
          <w:rFonts w:hint="eastAsia" w:ascii="宋体" w:hAnsi="宋体" w:eastAsia="宋体" w:cs="宋体"/>
          <w:i w:val="0"/>
          <w:iCs w:val="0"/>
        </w:rPr>
        <w:t>37</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0FEBE5DB">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_Toc18273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1.12  偏离</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_Toc18273 \h </w:instrText>
      </w:r>
      <w:r>
        <w:rPr>
          <w:rFonts w:hint="eastAsia" w:ascii="宋体" w:hAnsi="宋体" w:eastAsia="宋体" w:cs="宋体"/>
          <w:i w:val="0"/>
          <w:iCs w:val="0"/>
        </w:rPr>
        <w:fldChar w:fldCharType="separate"/>
      </w:r>
      <w:r>
        <w:rPr>
          <w:rFonts w:hint="eastAsia" w:ascii="宋体" w:hAnsi="宋体" w:eastAsia="宋体" w:cs="宋体"/>
          <w:i w:val="0"/>
          <w:iCs w:val="0"/>
        </w:rPr>
        <w:t>37</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397BA4C2">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_Toc597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rPr>
        <w:t>2.  招标文件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_Toc597 \h </w:instrText>
      </w:r>
      <w:r>
        <w:rPr>
          <w:rFonts w:hint="eastAsia" w:ascii="宋体" w:hAnsi="宋体" w:eastAsia="宋体" w:cs="宋体"/>
          <w:i w:val="0"/>
          <w:iCs w:val="0"/>
        </w:rPr>
        <w:fldChar w:fldCharType="separate"/>
      </w:r>
      <w:r>
        <w:rPr>
          <w:rFonts w:hint="eastAsia" w:ascii="宋体" w:hAnsi="宋体" w:eastAsia="宋体" w:cs="宋体"/>
          <w:i w:val="0"/>
          <w:iCs w:val="0"/>
        </w:rPr>
        <w:t>37</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0BE253E3">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_Toc27553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2.1  招标文件的组成</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_Toc27553 \h </w:instrText>
      </w:r>
      <w:r>
        <w:rPr>
          <w:rFonts w:hint="eastAsia" w:ascii="宋体" w:hAnsi="宋体" w:eastAsia="宋体" w:cs="宋体"/>
          <w:i w:val="0"/>
          <w:iCs w:val="0"/>
        </w:rPr>
        <w:fldChar w:fldCharType="separate"/>
      </w:r>
      <w:r>
        <w:rPr>
          <w:rFonts w:hint="eastAsia" w:ascii="宋体" w:hAnsi="宋体" w:eastAsia="宋体" w:cs="宋体"/>
          <w:i w:val="0"/>
          <w:iCs w:val="0"/>
        </w:rPr>
        <w:t>37</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4A2C327A">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_Toc22390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2.2  招标文件的澄清</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_Toc22390 \h </w:instrText>
      </w:r>
      <w:r>
        <w:rPr>
          <w:rFonts w:hint="eastAsia" w:ascii="宋体" w:hAnsi="宋体" w:eastAsia="宋体" w:cs="宋体"/>
          <w:i w:val="0"/>
          <w:iCs w:val="0"/>
        </w:rPr>
        <w:fldChar w:fldCharType="separate"/>
      </w:r>
      <w:r>
        <w:rPr>
          <w:rFonts w:hint="eastAsia" w:ascii="宋体" w:hAnsi="宋体" w:eastAsia="宋体" w:cs="宋体"/>
          <w:i w:val="0"/>
          <w:iCs w:val="0"/>
        </w:rPr>
        <w:t>37</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67DCDE02">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_Toc31294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2.3  招标文件的修改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_Toc31294 \h </w:instrText>
      </w:r>
      <w:r>
        <w:rPr>
          <w:rFonts w:hint="eastAsia" w:ascii="宋体" w:hAnsi="宋体" w:eastAsia="宋体" w:cs="宋体"/>
          <w:i w:val="0"/>
          <w:iCs w:val="0"/>
        </w:rPr>
        <w:fldChar w:fldCharType="separate"/>
      </w:r>
      <w:r>
        <w:rPr>
          <w:rFonts w:hint="eastAsia" w:ascii="宋体" w:hAnsi="宋体" w:eastAsia="宋体" w:cs="宋体"/>
          <w:i w:val="0"/>
          <w:iCs w:val="0"/>
        </w:rPr>
        <w:t>38</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2C7AAD4D">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_Toc1731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rPr>
        <w:t>3.  投标文件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_Toc1731 \h </w:instrText>
      </w:r>
      <w:r>
        <w:rPr>
          <w:rFonts w:hint="eastAsia" w:ascii="宋体" w:hAnsi="宋体" w:eastAsia="宋体" w:cs="宋体"/>
          <w:i w:val="0"/>
          <w:iCs w:val="0"/>
        </w:rPr>
        <w:fldChar w:fldCharType="separate"/>
      </w:r>
      <w:r>
        <w:rPr>
          <w:rFonts w:hint="eastAsia" w:ascii="宋体" w:hAnsi="宋体" w:eastAsia="宋体" w:cs="宋体"/>
          <w:i w:val="0"/>
          <w:iCs w:val="0"/>
        </w:rPr>
        <w:t>38</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23E9342E">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_Toc19340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3.1  投标文件的组成</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_Toc19340 \h </w:instrText>
      </w:r>
      <w:r>
        <w:rPr>
          <w:rFonts w:hint="eastAsia" w:ascii="宋体" w:hAnsi="宋体" w:eastAsia="宋体" w:cs="宋体"/>
          <w:i w:val="0"/>
          <w:iCs w:val="0"/>
        </w:rPr>
        <w:fldChar w:fldCharType="separate"/>
      </w:r>
      <w:r>
        <w:rPr>
          <w:rFonts w:hint="eastAsia" w:ascii="宋体" w:hAnsi="宋体" w:eastAsia="宋体" w:cs="宋体"/>
          <w:i w:val="0"/>
          <w:iCs w:val="0"/>
        </w:rPr>
        <w:t>38</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3F3D35A6">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_Toc9049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3.2  投标报价</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_Toc9049 \h </w:instrText>
      </w:r>
      <w:r>
        <w:rPr>
          <w:rFonts w:hint="eastAsia" w:ascii="宋体" w:hAnsi="宋体" w:eastAsia="宋体" w:cs="宋体"/>
          <w:i w:val="0"/>
          <w:iCs w:val="0"/>
        </w:rPr>
        <w:fldChar w:fldCharType="separate"/>
      </w:r>
      <w:r>
        <w:rPr>
          <w:rFonts w:hint="eastAsia" w:ascii="宋体" w:hAnsi="宋体" w:eastAsia="宋体" w:cs="宋体"/>
          <w:i w:val="0"/>
          <w:iCs w:val="0"/>
        </w:rPr>
        <w:t>38</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60DC4773">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_Toc14821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3.3  投标有效期</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_Toc14821 \h </w:instrText>
      </w:r>
      <w:r>
        <w:rPr>
          <w:rFonts w:hint="eastAsia" w:ascii="宋体" w:hAnsi="宋体" w:eastAsia="宋体" w:cs="宋体"/>
          <w:i w:val="0"/>
          <w:iCs w:val="0"/>
        </w:rPr>
        <w:fldChar w:fldCharType="separate"/>
      </w:r>
      <w:r>
        <w:rPr>
          <w:rFonts w:hint="eastAsia" w:ascii="宋体" w:hAnsi="宋体" w:eastAsia="宋体" w:cs="宋体"/>
          <w:i w:val="0"/>
          <w:iCs w:val="0"/>
        </w:rPr>
        <w:t>39</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235E68FA">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_Toc11029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3.4  投标保证金</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_Toc11029 \h </w:instrText>
      </w:r>
      <w:r>
        <w:rPr>
          <w:rFonts w:hint="eastAsia" w:ascii="宋体" w:hAnsi="宋体" w:eastAsia="宋体" w:cs="宋体"/>
          <w:i w:val="0"/>
          <w:iCs w:val="0"/>
        </w:rPr>
        <w:fldChar w:fldCharType="separate"/>
      </w:r>
      <w:r>
        <w:rPr>
          <w:rFonts w:hint="eastAsia" w:ascii="宋体" w:hAnsi="宋体" w:eastAsia="宋体" w:cs="宋体"/>
          <w:i w:val="0"/>
          <w:iCs w:val="0"/>
        </w:rPr>
        <w:t>39</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17185B9A">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_Toc19706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3.5A  资格审查资料</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_Toc19706 \h </w:instrText>
      </w:r>
      <w:r>
        <w:rPr>
          <w:rFonts w:hint="eastAsia" w:ascii="宋体" w:hAnsi="宋体" w:eastAsia="宋体" w:cs="宋体"/>
          <w:i w:val="0"/>
          <w:iCs w:val="0"/>
        </w:rPr>
        <w:fldChar w:fldCharType="separate"/>
      </w:r>
      <w:r>
        <w:rPr>
          <w:rFonts w:hint="eastAsia" w:ascii="宋体" w:hAnsi="宋体" w:eastAsia="宋体" w:cs="宋体"/>
          <w:i w:val="0"/>
          <w:iCs w:val="0"/>
        </w:rPr>
        <w:t>39</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43917333">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_Toc2848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3.5B  资格审查资料</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_Toc2848 \h </w:instrText>
      </w:r>
      <w:r>
        <w:rPr>
          <w:rFonts w:hint="eastAsia" w:ascii="宋体" w:hAnsi="宋体" w:eastAsia="宋体" w:cs="宋体"/>
          <w:i w:val="0"/>
          <w:iCs w:val="0"/>
        </w:rPr>
        <w:fldChar w:fldCharType="separate"/>
      </w:r>
      <w:r>
        <w:rPr>
          <w:rFonts w:hint="eastAsia" w:ascii="宋体" w:hAnsi="宋体" w:eastAsia="宋体" w:cs="宋体"/>
          <w:i w:val="0"/>
          <w:iCs w:val="0"/>
        </w:rPr>
        <w:t>39</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68874986">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_Toc6300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3.6  备选投标方案</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_Toc6300 \h </w:instrText>
      </w:r>
      <w:r>
        <w:rPr>
          <w:rFonts w:hint="eastAsia" w:ascii="宋体" w:hAnsi="宋体" w:eastAsia="宋体" w:cs="宋体"/>
          <w:i w:val="0"/>
          <w:iCs w:val="0"/>
        </w:rPr>
        <w:fldChar w:fldCharType="separate"/>
      </w:r>
      <w:r>
        <w:rPr>
          <w:rFonts w:hint="eastAsia" w:ascii="宋体" w:hAnsi="宋体" w:eastAsia="宋体" w:cs="宋体"/>
          <w:i w:val="0"/>
          <w:iCs w:val="0"/>
        </w:rPr>
        <w:t>39</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2BA9EABC">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_Toc15887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3.7  投标文件的编制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_Toc15887 \h </w:instrText>
      </w:r>
      <w:r>
        <w:rPr>
          <w:rFonts w:hint="eastAsia" w:ascii="宋体" w:hAnsi="宋体" w:eastAsia="宋体" w:cs="宋体"/>
          <w:i w:val="0"/>
          <w:iCs w:val="0"/>
        </w:rPr>
        <w:fldChar w:fldCharType="separate"/>
      </w:r>
      <w:r>
        <w:rPr>
          <w:rFonts w:hint="eastAsia" w:ascii="宋体" w:hAnsi="宋体" w:eastAsia="宋体" w:cs="宋体"/>
          <w:i w:val="0"/>
          <w:iCs w:val="0"/>
        </w:rPr>
        <w:t>40</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4B8DD29D">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_Toc13041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rPr>
        <w:t>4.  投标</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_Toc13041 \h </w:instrText>
      </w:r>
      <w:r>
        <w:rPr>
          <w:rFonts w:hint="eastAsia" w:ascii="宋体" w:hAnsi="宋体" w:eastAsia="宋体" w:cs="宋体"/>
          <w:i w:val="0"/>
          <w:iCs w:val="0"/>
        </w:rPr>
        <w:fldChar w:fldCharType="separate"/>
      </w:r>
      <w:r>
        <w:rPr>
          <w:rFonts w:hint="eastAsia" w:ascii="宋体" w:hAnsi="宋体" w:eastAsia="宋体" w:cs="宋体"/>
          <w:i w:val="0"/>
          <w:iCs w:val="0"/>
        </w:rPr>
        <w:t>40</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595AEAB7">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_Toc30667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4.1  投标文件的密封和标记</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_Toc30667 \h </w:instrText>
      </w:r>
      <w:r>
        <w:rPr>
          <w:rFonts w:hint="eastAsia" w:ascii="宋体" w:hAnsi="宋体" w:eastAsia="宋体" w:cs="宋体"/>
          <w:i w:val="0"/>
          <w:iCs w:val="0"/>
        </w:rPr>
        <w:fldChar w:fldCharType="separate"/>
      </w:r>
      <w:r>
        <w:rPr>
          <w:rFonts w:hint="eastAsia" w:ascii="宋体" w:hAnsi="宋体" w:eastAsia="宋体" w:cs="宋体"/>
          <w:i w:val="0"/>
          <w:iCs w:val="0"/>
        </w:rPr>
        <w:t>40</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23A1E435">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_Toc1329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4.2  投标文件的递交</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_Toc1329 \h </w:instrText>
      </w:r>
      <w:r>
        <w:rPr>
          <w:rFonts w:hint="eastAsia" w:ascii="宋体" w:hAnsi="宋体" w:eastAsia="宋体" w:cs="宋体"/>
          <w:i w:val="0"/>
          <w:iCs w:val="0"/>
        </w:rPr>
        <w:fldChar w:fldCharType="separate"/>
      </w:r>
      <w:r>
        <w:rPr>
          <w:rFonts w:hint="eastAsia" w:ascii="宋体" w:hAnsi="宋体" w:eastAsia="宋体" w:cs="宋体"/>
          <w:i w:val="0"/>
          <w:iCs w:val="0"/>
        </w:rPr>
        <w:t>40</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35A37C9A">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_Toc13779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4.3  投标文件的修改与撤回</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_Toc13779 \h </w:instrText>
      </w:r>
      <w:r>
        <w:rPr>
          <w:rFonts w:hint="eastAsia" w:ascii="宋体" w:hAnsi="宋体" w:eastAsia="宋体" w:cs="宋体"/>
          <w:i w:val="0"/>
          <w:iCs w:val="0"/>
        </w:rPr>
        <w:fldChar w:fldCharType="separate"/>
      </w:r>
      <w:r>
        <w:rPr>
          <w:rFonts w:hint="eastAsia" w:ascii="宋体" w:hAnsi="宋体" w:eastAsia="宋体" w:cs="宋体"/>
          <w:i w:val="0"/>
          <w:iCs w:val="0"/>
        </w:rPr>
        <w:t>40</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06E51AE7">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_Toc4955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rPr>
        <w:t>5.  开标</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_Toc4955 \h </w:instrText>
      </w:r>
      <w:r>
        <w:rPr>
          <w:rFonts w:hint="eastAsia" w:ascii="宋体" w:hAnsi="宋体" w:eastAsia="宋体" w:cs="宋体"/>
          <w:i w:val="0"/>
          <w:iCs w:val="0"/>
        </w:rPr>
        <w:fldChar w:fldCharType="separate"/>
      </w:r>
      <w:r>
        <w:rPr>
          <w:rFonts w:hint="eastAsia" w:ascii="宋体" w:hAnsi="宋体" w:eastAsia="宋体" w:cs="宋体"/>
          <w:i w:val="0"/>
          <w:iCs w:val="0"/>
        </w:rPr>
        <w:t>41</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6A46B1ED">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_Toc32425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5.1  开标时间和地点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_Toc32425 \h </w:instrText>
      </w:r>
      <w:r>
        <w:rPr>
          <w:rFonts w:hint="eastAsia" w:ascii="宋体" w:hAnsi="宋体" w:eastAsia="宋体" w:cs="宋体"/>
          <w:i w:val="0"/>
          <w:iCs w:val="0"/>
        </w:rPr>
        <w:fldChar w:fldCharType="separate"/>
      </w:r>
      <w:r>
        <w:rPr>
          <w:rFonts w:hint="eastAsia" w:ascii="宋体" w:hAnsi="宋体" w:eastAsia="宋体" w:cs="宋体"/>
          <w:i w:val="0"/>
          <w:iCs w:val="0"/>
        </w:rPr>
        <w:t>41</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2C8DF4C4">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_Toc31363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5.2  开标程序</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_Toc31363 \h </w:instrText>
      </w:r>
      <w:r>
        <w:rPr>
          <w:rFonts w:hint="eastAsia" w:ascii="宋体" w:hAnsi="宋体" w:eastAsia="宋体" w:cs="宋体"/>
          <w:i w:val="0"/>
          <w:iCs w:val="0"/>
        </w:rPr>
        <w:fldChar w:fldCharType="separate"/>
      </w:r>
      <w:r>
        <w:rPr>
          <w:rFonts w:hint="eastAsia" w:ascii="宋体" w:hAnsi="宋体" w:eastAsia="宋体" w:cs="宋体"/>
          <w:i w:val="0"/>
          <w:iCs w:val="0"/>
        </w:rPr>
        <w:t>41</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1CC1C385">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_Toc12630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5.3  开标异议</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_Toc12630 \h </w:instrText>
      </w:r>
      <w:r>
        <w:rPr>
          <w:rFonts w:hint="eastAsia" w:ascii="宋体" w:hAnsi="宋体" w:eastAsia="宋体" w:cs="宋体"/>
          <w:i w:val="0"/>
          <w:iCs w:val="0"/>
        </w:rPr>
        <w:fldChar w:fldCharType="separate"/>
      </w:r>
      <w:r>
        <w:rPr>
          <w:rFonts w:hint="eastAsia" w:ascii="宋体" w:hAnsi="宋体" w:eastAsia="宋体" w:cs="宋体"/>
          <w:i w:val="0"/>
          <w:iCs w:val="0"/>
        </w:rPr>
        <w:t>41</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30A0C4AD">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_Toc8875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rPr>
        <w:t>6.  评标</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_Toc8875 \h </w:instrText>
      </w:r>
      <w:r>
        <w:rPr>
          <w:rFonts w:hint="eastAsia" w:ascii="宋体" w:hAnsi="宋体" w:eastAsia="宋体" w:cs="宋体"/>
          <w:i w:val="0"/>
          <w:iCs w:val="0"/>
        </w:rPr>
        <w:fldChar w:fldCharType="separate"/>
      </w:r>
      <w:r>
        <w:rPr>
          <w:rFonts w:hint="eastAsia" w:ascii="宋体" w:hAnsi="宋体" w:eastAsia="宋体" w:cs="宋体"/>
          <w:i w:val="0"/>
          <w:iCs w:val="0"/>
        </w:rPr>
        <w:t>41</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3C0602FB">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_Toc3696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6.1  评标委员会</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_Toc3696 \h </w:instrText>
      </w:r>
      <w:r>
        <w:rPr>
          <w:rFonts w:hint="eastAsia" w:ascii="宋体" w:hAnsi="宋体" w:eastAsia="宋体" w:cs="宋体"/>
          <w:i w:val="0"/>
          <w:iCs w:val="0"/>
        </w:rPr>
        <w:fldChar w:fldCharType="separate"/>
      </w:r>
      <w:r>
        <w:rPr>
          <w:rFonts w:hint="eastAsia" w:ascii="宋体" w:hAnsi="宋体" w:eastAsia="宋体" w:cs="宋体"/>
          <w:i w:val="0"/>
          <w:iCs w:val="0"/>
        </w:rPr>
        <w:t>41</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04D18EE9">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_Toc18499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6.2  评标原则</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_Toc18499 \h </w:instrText>
      </w:r>
      <w:r>
        <w:rPr>
          <w:rFonts w:hint="eastAsia" w:ascii="宋体" w:hAnsi="宋体" w:eastAsia="宋体" w:cs="宋体"/>
          <w:i w:val="0"/>
          <w:iCs w:val="0"/>
        </w:rPr>
        <w:fldChar w:fldCharType="separate"/>
      </w:r>
      <w:r>
        <w:rPr>
          <w:rFonts w:hint="eastAsia" w:ascii="宋体" w:hAnsi="宋体" w:eastAsia="宋体" w:cs="宋体"/>
          <w:i w:val="0"/>
          <w:iCs w:val="0"/>
        </w:rPr>
        <w:t>41</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08A57007">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_Toc11793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6.3  评标</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_Toc11793 \h </w:instrText>
      </w:r>
      <w:r>
        <w:rPr>
          <w:rFonts w:hint="eastAsia" w:ascii="宋体" w:hAnsi="宋体" w:eastAsia="宋体" w:cs="宋体"/>
          <w:i w:val="0"/>
          <w:iCs w:val="0"/>
        </w:rPr>
        <w:fldChar w:fldCharType="separate"/>
      </w:r>
      <w:r>
        <w:rPr>
          <w:rFonts w:hint="eastAsia" w:ascii="宋体" w:hAnsi="宋体" w:eastAsia="宋体" w:cs="宋体"/>
          <w:i w:val="0"/>
          <w:iCs w:val="0"/>
        </w:rPr>
        <w:t>41</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3FA08992">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_Toc25283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rPr>
        <w:t>7.  合同授予</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_Toc25283 \h </w:instrText>
      </w:r>
      <w:r>
        <w:rPr>
          <w:rFonts w:hint="eastAsia" w:ascii="宋体" w:hAnsi="宋体" w:eastAsia="宋体" w:cs="宋体"/>
          <w:i w:val="0"/>
          <w:iCs w:val="0"/>
        </w:rPr>
        <w:fldChar w:fldCharType="separate"/>
      </w:r>
      <w:r>
        <w:rPr>
          <w:rFonts w:hint="eastAsia" w:ascii="宋体" w:hAnsi="宋体" w:eastAsia="宋体" w:cs="宋体"/>
          <w:i w:val="0"/>
          <w:iCs w:val="0"/>
        </w:rPr>
        <w:t>41</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25DC05FD">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_Toc29325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7.1  定标方式</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_Toc29325 \h </w:instrText>
      </w:r>
      <w:r>
        <w:rPr>
          <w:rFonts w:hint="eastAsia" w:ascii="宋体" w:hAnsi="宋体" w:eastAsia="宋体" w:cs="宋体"/>
          <w:i w:val="0"/>
          <w:iCs w:val="0"/>
        </w:rPr>
        <w:fldChar w:fldCharType="separate"/>
      </w:r>
      <w:r>
        <w:rPr>
          <w:rFonts w:hint="eastAsia" w:ascii="宋体" w:hAnsi="宋体" w:eastAsia="宋体" w:cs="宋体"/>
          <w:i w:val="0"/>
          <w:iCs w:val="0"/>
        </w:rPr>
        <w:t>41</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636106B0">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_Toc22780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7.2  中标公示及中标通知</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_Toc22780 \h </w:instrText>
      </w:r>
      <w:r>
        <w:rPr>
          <w:rFonts w:hint="eastAsia" w:ascii="宋体" w:hAnsi="宋体" w:eastAsia="宋体" w:cs="宋体"/>
          <w:i w:val="0"/>
          <w:iCs w:val="0"/>
        </w:rPr>
        <w:fldChar w:fldCharType="separate"/>
      </w:r>
      <w:r>
        <w:rPr>
          <w:rFonts w:hint="eastAsia" w:ascii="宋体" w:hAnsi="宋体" w:eastAsia="宋体" w:cs="宋体"/>
          <w:i w:val="0"/>
          <w:iCs w:val="0"/>
        </w:rPr>
        <w:t>42</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50ED11A6">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_Toc17913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7.3  履约担保</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_Toc17913 \h </w:instrText>
      </w:r>
      <w:r>
        <w:rPr>
          <w:rFonts w:hint="eastAsia" w:ascii="宋体" w:hAnsi="宋体" w:eastAsia="宋体" w:cs="宋体"/>
          <w:i w:val="0"/>
          <w:iCs w:val="0"/>
        </w:rPr>
        <w:fldChar w:fldCharType="separate"/>
      </w:r>
      <w:r>
        <w:rPr>
          <w:rFonts w:hint="eastAsia" w:ascii="宋体" w:hAnsi="宋体" w:eastAsia="宋体" w:cs="宋体"/>
          <w:i w:val="0"/>
          <w:iCs w:val="0"/>
        </w:rPr>
        <w:t>42</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040E3C54">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_Toc14613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7.4  签订合同</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_Toc14613 \h </w:instrText>
      </w:r>
      <w:r>
        <w:rPr>
          <w:rFonts w:hint="eastAsia" w:ascii="宋体" w:hAnsi="宋体" w:eastAsia="宋体" w:cs="宋体"/>
          <w:i w:val="0"/>
          <w:iCs w:val="0"/>
        </w:rPr>
        <w:fldChar w:fldCharType="separate"/>
      </w:r>
      <w:r>
        <w:rPr>
          <w:rFonts w:hint="eastAsia" w:ascii="宋体" w:hAnsi="宋体" w:eastAsia="宋体" w:cs="宋体"/>
          <w:i w:val="0"/>
          <w:iCs w:val="0"/>
        </w:rPr>
        <w:t>42</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35B62F19">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_Toc8377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rPr>
        <w:t>8.  重新招标和不再招标</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_Toc8377 \h </w:instrText>
      </w:r>
      <w:r>
        <w:rPr>
          <w:rFonts w:hint="eastAsia" w:ascii="宋体" w:hAnsi="宋体" w:eastAsia="宋体" w:cs="宋体"/>
          <w:i w:val="0"/>
          <w:iCs w:val="0"/>
        </w:rPr>
        <w:fldChar w:fldCharType="separate"/>
      </w:r>
      <w:r>
        <w:rPr>
          <w:rFonts w:hint="eastAsia" w:ascii="宋体" w:hAnsi="宋体" w:eastAsia="宋体" w:cs="宋体"/>
          <w:i w:val="0"/>
          <w:iCs w:val="0"/>
        </w:rPr>
        <w:t>42</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0AD5E382">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_Toc6481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8.1  重新招标的情形</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_Toc6481 \h </w:instrText>
      </w:r>
      <w:r>
        <w:rPr>
          <w:rFonts w:hint="eastAsia" w:ascii="宋体" w:hAnsi="宋体" w:eastAsia="宋体" w:cs="宋体"/>
          <w:i w:val="0"/>
          <w:iCs w:val="0"/>
        </w:rPr>
        <w:fldChar w:fldCharType="separate"/>
      </w:r>
      <w:r>
        <w:rPr>
          <w:rFonts w:hint="eastAsia" w:ascii="宋体" w:hAnsi="宋体" w:eastAsia="宋体" w:cs="宋体"/>
          <w:i w:val="0"/>
          <w:iCs w:val="0"/>
        </w:rPr>
        <w:t>42</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4CE450F3">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_Toc2480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8.2  重新招标和不再招标</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_Toc2480 \h </w:instrText>
      </w:r>
      <w:r>
        <w:rPr>
          <w:rFonts w:hint="eastAsia" w:ascii="宋体" w:hAnsi="宋体" w:eastAsia="宋体" w:cs="宋体"/>
          <w:i w:val="0"/>
          <w:iCs w:val="0"/>
        </w:rPr>
        <w:fldChar w:fldCharType="separate"/>
      </w:r>
      <w:r>
        <w:rPr>
          <w:rFonts w:hint="eastAsia" w:ascii="宋体" w:hAnsi="宋体" w:eastAsia="宋体" w:cs="宋体"/>
          <w:i w:val="0"/>
          <w:iCs w:val="0"/>
        </w:rPr>
        <w:t>42</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6643644A">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_Toc12297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rPr>
        <w:t>9.  纪律和监督</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_Toc12297 \h </w:instrText>
      </w:r>
      <w:r>
        <w:rPr>
          <w:rFonts w:hint="eastAsia" w:ascii="宋体" w:hAnsi="宋体" w:eastAsia="宋体" w:cs="宋体"/>
          <w:i w:val="0"/>
          <w:iCs w:val="0"/>
        </w:rPr>
        <w:fldChar w:fldCharType="separate"/>
      </w:r>
      <w:r>
        <w:rPr>
          <w:rFonts w:hint="eastAsia" w:ascii="宋体" w:hAnsi="宋体" w:eastAsia="宋体" w:cs="宋体"/>
          <w:i w:val="0"/>
          <w:iCs w:val="0"/>
        </w:rPr>
        <w:t>43</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37D49B05">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_Toc1229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9.1  对招标人的纪律要求</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_Toc1229 \h </w:instrText>
      </w:r>
      <w:r>
        <w:rPr>
          <w:rFonts w:hint="eastAsia" w:ascii="宋体" w:hAnsi="宋体" w:eastAsia="宋体" w:cs="宋体"/>
          <w:i w:val="0"/>
          <w:iCs w:val="0"/>
        </w:rPr>
        <w:fldChar w:fldCharType="separate"/>
      </w:r>
      <w:r>
        <w:rPr>
          <w:rFonts w:hint="eastAsia" w:ascii="宋体" w:hAnsi="宋体" w:eastAsia="宋体" w:cs="宋体"/>
          <w:i w:val="0"/>
          <w:iCs w:val="0"/>
        </w:rPr>
        <w:t>43</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79B7ECD0">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_Toc25735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9.2  对投标人的纪律要求</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_Toc25735 \h </w:instrText>
      </w:r>
      <w:r>
        <w:rPr>
          <w:rFonts w:hint="eastAsia" w:ascii="宋体" w:hAnsi="宋体" w:eastAsia="宋体" w:cs="宋体"/>
          <w:i w:val="0"/>
          <w:iCs w:val="0"/>
        </w:rPr>
        <w:fldChar w:fldCharType="separate"/>
      </w:r>
      <w:r>
        <w:rPr>
          <w:rFonts w:hint="eastAsia" w:ascii="宋体" w:hAnsi="宋体" w:eastAsia="宋体" w:cs="宋体"/>
          <w:i w:val="0"/>
          <w:iCs w:val="0"/>
        </w:rPr>
        <w:t>43</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472F9202">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_Toc19197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9.3  对评标委员会成员的纪律要求</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_Toc19197 \h </w:instrText>
      </w:r>
      <w:r>
        <w:rPr>
          <w:rFonts w:hint="eastAsia" w:ascii="宋体" w:hAnsi="宋体" w:eastAsia="宋体" w:cs="宋体"/>
          <w:i w:val="0"/>
          <w:iCs w:val="0"/>
        </w:rPr>
        <w:fldChar w:fldCharType="separate"/>
      </w:r>
      <w:r>
        <w:rPr>
          <w:rFonts w:hint="eastAsia" w:ascii="宋体" w:hAnsi="宋体" w:eastAsia="宋体" w:cs="宋体"/>
          <w:i w:val="0"/>
          <w:iCs w:val="0"/>
        </w:rPr>
        <w:t>44</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2285FDDE">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_Toc26527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9.4  对与评标活动有关的工作人员的纪律要求</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_Toc26527 \h </w:instrText>
      </w:r>
      <w:r>
        <w:rPr>
          <w:rFonts w:hint="eastAsia" w:ascii="宋体" w:hAnsi="宋体" w:eastAsia="宋体" w:cs="宋体"/>
          <w:i w:val="0"/>
          <w:iCs w:val="0"/>
        </w:rPr>
        <w:fldChar w:fldCharType="separate"/>
      </w:r>
      <w:r>
        <w:rPr>
          <w:rFonts w:hint="eastAsia" w:ascii="宋体" w:hAnsi="宋体" w:eastAsia="宋体" w:cs="宋体"/>
          <w:i w:val="0"/>
          <w:iCs w:val="0"/>
        </w:rPr>
        <w:t>44</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4650FA74">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_Toc16087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9.5  投诉</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_Toc16087 \h </w:instrText>
      </w:r>
      <w:r>
        <w:rPr>
          <w:rFonts w:hint="eastAsia" w:ascii="宋体" w:hAnsi="宋体" w:eastAsia="宋体" w:cs="宋体"/>
          <w:i w:val="0"/>
          <w:iCs w:val="0"/>
        </w:rPr>
        <w:fldChar w:fldCharType="separate"/>
      </w:r>
      <w:r>
        <w:rPr>
          <w:rFonts w:hint="eastAsia" w:ascii="宋体" w:hAnsi="宋体" w:eastAsia="宋体" w:cs="宋体"/>
          <w:i w:val="0"/>
          <w:iCs w:val="0"/>
        </w:rPr>
        <w:t>44</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30BD5109">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_Toc6723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rPr>
        <w:t>10. 需要补充的其他内容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_Toc6723 \h </w:instrText>
      </w:r>
      <w:r>
        <w:rPr>
          <w:rFonts w:hint="eastAsia" w:ascii="宋体" w:hAnsi="宋体" w:eastAsia="宋体" w:cs="宋体"/>
          <w:i w:val="0"/>
          <w:iCs w:val="0"/>
        </w:rPr>
        <w:fldChar w:fldCharType="separate"/>
      </w:r>
      <w:r>
        <w:rPr>
          <w:rFonts w:hint="eastAsia" w:ascii="宋体" w:hAnsi="宋体" w:eastAsia="宋体" w:cs="宋体"/>
          <w:i w:val="0"/>
          <w:iCs w:val="0"/>
        </w:rPr>
        <w:t>44</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26291132">
      <w:pPr>
        <w:pStyle w:val="31"/>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_Toc16756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rPr>
        <w:t>第三章  评标办法（综合评估法）</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_Toc16756 \h </w:instrText>
      </w:r>
      <w:r>
        <w:rPr>
          <w:rFonts w:hint="eastAsia" w:ascii="宋体" w:hAnsi="宋体" w:eastAsia="宋体" w:cs="宋体"/>
          <w:i w:val="0"/>
          <w:iCs w:val="0"/>
        </w:rPr>
        <w:fldChar w:fldCharType="separate"/>
      </w:r>
      <w:r>
        <w:rPr>
          <w:rFonts w:hint="eastAsia" w:ascii="宋体" w:hAnsi="宋体" w:eastAsia="宋体" w:cs="宋体"/>
          <w:i w:val="0"/>
          <w:iCs w:val="0"/>
        </w:rPr>
        <w:t>62</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64ECDFDC">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_Toc1330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rPr>
        <w:t>评标办法前附表</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_Toc1330 \h </w:instrText>
      </w:r>
      <w:r>
        <w:rPr>
          <w:rFonts w:hint="eastAsia" w:ascii="宋体" w:hAnsi="宋体" w:eastAsia="宋体" w:cs="宋体"/>
          <w:i w:val="0"/>
          <w:iCs w:val="0"/>
        </w:rPr>
        <w:fldChar w:fldCharType="separate"/>
      </w:r>
      <w:r>
        <w:rPr>
          <w:rFonts w:hint="eastAsia" w:ascii="宋体" w:hAnsi="宋体" w:eastAsia="宋体" w:cs="宋体"/>
          <w:i w:val="0"/>
          <w:iCs w:val="0"/>
        </w:rPr>
        <w:t>62</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55C9F2C2">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_Toc22578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rPr>
        <w:t>1.  评标方法</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_Toc22578 \h </w:instrText>
      </w:r>
      <w:r>
        <w:rPr>
          <w:rFonts w:hint="eastAsia" w:ascii="宋体" w:hAnsi="宋体" w:eastAsia="宋体" w:cs="宋体"/>
          <w:i w:val="0"/>
          <w:iCs w:val="0"/>
        </w:rPr>
        <w:fldChar w:fldCharType="separate"/>
      </w:r>
      <w:r>
        <w:rPr>
          <w:rFonts w:hint="eastAsia" w:ascii="宋体" w:hAnsi="宋体" w:eastAsia="宋体" w:cs="宋体"/>
          <w:i w:val="0"/>
          <w:iCs w:val="0"/>
        </w:rPr>
        <w:t>73</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4FE88B3F">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_Toc6388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rPr>
        <w:t>2.  评审标准</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_Toc6388 \h </w:instrText>
      </w:r>
      <w:r>
        <w:rPr>
          <w:rFonts w:hint="eastAsia" w:ascii="宋体" w:hAnsi="宋体" w:eastAsia="宋体" w:cs="宋体"/>
          <w:i w:val="0"/>
          <w:iCs w:val="0"/>
        </w:rPr>
        <w:fldChar w:fldCharType="separate"/>
      </w:r>
      <w:r>
        <w:rPr>
          <w:rFonts w:hint="eastAsia" w:ascii="宋体" w:hAnsi="宋体" w:eastAsia="宋体" w:cs="宋体"/>
          <w:i w:val="0"/>
          <w:iCs w:val="0"/>
        </w:rPr>
        <w:t>73</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68B4F2A2">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_Toc11292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2.1  初步评审标准</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_Toc11292 \h </w:instrText>
      </w:r>
      <w:r>
        <w:rPr>
          <w:rFonts w:hint="eastAsia" w:ascii="宋体" w:hAnsi="宋体" w:eastAsia="宋体" w:cs="宋体"/>
          <w:i w:val="0"/>
          <w:iCs w:val="0"/>
        </w:rPr>
        <w:fldChar w:fldCharType="separate"/>
      </w:r>
      <w:r>
        <w:rPr>
          <w:rFonts w:hint="eastAsia" w:ascii="宋体" w:hAnsi="宋体" w:eastAsia="宋体" w:cs="宋体"/>
          <w:i w:val="0"/>
          <w:iCs w:val="0"/>
        </w:rPr>
        <w:t>73</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25B65E8F">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_Toc10827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2.2  分值构成与评分标准</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_Toc10827 \h </w:instrText>
      </w:r>
      <w:r>
        <w:rPr>
          <w:rFonts w:hint="eastAsia" w:ascii="宋体" w:hAnsi="宋体" w:eastAsia="宋体" w:cs="宋体"/>
          <w:i w:val="0"/>
          <w:iCs w:val="0"/>
        </w:rPr>
        <w:fldChar w:fldCharType="separate"/>
      </w:r>
      <w:r>
        <w:rPr>
          <w:rFonts w:hint="eastAsia" w:ascii="宋体" w:hAnsi="宋体" w:eastAsia="宋体" w:cs="宋体"/>
          <w:i w:val="0"/>
          <w:iCs w:val="0"/>
        </w:rPr>
        <w:t>73</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034EFB05">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_Toc8437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rPr>
        <w:t>3.  评标程序</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_Toc8437 \h </w:instrText>
      </w:r>
      <w:r>
        <w:rPr>
          <w:rFonts w:hint="eastAsia" w:ascii="宋体" w:hAnsi="宋体" w:eastAsia="宋体" w:cs="宋体"/>
          <w:i w:val="0"/>
          <w:iCs w:val="0"/>
        </w:rPr>
        <w:fldChar w:fldCharType="separate"/>
      </w:r>
      <w:r>
        <w:rPr>
          <w:rFonts w:hint="eastAsia" w:ascii="宋体" w:hAnsi="宋体" w:eastAsia="宋体" w:cs="宋体"/>
          <w:i w:val="0"/>
          <w:iCs w:val="0"/>
        </w:rPr>
        <w:t>73</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1633FEA9">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_Toc24772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3.1  初步评审</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_Toc24772 \h </w:instrText>
      </w:r>
      <w:r>
        <w:rPr>
          <w:rFonts w:hint="eastAsia" w:ascii="宋体" w:hAnsi="宋体" w:eastAsia="宋体" w:cs="宋体"/>
          <w:i w:val="0"/>
          <w:iCs w:val="0"/>
        </w:rPr>
        <w:fldChar w:fldCharType="separate"/>
      </w:r>
      <w:r>
        <w:rPr>
          <w:rFonts w:hint="eastAsia" w:ascii="宋体" w:hAnsi="宋体" w:eastAsia="宋体" w:cs="宋体"/>
          <w:i w:val="0"/>
          <w:iCs w:val="0"/>
        </w:rPr>
        <w:t>73</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60E6AB10">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_Toc4007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3.2  详细评审</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_Toc4007 \h </w:instrText>
      </w:r>
      <w:r>
        <w:rPr>
          <w:rFonts w:hint="eastAsia" w:ascii="宋体" w:hAnsi="宋体" w:eastAsia="宋体" w:cs="宋体"/>
          <w:i w:val="0"/>
          <w:iCs w:val="0"/>
        </w:rPr>
        <w:fldChar w:fldCharType="separate"/>
      </w:r>
      <w:r>
        <w:rPr>
          <w:rFonts w:hint="eastAsia" w:ascii="宋体" w:hAnsi="宋体" w:eastAsia="宋体" w:cs="宋体"/>
          <w:i w:val="0"/>
          <w:iCs w:val="0"/>
        </w:rPr>
        <w:t>74</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34C6D31E">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_Toc27390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3.3  投标文件的澄清和补正</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_Toc27390 \h </w:instrText>
      </w:r>
      <w:r>
        <w:rPr>
          <w:rFonts w:hint="eastAsia" w:ascii="宋体" w:hAnsi="宋体" w:eastAsia="宋体" w:cs="宋体"/>
          <w:i w:val="0"/>
          <w:iCs w:val="0"/>
        </w:rPr>
        <w:fldChar w:fldCharType="separate"/>
      </w:r>
      <w:r>
        <w:rPr>
          <w:rFonts w:hint="eastAsia" w:ascii="宋体" w:hAnsi="宋体" w:eastAsia="宋体" w:cs="宋体"/>
          <w:i w:val="0"/>
          <w:iCs w:val="0"/>
        </w:rPr>
        <w:t>74</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341A141B">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_Toc18473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napToGrid w:val="0"/>
          <w:szCs w:val="24"/>
        </w:rPr>
        <w:t>3.4  评标结果</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_Toc18473 \h </w:instrText>
      </w:r>
      <w:r>
        <w:rPr>
          <w:rFonts w:hint="eastAsia" w:ascii="宋体" w:hAnsi="宋体" w:eastAsia="宋体" w:cs="宋体"/>
          <w:i w:val="0"/>
          <w:iCs w:val="0"/>
        </w:rPr>
        <w:fldChar w:fldCharType="separate"/>
      </w:r>
      <w:r>
        <w:rPr>
          <w:rFonts w:hint="eastAsia" w:ascii="宋体" w:hAnsi="宋体" w:eastAsia="宋体" w:cs="宋体"/>
          <w:i w:val="0"/>
          <w:iCs w:val="0"/>
        </w:rPr>
        <w:t>74</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33D6F61A">
      <w:pPr>
        <w:pStyle w:val="31"/>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_Toc11656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kern w:val="0"/>
        </w:rPr>
        <w:t>第四章  合同条款及格式</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_Toc11656 \h </w:instrText>
      </w:r>
      <w:r>
        <w:rPr>
          <w:rFonts w:hint="eastAsia" w:ascii="宋体" w:hAnsi="宋体" w:eastAsia="宋体" w:cs="宋体"/>
          <w:i w:val="0"/>
          <w:iCs w:val="0"/>
        </w:rPr>
        <w:fldChar w:fldCharType="separate"/>
      </w:r>
      <w:r>
        <w:rPr>
          <w:rFonts w:hint="eastAsia" w:ascii="宋体" w:hAnsi="宋体" w:eastAsia="宋体" w:cs="宋体"/>
          <w:i w:val="0"/>
          <w:iCs w:val="0"/>
        </w:rPr>
        <w:t>78</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269B2189">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_Toc26489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zCs w:val="44"/>
        </w:rPr>
        <w:t>第一部分 合同协议书</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_Toc26489 \h </w:instrText>
      </w:r>
      <w:r>
        <w:rPr>
          <w:rFonts w:hint="eastAsia" w:ascii="宋体" w:hAnsi="宋体" w:eastAsia="宋体" w:cs="宋体"/>
          <w:i w:val="0"/>
          <w:iCs w:val="0"/>
        </w:rPr>
        <w:fldChar w:fldCharType="separate"/>
      </w:r>
      <w:r>
        <w:rPr>
          <w:rFonts w:hint="eastAsia" w:ascii="宋体" w:hAnsi="宋体" w:eastAsia="宋体" w:cs="宋体"/>
          <w:i w:val="0"/>
          <w:iCs w:val="0"/>
        </w:rPr>
        <w:t>80</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1894271C">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_Toc6507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zCs w:val="44"/>
        </w:rPr>
        <w:t>第二部分 通用合同条款</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_Toc6507 \h </w:instrText>
      </w:r>
      <w:r>
        <w:rPr>
          <w:rFonts w:hint="eastAsia" w:ascii="宋体" w:hAnsi="宋体" w:eastAsia="宋体" w:cs="宋体"/>
          <w:i w:val="0"/>
          <w:iCs w:val="0"/>
        </w:rPr>
        <w:fldChar w:fldCharType="separate"/>
      </w:r>
      <w:r>
        <w:rPr>
          <w:rFonts w:hint="eastAsia" w:ascii="宋体" w:hAnsi="宋体" w:eastAsia="宋体" w:cs="宋体"/>
          <w:i w:val="0"/>
          <w:iCs w:val="0"/>
        </w:rPr>
        <w:t>83</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713277CC">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_Toc19066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zCs w:val="44"/>
        </w:rPr>
        <w:t>第三部分 专用合同条款</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_Toc19066 \h </w:instrText>
      </w:r>
      <w:r>
        <w:rPr>
          <w:rFonts w:hint="eastAsia" w:ascii="宋体" w:hAnsi="宋体" w:eastAsia="宋体" w:cs="宋体"/>
          <w:i w:val="0"/>
          <w:iCs w:val="0"/>
        </w:rPr>
        <w:fldChar w:fldCharType="separate"/>
      </w:r>
      <w:r>
        <w:rPr>
          <w:rFonts w:hint="eastAsia" w:ascii="宋体" w:hAnsi="宋体" w:eastAsia="宋体" w:cs="宋体"/>
          <w:i w:val="0"/>
          <w:iCs w:val="0"/>
        </w:rPr>
        <w:t>139</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61CFF842">
      <w:pPr>
        <w:pStyle w:val="31"/>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_Toc28687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rPr>
        <w:t>第五章  工程量清单</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_Toc28687 \h </w:instrText>
      </w:r>
      <w:r>
        <w:rPr>
          <w:rFonts w:hint="eastAsia" w:ascii="宋体" w:hAnsi="宋体" w:eastAsia="宋体" w:cs="宋体"/>
          <w:i w:val="0"/>
          <w:iCs w:val="0"/>
        </w:rPr>
        <w:fldChar w:fldCharType="separate"/>
      </w:r>
      <w:r>
        <w:rPr>
          <w:rFonts w:hint="eastAsia" w:ascii="宋体" w:hAnsi="宋体" w:eastAsia="宋体" w:cs="宋体"/>
          <w:i w:val="0"/>
          <w:iCs w:val="0"/>
        </w:rPr>
        <w:t>169</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6EB064A2">
      <w:pPr>
        <w:pStyle w:val="31"/>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_Toc27833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zCs w:val="52"/>
        </w:rPr>
        <w:t>第 二 卷</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_Toc27833 \h </w:instrText>
      </w:r>
      <w:r>
        <w:rPr>
          <w:rFonts w:hint="eastAsia" w:ascii="宋体" w:hAnsi="宋体" w:eastAsia="宋体" w:cs="宋体"/>
          <w:i w:val="0"/>
          <w:iCs w:val="0"/>
        </w:rPr>
        <w:fldChar w:fldCharType="separate"/>
      </w:r>
      <w:r>
        <w:rPr>
          <w:rFonts w:hint="eastAsia" w:ascii="宋体" w:hAnsi="宋体" w:eastAsia="宋体" w:cs="宋体"/>
          <w:i w:val="0"/>
          <w:iCs w:val="0"/>
        </w:rPr>
        <w:t>170</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3398C150">
      <w:pPr>
        <w:pStyle w:val="31"/>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_Toc10093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rPr>
        <w:t>第六章  图纸</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_Toc10093 \h </w:instrText>
      </w:r>
      <w:r>
        <w:rPr>
          <w:rFonts w:hint="eastAsia" w:ascii="宋体" w:hAnsi="宋体" w:eastAsia="宋体" w:cs="宋体"/>
          <w:i w:val="0"/>
          <w:iCs w:val="0"/>
        </w:rPr>
        <w:fldChar w:fldCharType="separate"/>
      </w:r>
      <w:r>
        <w:rPr>
          <w:rFonts w:hint="eastAsia" w:ascii="宋体" w:hAnsi="宋体" w:eastAsia="宋体" w:cs="宋体"/>
          <w:i w:val="0"/>
          <w:iCs w:val="0"/>
        </w:rPr>
        <w:t>171</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679FE668">
      <w:pPr>
        <w:pStyle w:val="31"/>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_Toc14951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zCs w:val="52"/>
        </w:rPr>
        <w:t>第 三 卷</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_Toc14951 \h </w:instrText>
      </w:r>
      <w:r>
        <w:rPr>
          <w:rFonts w:hint="eastAsia" w:ascii="宋体" w:hAnsi="宋体" w:eastAsia="宋体" w:cs="宋体"/>
          <w:i w:val="0"/>
          <w:iCs w:val="0"/>
        </w:rPr>
        <w:fldChar w:fldCharType="separate"/>
      </w:r>
      <w:r>
        <w:rPr>
          <w:rFonts w:hint="eastAsia" w:ascii="宋体" w:hAnsi="宋体" w:eastAsia="宋体" w:cs="宋体"/>
          <w:i w:val="0"/>
          <w:iCs w:val="0"/>
        </w:rPr>
        <w:t>172</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32A6254F">
      <w:pPr>
        <w:pStyle w:val="31"/>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_Toc30888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rPr>
        <w:t>第七章  技术标准和要求</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_Toc30888 \h </w:instrText>
      </w:r>
      <w:r>
        <w:rPr>
          <w:rFonts w:hint="eastAsia" w:ascii="宋体" w:hAnsi="宋体" w:eastAsia="宋体" w:cs="宋体"/>
          <w:i w:val="0"/>
          <w:iCs w:val="0"/>
        </w:rPr>
        <w:fldChar w:fldCharType="separate"/>
      </w:r>
      <w:r>
        <w:rPr>
          <w:rFonts w:hint="eastAsia" w:ascii="宋体" w:hAnsi="宋体" w:eastAsia="宋体" w:cs="宋体"/>
          <w:i w:val="0"/>
          <w:iCs w:val="0"/>
        </w:rPr>
        <w:t>173</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3F0DBA16">
      <w:pPr>
        <w:pStyle w:val="31"/>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_Toc22278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szCs w:val="52"/>
        </w:rPr>
        <w:t>第 四 卷</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_Toc22278 \h </w:instrText>
      </w:r>
      <w:r>
        <w:rPr>
          <w:rFonts w:hint="eastAsia" w:ascii="宋体" w:hAnsi="宋体" w:eastAsia="宋体" w:cs="宋体"/>
          <w:i w:val="0"/>
          <w:iCs w:val="0"/>
        </w:rPr>
        <w:fldChar w:fldCharType="separate"/>
      </w:r>
      <w:r>
        <w:rPr>
          <w:rFonts w:hint="eastAsia" w:ascii="宋体" w:hAnsi="宋体" w:eastAsia="宋体" w:cs="宋体"/>
          <w:i w:val="0"/>
          <w:iCs w:val="0"/>
        </w:rPr>
        <w:t>174</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3EBB4F5D">
      <w:pPr>
        <w:pStyle w:val="31"/>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_Toc13437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rPr>
        <w:t>第八章  投标文件格式</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_Toc13437 \h </w:instrText>
      </w:r>
      <w:r>
        <w:rPr>
          <w:rFonts w:hint="eastAsia" w:ascii="宋体" w:hAnsi="宋体" w:eastAsia="宋体" w:cs="宋体"/>
          <w:i w:val="0"/>
          <w:iCs w:val="0"/>
        </w:rPr>
        <w:fldChar w:fldCharType="separate"/>
      </w:r>
      <w:r>
        <w:rPr>
          <w:rFonts w:hint="eastAsia" w:ascii="宋体" w:hAnsi="宋体" w:eastAsia="宋体" w:cs="宋体"/>
          <w:i w:val="0"/>
          <w:iCs w:val="0"/>
        </w:rPr>
        <w:t>175</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0C65D34C">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_Toc9881 </w:instrText>
      </w:r>
      <w:r>
        <w:rPr>
          <w:rFonts w:hint="eastAsia" w:ascii="宋体" w:hAnsi="宋体" w:eastAsia="宋体" w:cs="宋体"/>
          <w:bCs/>
          <w:i w:val="0"/>
          <w:iCs w:val="0"/>
          <w:szCs w:val="20"/>
          <w:lang w:val="zh-CN"/>
        </w:rPr>
        <w:fldChar w:fldCharType="separate"/>
      </w:r>
      <w:r>
        <w:rPr>
          <w:rFonts w:hint="eastAsia" w:ascii="宋体" w:hAnsi="宋体" w:eastAsia="宋体" w:cs="宋体"/>
          <w:bCs w:val="0"/>
          <w:i w:val="0"/>
          <w:iCs w:val="0"/>
          <w:szCs w:val="44"/>
        </w:rPr>
        <w:t>一、投标函部分</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_Toc9881 \h </w:instrText>
      </w:r>
      <w:r>
        <w:rPr>
          <w:rFonts w:hint="eastAsia" w:ascii="宋体" w:hAnsi="宋体" w:eastAsia="宋体" w:cs="宋体"/>
          <w:i w:val="0"/>
          <w:iCs w:val="0"/>
        </w:rPr>
        <w:fldChar w:fldCharType="separate"/>
      </w:r>
      <w:r>
        <w:rPr>
          <w:rFonts w:hint="eastAsia" w:ascii="宋体" w:hAnsi="宋体" w:eastAsia="宋体" w:cs="宋体"/>
          <w:i w:val="0"/>
          <w:iCs w:val="0"/>
        </w:rPr>
        <w:t>177</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2000B828">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_Toc5165 </w:instrText>
      </w:r>
      <w:r>
        <w:rPr>
          <w:rFonts w:hint="eastAsia" w:ascii="宋体" w:hAnsi="宋体" w:eastAsia="宋体" w:cs="宋体"/>
          <w:bCs/>
          <w:i w:val="0"/>
          <w:iCs w:val="0"/>
          <w:szCs w:val="20"/>
          <w:lang w:val="zh-CN"/>
        </w:rPr>
        <w:fldChar w:fldCharType="separate"/>
      </w:r>
      <w:r>
        <w:rPr>
          <w:rFonts w:hint="eastAsia" w:ascii="宋体" w:hAnsi="宋体" w:eastAsia="宋体" w:cs="宋体"/>
          <w:bCs w:val="0"/>
          <w:i w:val="0"/>
          <w:iCs w:val="0"/>
        </w:rPr>
        <w:t>（一）投标函</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_Toc5165 \h </w:instrText>
      </w:r>
      <w:r>
        <w:rPr>
          <w:rFonts w:hint="eastAsia" w:ascii="宋体" w:hAnsi="宋体" w:eastAsia="宋体" w:cs="宋体"/>
          <w:i w:val="0"/>
          <w:iCs w:val="0"/>
        </w:rPr>
        <w:fldChar w:fldCharType="separate"/>
      </w:r>
      <w:r>
        <w:rPr>
          <w:rFonts w:hint="eastAsia" w:ascii="宋体" w:hAnsi="宋体" w:eastAsia="宋体" w:cs="宋体"/>
          <w:i w:val="0"/>
          <w:iCs w:val="0"/>
        </w:rPr>
        <w:t>180</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40238851">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_Toc5477 </w:instrText>
      </w:r>
      <w:r>
        <w:rPr>
          <w:rFonts w:hint="eastAsia" w:ascii="宋体" w:hAnsi="宋体" w:eastAsia="宋体" w:cs="宋体"/>
          <w:bCs/>
          <w:i w:val="0"/>
          <w:iCs w:val="0"/>
          <w:szCs w:val="20"/>
          <w:lang w:val="zh-CN"/>
        </w:rPr>
        <w:fldChar w:fldCharType="separate"/>
      </w:r>
      <w:r>
        <w:rPr>
          <w:rFonts w:hint="eastAsia" w:ascii="宋体" w:hAnsi="宋体" w:eastAsia="宋体" w:cs="宋体"/>
          <w:bCs w:val="0"/>
          <w:i w:val="0"/>
          <w:iCs w:val="0"/>
        </w:rPr>
        <w:t>（二）投标函附录</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_Toc5477 \h </w:instrText>
      </w:r>
      <w:r>
        <w:rPr>
          <w:rFonts w:hint="eastAsia" w:ascii="宋体" w:hAnsi="宋体" w:eastAsia="宋体" w:cs="宋体"/>
          <w:i w:val="0"/>
          <w:iCs w:val="0"/>
        </w:rPr>
        <w:fldChar w:fldCharType="separate"/>
      </w:r>
      <w:r>
        <w:rPr>
          <w:rFonts w:hint="eastAsia" w:ascii="宋体" w:hAnsi="宋体" w:eastAsia="宋体" w:cs="宋体"/>
          <w:i w:val="0"/>
          <w:iCs w:val="0"/>
        </w:rPr>
        <w:t>181</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1CD6B06B">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_Toc13011 </w:instrText>
      </w:r>
      <w:r>
        <w:rPr>
          <w:rFonts w:hint="eastAsia" w:ascii="宋体" w:hAnsi="宋体" w:eastAsia="宋体" w:cs="宋体"/>
          <w:bCs/>
          <w:i w:val="0"/>
          <w:iCs w:val="0"/>
          <w:szCs w:val="20"/>
          <w:lang w:val="zh-CN"/>
        </w:rPr>
        <w:fldChar w:fldCharType="separate"/>
      </w:r>
      <w:r>
        <w:rPr>
          <w:rFonts w:hint="eastAsia" w:ascii="宋体" w:hAnsi="宋体" w:eastAsia="宋体" w:cs="宋体"/>
          <w:bCs w:val="0"/>
          <w:i w:val="0"/>
          <w:iCs w:val="0"/>
        </w:rPr>
        <w:t>（</w:t>
      </w:r>
      <w:r>
        <w:rPr>
          <w:rFonts w:hint="eastAsia" w:ascii="宋体" w:hAnsi="宋体" w:eastAsia="宋体" w:cs="宋体"/>
          <w:bCs w:val="0"/>
          <w:i w:val="0"/>
          <w:iCs w:val="0"/>
          <w:lang w:val="en-US" w:eastAsia="zh-CN"/>
        </w:rPr>
        <w:t>三</w:t>
      </w:r>
      <w:r>
        <w:rPr>
          <w:rFonts w:hint="eastAsia" w:ascii="宋体" w:hAnsi="宋体" w:eastAsia="宋体" w:cs="宋体"/>
          <w:bCs w:val="0"/>
          <w:i w:val="0"/>
          <w:iCs w:val="0"/>
        </w:rPr>
        <w:t>）投标报价合理性说明</w:t>
      </w:r>
      <w:r>
        <w:rPr>
          <w:rFonts w:hint="eastAsia" w:ascii="宋体" w:hAnsi="宋体" w:eastAsia="宋体" w:cs="宋体"/>
          <w:bCs w:val="0"/>
          <w:i w:val="0"/>
          <w:iCs w:val="0"/>
          <w:lang w:eastAsia="zh-CN"/>
        </w:rPr>
        <w:t>（</w:t>
      </w:r>
      <w:r>
        <w:rPr>
          <w:rFonts w:hint="eastAsia" w:ascii="宋体" w:hAnsi="宋体" w:eastAsia="宋体" w:cs="宋体"/>
          <w:bCs w:val="0"/>
          <w:i w:val="0"/>
          <w:iCs w:val="0"/>
          <w:lang w:val="en-US" w:eastAsia="zh-CN"/>
        </w:rPr>
        <w:t>如有</w:t>
      </w:r>
      <w:r>
        <w:rPr>
          <w:rFonts w:hint="eastAsia" w:ascii="宋体" w:hAnsi="宋体" w:eastAsia="宋体" w:cs="宋体"/>
          <w:bCs w:val="0"/>
          <w:i w:val="0"/>
          <w:iCs w:val="0"/>
          <w:lang w:eastAsia="zh-CN"/>
        </w:rPr>
        <w:t>）</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_Toc13011 \h </w:instrText>
      </w:r>
      <w:r>
        <w:rPr>
          <w:rFonts w:hint="eastAsia" w:ascii="宋体" w:hAnsi="宋体" w:eastAsia="宋体" w:cs="宋体"/>
          <w:i w:val="0"/>
          <w:iCs w:val="0"/>
        </w:rPr>
        <w:fldChar w:fldCharType="separate"/>
      </w:r>
      <w:r>
        <w:rPr>
          <w:rFonts w:hint="eastAsia" w:ascii="宋体" w:hAnsi="宋体" w:eastAsia="宋体" w:cs="宋体"/>
          <w:i w:val="0"/>
          <w:iCs w:val="0"/>
        </w:rPr>
        <w:t>182</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5DB96517">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_Toc14964 </w:instrText>
      </w:r>
      <w:r>
        <w:rPr>
          <w:rFonts w:hint="eastAsia" w:ascii="宋体" w:hAnsi="宋体" w:eastAsia="宋体" w:cs="宋体"/>
          <w:bCs/>
          <w:i w:val="0"/>
          <w:iCs w:val="0"/>
          <w:szCs w:val="20"/>
          <w:lang w:val="zh-CN"/>
        </w:rPr>
        <w:fldChar w:fldCharType="separate"/>
      </w:r>
      <w:r>
        <w:rPr>
          <w:rFonts w:hint="eastAsia" w:ascii="宋体" w:hAnsi="宋体" w:eastAsia="宋体" w:cs="宋体"/>
          <w:bCs w:val="0"/>
          <w:i w:val="0"/>
          <w:iCs w:val="0"/>
        </w:rPr>
        <w:t>（</w:t>
      </w:r>
      <w:r>
        <w:rPr>
          <w:rFonts w:hint="eastAsia" w:ascii="宋体" w:hAnsi="宋体" w:eastAsia="宋体" w:cs="宋体"/>
          <w:bCs w:val="0"/>
          <w:i w:val="0"/>
          <w:iCs w:val="0"/>
          <w:lang w:val="en-US" w:eastAsia="zh-CN"/>
        </w:rPr>
        <w:t>四</w:t>
      </w:r>
      <w:r>
        <w:rPr>
          <w:rFonts w:hint="eastAsia" w:ascii="宋体" w:hAnsi="宋体" w:eastAsia="宋体" w:cs="宋体"/>
          <w:bCs w:val="0"/>
          <w:i w:val="0"/>
          <w:iCs w:val="0"/>
        </w:rPr>
        <w:t>）法定代表人身份证明或授权委托书</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_Toc14964 \h </w:instrText>
      </w:r>
      <w:r>
        <w:rPr>
          <w:rFonts w:hint="eastAsia" w:ascii="宋体" w:hAnsi="宋体" w:eastAsia="宋体" w:cs="宋体"/>
          <w:i w:val="0"/>
          <w:iCs w:val="0"/>
        </w:rPr>
        <w:fldChar w:fldCharType="separate"/>
      </w:r>
      <w:r>
        <w:rPr>
          <w:rFonts w:hint="eastAsia" w:ascii="宋体" w:hAnsi="宋体" w:eastAsia="宋体" w:cs="宋体"/>
          <w:i w:val="0"/>
          <w:iCs w:val="0"/>
        </w:rPr>
        <w:t>183</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338F6711">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_Toc31296 </w:instrText>
      </w:r>
      <w:r>
        <w:rPr>
          <w:rFonts w:hint="eastAsia" w:ascii="宋体" w:hAnsi="宋体" w:eastAsia="宋体" w:cs="宋体"/>
          <w:bCs/>
          <w:i w:val="0"/>
          <w:iCs w:val="0"/>
          <w:szCs w:val="20"/>
          <w:lang w:val="zh-CN"/>
        </w:rPr>
        <w:fldChar w:fldCharType="separate"/>
      </w:r>
      <w:r>
        <w:rPr>
          <w:rFonts w:hint="eastAsia" w:ascii="宋体" w:hAnsi="宋体" w:eastAsia="宋体" w:cs="宋体"/>
          <w:bCs w:val="0"/>
          <w:i w:val="0"/>
          <w:iCs w:val="0"/>
          <w:szCs w:val="44"/>
        </w:rPr>
        <w:t>二、</w:t>
      </w:r>
      <w:r>
        <w:rPr>
          <w:rFonts w:hint="eastAsia" w:ascii="宋体" w:hAnsi="宋体" w:eastAsia="宋体" w:cs="宋体"/>
          <w:bCs w:val="0"/>
          <w:i w:val="0"/>
          <w:iCs w:val="0"/>
          <w:szCs w:val="44"/>
          <w:lang w:val="en-US" w:eastAsia="zh-CN"/>
        </w:rPr>
        <w:t>报价</w:t>
      </w:r>
      <w:r>
        <w:rPr>
          <w:rFonts w:hint="eastAsia" w:ascii="宋体" w:hAnsi="宋体" w:eastAsia="宋体" w:cs="宋体"/>
          <w:bCs w:val="0"/>
          <w:i w:val="0"/>
          <w:iCs w:val="0"/>
          <w:szCs w:val="44"/>
        </w:rPr>
        <w:t>部分</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_Toc31296 \h </w:instrText>
      </w:r>
      <w:r>
        <w:rPr>
          <w:rFonts w:hint="eastAsia" w:ascii="宋体" w:hAnsi="宋体" w:eastAsia="宋体" w:cs="宋体"/>
          <w:i w:val="0"/>
          <w:iCs w:val="0"/>
        </w:rPr>
        <w:fldChar w:fldCharType="separate"/>
      </w:r>
      <w:r>
        <w:rPr>
          <w:rFonts w:hint="eastAsia" w:ascii="宋体" w:hAnsi="宋体" w:eastAsia="宋体" w:cs="宋体"/>
          <w:i w:val="0"/>
          <w:iCs w:val="0"/>
        </w:rPr>
        <w:t>185</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225955ED">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_Toc4990 </w:instrText>
      </w:r>
      <w:r>
        <w:rPr>
          <w:rFonts w:hint="eastAsia" w:ascii="宋体" w:hAnsi="宋体" w:eastAsia="宋体" w:cs="宋体"/>
          <w:bCs/>
          <w:i w:val="0"/>
          <w:iCs w:val="0"/>
          <w:szCs w:val="20"/>
          <w:lang w:val="zh-CN"/>
        </w:rPr>
        <w:fldChar w:fldCharType="separate"/>
      </w:r>
      <w:r>
        <w:rPr>
          <w:rFonts w:hint="eastAsia" w:ascii="宋体" w:hAnsi="宋体" w:eastAsia="宋体" w:cs="宋体"/>
          <w:bCs w:val="0"/>
          <w:i w:val="0"/>
          <w:iCs w:val="0"/>
        </w:rPr>
        <w:t>（一）已标价工程量清单</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_Toc4990 \h </w:instrText>
      </w:r>
      <w:r>
        <w:rPr>
          <w:rFonts w:hint="eastAsia" w:ascii="宋体" w:hAnsi="宋体" w:eastAsia="宋体" w:cs="宋体"/>
          <w:i w:val="0"/>
          <w:iCs w:val="0"/>
        </w:rPr>
        <w:fldChar w:fldCharType="separate"/>
      </w:r>
      <w:r>
        <w:rPr>
          <w:rFonts w:hint="eastAsia" w:ascii="宋体" w:hAnsi="宋体" w:eastAsia="宋体" w:cs="宋体"/>
          <w:i w:val="0"/>
          <w:iCs w:val="0"/>
        </w:rPr>
        <w:t>188</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1004BCF0">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_Toc26575 </w:instrText>
      </w:r>
      <w:r>
        <w:rPr>
          <w:rFonts w:hint="eastAsia" w:ascii="宋体" w:hAnsi="宋体" w:eastAsia="宋体" w:cs="宋体"/>
          <w:bCs/>
          <w:i w:val="0"/>
          <w:iCs w:val="0"/>
          <w:szCs w:val="20"/>
          <w:lang w:val="zh-CN"/>
        </w:rPr>
        <w:fldChar w:fldCharType="separate"/>
      </w:r>
      <w:r>
        <w:rPr>
          <w:rFonts w:hint="eastAsia" w:ascii="宋体" w:hAnsi="宋体" w:eastAsia="宋体" w:cs="宋体"/>
          <w:bCs w:val="0"/>
          <w:i w:val="0"/>
          <w:iCs w:val="0"/>
          <w:szCs w:val="44"/>
          <w:highlight w:val="none"/>
        </w:rPr>
        <w:t>三、商务部分</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_Toc26575 \h </w:instrText>
      </w:r>
      <w:r>
        <w:rPr>
          <w:rFonts w:hint="eastAsia" w:ascii="宋体" w:hAnsi="宋体" w:eastAsia="宋体" w:cs="宋体"/>
          <w:i w:val="0"/>
          <w:iCs w:val="0"/>
        </w:rPr>
        <w:fldChar w:fldCharType="separate"/>
      </w:r>
      <w:r>
        <w:rPr>
          <w:rFonts w:hint="eastAsia" w:ascii="宋体" w:hAnsi="宋体" w:eastAsia="宋体" w:cs="宋体"/>
          <w:i w:val="0"/>
          <w:iCs w:val="0"/>
        </w:rPr>
        <w:t>189</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2E65EFDC">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_Toc20891 </w:instrText>
      </w:r>
      <w:r>
        <w:rPr>
          <w:rFonts w:hint="eastAsia" w:ascii="宋体" w:hAnsi="宋体" w:eastAsia="宋体" w:cs="宋体"/>
          <w:bCs/>
          <w:i w:val="0"/>
          <w:iCs w:val="0"/>
          <w:szCs w:val="20"/>
          <w:lang w:val="zh-CN"/>
        </w:rPr>
        <w:fldChar w:fldCharType="separate"/>
      </w:r>
      <w:r>
        <w:rPr>
          <w:rFonts w:hint="eastAsia" w:ascii="宋体" w:hAnsi="宋体" w:eastAsia="宋体" w:cs="宋体"/>
          <w:bCs w:val="0"/>
          <w:i w:val="0"/>
          <w:iCs w:val="0"/>
          <w:szCs w:val="44"/>
          <w:lang w:val="en-US" w:eastAsia="zh-CN"/>
        </w:rPr>
        <w:t>四</w:t>
      </w:r>
      <w:r>
        <w:rPr>
          <w:rFonts w:hint="eastAsia" w:ascii="宋体" w:hAnsi="宋体" w:eastAsia="宋体" w:cs="宋体"/>
          <w:bCs w:val="0"/>
          <w:i w:val="0"/>
          <w:iCs w:val="0"/>
          <w:szCs w:val="44"/>
        </w:rPr>
        <w:t>、技术部分</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_Toc20891 \h </w:instrText>
      </w:r>
      <w:r>
        <w:rPr>
          <w:rFonts w:hint="eastAsia" w:ascii="宋体" w:hAnsi="宋体" w:eastAsia="宋体" w:cs="宋体"/>
          <w:i w:val="0"/>
          <w:iCs w:val="0"/>
        </w:rPr>
        <w:fldChar w:fldCharType="separate"/>
      </w:r>
      <w:r>
        <w:rPr>
          <w:rFonts w:hint="eastAsia" w:ascii="宋体" w:hAnsi="宋体" w:eastAsia="宋体" w:cs="宋体"/>
          <w:i w:val="0"/>
          <w:iCs w:val="0"/>
        </w:rPr>
        <w:t>193</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08A49BA0">
      <w:pPr>
        <w:pStyle w:val="37"/>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_Toc18673 </w:instrText>
      </w:r>
      <w:r>
        <w:rPr>
          <w:rFonts w:hint="eastAsia" w:ascii="宋体" w:hAnsi="宋体" w:eastAsia="宋体" w:cs="宋体"/>
          <w:bCs/>
          <w:i w:val="0"/>
          <w:iCs w:val="0"/>
          <w:szCs w:val="20"/>
          <w:lang w:val="zh-CN"/>
        </w:rPr>
        <w:fldChar w:fldCharType="separate"/>
      </w:r>
      <w:r>
        <w:rPr>
          <w:rFonts w:hint="eastAsia" w:ascii="宋体" w:hAnsi="宋体" w:eastAsia="宋体" w:cs="宋体"/>
          <w:bCs w:val="0"/>
          <w:i w:val="0"/>
          <w:iCs w:val="0"/>
          <w:szCs w:val="44"/>
          <w:lang w:val="en-US" w:eastAsia="zh-CN"/>
        </w:rPr>
        <w:t>五</w:t>
      </w:r>
      <w:r>
        <w:rPr>
          <w:rFonts w:hint="eastAsia" w:ascii="宋体" w:hAnsi="宋体" w:eastAsia="宋体" w:cs="宋体"/>
          <w:bCs w:val="0"/>
          <w:i w:val="0"/>
          <w:iCs w:val="0"/>
          <w:szCs w:val="44"/>
        </w:rPr>
        <w:t>、资格审查部分</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_Toc18673 \h </w:instrText>
      </w:r>
      <w:r>
        <w:rPr>
          <w:rFonts w:hint="eastAsia" w:ascii="宋体" w:hAnsi="宋体" w:eastAsia="宋体" w:cs="宋体"/>
          <w:i w:val="0"/>
          <w:iCs w:val="0"/>
        </w:rPr>
        <w:fldChar w:fldCharType="separate"/>
      </w:r>
      <w:r>
        <w:rPr>
          <w:rFonts w:hint="eastAsia" w:ascii="宋体" w:hAnsi="宋体" w:eastAsia="宋体" w:cs="宋体"/>
          <w:i w:val="0"/>
          <w:iCs w:val="0"/>
        </w:rPr>
        <w:t>195</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49526662">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_Toc16771 </w:instrText>
      </w:r>
      <w:r>
        <w:rPr>
          <w:rFonts w:hint="eastAsia" w:ascii="宋体" w:hAnsi="宋体" w:eastAsia="宋体" w:cs="宋体"/>
          <w:bCs/>
          <w:i w:val="0"/>
          <w:iCs w:val="0"/>
          <w:szCs w:val="20"/>
          <w:lang w:val="zh-CN"/>
        </w:rPr>
        <w:fldChar w:fldCharType="separate"/>
      </w:r>
      <w:r>
        <w:rPr>
          <w:rFonts w:hint="eastAsia" w:ascii="宋体" w:hAnsi="宋体" w:eastAsia="宋体" w:cs="宋体"/>
          <w:bCs w:val="0"/>
          <w:i w:val="0"/>
          <w:iCs w:val="0"/>
        </w:rPr>
        <w:t>（一）法定代表人身份证明或授权委托书</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_Toc16771 \h </w:instrText>
      </w:r>
      <w:r>
        <w:rPr>
          <w:rFonts w:hint="eastAsia" w:ascii="宋体" w:hAnsi="宋体" w:eastAsia="宋体" w:cs="宋体"/>
          <w:i w:val="0"/>
          <w:iCs w:val="0"/>
        </w:rPr>
        <w:fldChar w:fldCharType="separate"/>
      </w:r>
      <w:r>
        <w:rPr>
          <w:rFonts w:hint="eastAsia" w:ascii="宋体" w:hAnsi="宋体" w:eastAsia="宋体" w:cs="宋体"/>
          <w:i w:val="0"/>
          <w:iCs w:val="0"/>
        </w:rPr>
        <w:t>198</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479946B6">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_Toc3075 </w:instrText>
      </w:r>
      <w:r>
        <w:rPr>
          <w:rFonts w:hint="eastAsia" w:ascii="宋体" w:hAnsi="宋体" w:eastAsia="宋体" w:cs="宋体"/>
          <w:bCs/>
          <w:i w:val="0"/>
          <w:iCs w:val="0"/>
          <w:szCs w:val="20"/>
          <w:lang w:val="zh-CN"/>
        </w:rPr>
        <w:fldChar w:fldCharType="separate"/>
      </w:r>
      <w:r>
        <w:rPr>
          <w:rFonts w:hint="eastAsia" w:ascii="宋体" w:hAnsi="宋体" w:eastAsia="宋体" w:cs="宋体"/>
          <w:bCs w:val="0"/>
          <w:i w:val="0"/>
          <w:iCs w:val="0"/>
        </w:rPr>
        <w:t>（二）</w:t>
      </w:r>
      <w:r>
        <w:rPr>
          <w:rFonts w:hint="eastAsia" w:ascii="宋体" w:hAnsi="宋体" w:eastAsia="宋体" w:cs="宋体"/>
          <w:i w:val="0"/>
          <w:iCs w:val="0"/>
          <w:lang w:val="en-US" w:eastAsia="zh-CN"/>
        </w:rPr>
        <w:t>共同投标协议</w:t>
      </w:r>
      <w:r>
        <w:rPr>
          <w:rFonts w:hint="eastAsia" w:ascii="宋体" w:hAnsi="宋体" w:eastAsia="宋体" w:cs="宋体"/>
          <w:bCs w:val="0"/>
          <w:i w:val="0"/>
          <w:iCs w:val="0"/>
        </w:rPr>
        <w:t>（如有）</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_Toc3075 \h </w:instrText>
      </w:r>
      <w:r>
        <w:rPr>
          <w:rFonts w:hint="eastAsia" w:ascii="宋体" w:hAnsi="宋体" w:eastAsia="宋体" w:cs="宋体"/>
          <w:i w:val="0"/>
          <w:iCs w:val="0"/>
        </w:rPr>
        <w:fldChar w:fldCharType="separate"/>
      </w:r>
      <w:r>
        <w:rPr>
          <w:rFonts w:hint="eastAsia" w:ascii="宋体" w:hAnsi="宋体" w:eastAsia="宋体" w:cs="宋体"/>
          <w:i w:val="0"/>
          <w:iCs w:val="0"/>
        </w:rPr>
        <w:t>200</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6C89C695">
      <w:pPr>
        <w:pStyle w:val="22"/>
        <w:tabs>
          <w:tab w:val="right" w:leader="dot" w:pos="9469"/>
        </w:tabs>
        <w:rPr>
          <w:rFonts w:hint="eastAsia" w:ascii="宋体" w:hAnsi="宋体" w:eastAsia="宋体" w:cs="宋体"/>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_Toc24592 </w:instrText>
      </w:r>
      <w:r>
        <w:rPr>
          <w:rFonts w:hint="eastAsia" w:ascii="宋体" w:hAnsi="宋体" w:eastAsia="宋体" w:cs="宋体"/>
          <w:bCs/>
          <w:i w:val="0"/>
          <w:iCs w:val="0"/>
          <w:szCs w:val="20"/>
          <w:lang w:val="zh-CN"/>
        </w:rPr>
        <w:fldChar w:fldCharType="separate"/>
      </w:r>
      <w:r>
        <w:rPr>
          <w:rFonts w:hint="eastAsia" w:ascii="宋体" w:hAnsi="宋体" w:eastAsia="宋体" w:cs="宋体"/>
          <w:bCs w:val="0"/>
          <w:i w:val="0"/>
          <w:iCs w:val="0"/>
          <w:lang w:eastAsia="zh-CN"/>
        </w:rPr>
        <w:t>（</w:t>
      </w:r>
      <w:r>
        <w:rPr>
          <w:rFonts w:hint="eastAsia" w:ascii="宋体" w:hAnsi="宋体" w:eastAsia="宋体" w:cs="宋体"/>
          <w:bCs w:val="0"/>
          <w:i w:val="0"/>
          <w:iCs w:val="0"/>
          <w:lang w:val="en-US" w:eastAsia="zh-CN"/>
        </w:rPr>
        <w:t>三</w:t>
      </w:r>
      <w:r>
        <w:rPr>
          <w:rFonts w:hint="eastAsia" w:ascii="宋体" w:hAnsi="宋体" w:eastAsia="宋体" w:cs="宋体"/>
          <w:bCs w:val="0"/>
          <w:i w:val="0"/>
          <w:iCs w:val="0"/>
          <w:lang w:eastAsia="zh-CN"/>
        </w:rPr>
        <w:t>）</w:t>
      </w:r>
      <w:r>
        <w:rPr>
          <w:rFonts w:hint="eastAsia" w:ascii="宋体" w:hAnsi="宋体" w:eastAsia="宋体" w:cs="宋体"/>
          <w:bCs w:val="0"/>
          <w:i w:val="0"/>
          <w:iCs w:val="0"/>
          <w:lang w:val="en-US" w:eastAsia="zh-CN"/>
        </w:rPr>
        <w:t>承诺</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_Toc24592 \h </w:instrText>
      </w:r>
      <w:r>
        <w:rPr>
          <w:rFonts w:hint="eastAsia" w:ascii="宋体" w:hAnsi="宋体" w:eastAsia="宋体" w:cs="宋体"/>
          <w:i w:val="0"/>
          <w:iCs w:val="0"/>
        </w:rPr>
        <w:fldChar w:fldCharType="separate"/>
      </w:r>
      <w:r>
        <w:rPr>
          <w:rFonts w:hint="eastAsia" w:ascii="宋体" w:hAnsi="宋体" w:eastAsia="宋体" w:cs="宋体"/>
          <w:i w:val="0"/>
          <w:iCs w:val="0"/>
        </w:rPr>
        <w:t>202</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2201BAB1">
      <w:pPr>
        <w:pStyle w:val="22"/>
        <w:tabs>
          <w:tab w:val="right" w:leader="dot" w:pos="9469"/>
        </w:tabs>
        <w:rPr>
          <w:i w:val="0"/>
          <w:iCs w:val="0"/>
        </w:rPr>
      </w:pPr>
      <w:r>
        <w:rPr>
          <w:rFonts w:hint="eastAsia" w:ascii="宋体" w:hAnsi="宋体" w:eastAsia="宋体" w:cs="宋体"/>
          <w:bCs/>
          <w:i w:val="0"/>
          <w:iCs w:val="0"/>
          <w:szCs w:val="20"/>
          <w:lang w:val="zh-CN"/>
        </w:rPr>
        <w:fldChar w:fldCharType="begin"/>
      </w:r>
      <w:r>
        <w:rPr>
          <w:rFonts w:hint="eastAsia" w:ascii="宋体" w:hAnsi="宋体" w:eastAsia="宋体" w:cs="宋体"/>
          <w:bCs/>
          <w:i w:val="0"/>
          <w:iCs w:val="0"/>
          <w:szCs w:val="20"/>
          <w:lang w:val="zh-CN"/>
        </w:rPr>
        <w:instrText xml:space="preserve"> HYPERLINK \l _Toc6320 </w:instrText>
      </w:r>
      <w:r>
        <w:rPr>
          <w:rFonts w:hint="eastAsia" w:ascii="宋体" w:hAnsi="宋体" w:eastAsia="宋体" w:cs="宋体"/>
          <w:bCs/>
          <w:i w:val="0"/>
          <w:iCs w:val="0"/>
          <w:szCs w:val="20"/>
          <w:lang w:val="zh-CN"/>
        </w:rPr>
        <w:fldChar w:fldCharType="separate"/>
      </w:r>
      <w:r>
        <w:rPr>
          <w:rFonts w:hint="eastAsia" w:ascii="宋体" w:hAnsi="宋体" w:eastAsia="宋体" w:cs="宋体"/>
          <w:i w:val="0"/>
          <w:iCs w:val="0"/>
        </w:rPr>
        <w:t>（</w:t>
      </w:r>
      <w:r>
        <w:rPr>
          <w:rFonts w:hint="eastAsia" w:ascii="宋体" w:hAnsi="宋体" w:eastAsia="宋体" w:cs="宋体"/>
          <w:i w:val="0"/>
          <w:iCs w:val="0"/>
          <w:lang w:val="en-US" w:eastAsia="zh-CN"/>
        </w:rPr>
        <w:t>四</w:t>
      </w:r>
      <w:r>
        <w:rPr>
          <w:rFonts w:hint="eastAsia" w:ascii="宋体" w:hAnsi="宋体" w:eastAsia="宋体" w:cs="宋体"/>
          <w:i w:val="0"/>
          <w:iCs w:val="0"/>
        </w:rPr>
        <w:t>）其他资料</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_Toc6320 \h </w:instrText>
      </w:r>
      <w:r>
        <w:rPr>
          <w:rFonts w:hint="eastAsia" w:ascii="宋体" w:hAnsi="宋体" w:eastAsia="宋体" w:cs="宋体"/>
          <w:i w:val="0"/>
          <w:iCs w:val="0"/>
        </w:rPr>
        <w:fldChar w:fldCharType="separate"/>
      </w:r>
      <w:r>
        <w:rPr>
          <w:rFonts w:hint="eastAsia" w:ascii="宋体" w:hAnsi="宋体" w:eastAsia="宋体" w:cs="宋体"/>
          <w:i w:val="0"/>
          <w:iCs w:val="0"/>
        </w:rPr>
        <w:t>204</w:t>
      </w:r>
      <w:r>
        <w:rPr>
          <w:rFonts w:hint="eastAsia" w:ascii="宋体" w:hAnsi="宋体" w:eastAsia="宋体" w:cs="宋体"/>
          <w:i w:val="0"/>
          <w:iCs w:val="0"/>
        </w:rPr>
        <w:fldChar w:fldCharType="end"/>
      </w:r>
      <w:r>
        <w:rPr>
          <w:rFonts w:hint="eastAsia" w:ascii="宋体" w:hAnsi="宋体" w:eastAsia="宋体" w:cs="宋体"/>
          <w:bCs/>
          <w:i w:val="0"/>
          <w:iCs w:val="0"/>
          <w:szCs w:val="20"/>
          <w:lang w:val="zh-CN"/>
        </w:rPr>
        <w:fldChar w:fldCharType="end"/>
      </w:r>
    </w:p>
    <w:p w14:paraId="028FF3DF">
      <w:pPr>
        <w:pStyle w:val="22"/>
        <w:tabs>
          <w:tab w:val="right" w:leader="dot" w:pos="9469"/>
        </w:tabs>
        <w:rPr>
          <w:rFonts w:ascii="宋体" w:hAnsi="宋体"/>
        </w:rPr>
      </w:pPr>
      <w:r>
        <w:rPr>
          <w:rFonts w:ascii="宋体" w:hAnsi="宋体"/>
          <w:bCs/>
          <w:i w:val="0"/>
          <w:iCs w:val="0"/>
          <w:szCs w:val="20"/>
          <w:lang w:val="zh-CN"/>
        </w:rPr>
        <w:fldChar w:fldCharType="end"/>
      </w:r>
    </w:p>
    <w:bookmarkEnd w:id="0"/>
    <w:p w14:paraId="667C2C37">
      <w:pPr>
        <w:spacing w:line="20" w:lineRule="exact"/>
        <w:rPr>
          <w:rFonts w:ascii="宋体" w:hAnsi="宋体"/>
        </w:rPr>
      </w:pPr>
      <w:bookmarkStart w:id="2" w:name="_Toc430530414"/>
    </w:p>
    <w:p w14:paraId="71C0734A">
      <w:pPr>
        <w:spacing w:line="20" w:lineRule="exact"/>
        <w:jc w:val="left"/>
        <w:rPr>
          <w:rFonts w:ascii="宋体" w:hAnsi="宋体"/>
        </w:rPr>
        <w:sectPr>
          <w:footerReference r:id="rId5" w:type="default"/>
          <w:pgSz w:w="11907" w:h="16840"/>
          <w:pgMar w:top="1304" w:right="1134" w:bottom="1304" w:left="1304" w:header="851" w:footer="992" w:gutter="0"/>
          <w:pgNumType w:fmt="decimal" w:start="1"/>
          <w:cols w:space="720" w:num="1"/>
          <w:docGrid w:linePitch="312" w:charSpace="0"/>
        </w:sectPr>
      </w:pPr>
    </w:p>
    <w:bookmarkEnd w:id="2"/>
    <w:p w14:paraId="790EAB9A">
      <w:pPr>
        <w:spacing w:line="360" w:lineRule="auto"/>
        <w:rPr>
          <w:rFonts w:ascii="宋体" w:hAnsi="宋体"/>
        </w:rPr>
      </w:pPr>
    </w:p>
    <w:p w14:paraId="5AB7ABFC">
      <w:pPr>
        <w:pStyle w:val="3"/>
        <w:spacing w:before="0" w:after="0" w:line="480" w:lineRule="auto"/>
        <w:jc w:val="center"/>
        <w:rPr>
          <w:rFonts w:ascii="宋体" w:hAnsi="宋体"/>
          <w:sz w:val="52"/>
          <w:szCs w:val="52"/>
        </w:rPr>
      </w:pPr>
      <w:bookmarkStart w:id="3" w:name="_Toc3517"/>
      <w:bookmarkStart w:id="4" w:name="_Toc15277"/>
      <w:bookmarkStart w:id="5" w:name="_Toc509218690"/>
      <w:r>
        <w:rPr>
          <w:rFonts w:hint="eastAsia" w:ascii="宋体" w:hAnsi="宋体"/>
          <w:sz w:val="52"/>
          <w:szCs w:val="52"/>
        </w:rPr>
        <w:t>第 一 卷</w:t>
      </w:r>
      <w:bookmarkEnd w:id="3"/>
      <w:bookmarkEnd w:id="4"/>
      <w:bookmarkEnd w:id="5"/>
    </w:p>
    <w:p w14:paraId="748BA950">
      <w:pPr>
        <w:spacing w:line="200" w:lineRule="exact"/>
        <w:rPr>
          <w:rFonts w:ascii="宋体" w:hAnsi="宋体"/>
        </w:rPr>
      </w:pPr>
      <w:r>
        <w:rPr>
          <w:rFonts w:ascii="宋体" w:hAnsi="宋体"/>
        </w:rPr>
        <w:br w:type="page"/>
      </w:r>
    </w:p>
    <w:p w14:paraId="13F806A2">
      <w:pPr>
        <w:pStyle w:val="3"/>
        <w:spacing w:line="360" w:lineRule="auto"/>
        <w:jc w:val="center"/>
        <w:rPr>
          <w:rFonts w:ascii="宋体" w:hAnsi="宋体"/>
          <w:snapToGrid w:val="0"/>
          <w:kern w:val="0"/>
        </w:rPr>
      </w:pPr>
      <w:bookmarkStart w:id="6" w:name="_Toc29037"/>
      <w:bookmarkStart w:id="7" w:name="_Toc224103298"/>
      <w:bookmarkStart w:id="8" w:name="_Toc430530415"/>
      <w:bookmarkStart w:id="9" w:name="_Toc287620666"/>
      <w:bookmarkStart w:id="10" w:name="_Toc287607727"/>
      <w:bookmarkStart w:id="11" w:name="_Toc10054"/>
      <w:bookmarkStart w:id="12" w:name="_Toc277082535"/>
      <w:bookmarkStart w:id="13" w:name="_Toc509218691"/>
      <w:r>
        <w:rPr>
          <w:rFonts w:ascii="宋体" w:hAnsi="宋体"/>
          <w:snapToGrid w:val="0"/>
          <w:kern w:val="0"/>
        </w:rPr>
        <w:t>第一章  招标公告</w:t>
      </w:r>
      <w:bookmarkEnd w:id="6"/>
      <w:bookmarkEnd w:id="7"/>
      <w:bookmarkEnd w:id="8"/>
      <w:bookmarkEnd w:id="9"/>
      <w:bookmarkEnd w:id="10"/>
      <w:bookmarkEnd w:id="11"/>
      <w:bookmarkEnd w:id="12"/>
      <w:bookmarkEnd w:id="13"/>
    </w:p>
    <w:p w14:paraId="6EF4DF0C">
      <w:pPr>
        <w:autoSpaceDE w:val="0"/>
        <w:autoSpaceDN w:val="0"/>
        <w:adjustRightInd w:val="0"/>
        <w:snapToGrid w:val="0"/>
        <w:spacing w:line="360" w:lineRule="auto"/>
        <w:jc w:val="center"/>
        <w:rPr>
          <w:rFonts w:ascii="宋体" w:hAnsi="宋体"/>
          <w:snapToGrid w:val="0"/>
          <w:kern w:val="0"/>
          <w:sz w:val="28"/>
          <w:szCs w:val="28"/>
        </w:rPr>
      </w:pPr>
      <w:r>
        <w:rPr>
          <w:rFonts w:hint="eastAsia" w:ascii="宋体" w:hAnsi="宋体"/>
          <w:snapToGrid w:val="0"/>
          <w:w w:val="99"/>
          <w:kern w:val="0"/>
          <w:sz w:val="28"/>
          <w:szCs w:val="28"/>
          <w:lang w:val="en-US" w:eastAsia="zh-CN"/>
        </w:rPr>
        <w:t xml:space="preserve">北山摩崖造像之妙高山摩崖造像妙高寺正殿保护修缮工程 </w:t>
      </w:r>
      <w:r>
        <w:rPr>
          <w:rFonts w:ascii="宋体" w:hAnsi="宋体"/>
          <w:snapToGrid w:val="0"/>
          <w:w w:val="99"/>
          <w:kern w:val="0"/>
          <w:sz w:val="28"/>
          <w:szCs w:val="28"/>
        </w:rPr>
        <w:t>招标公告</w:t>
      </w:r>
    </w:p>
    <w:p w14:paraId="5647432C">
      <w:pPr>
        <w:pStyle w:val="4"/>
        <w:spacing w:before="0" w:after="0" w:line="360" w:lineRule="auto"/>
        <w:rPr>
          <w:rFonts w:ascii="宋体" w:hAnsi="宋体"/>
          <w:snapToGrid w:val="0"/>
          <w:sz w:val="28"/>
          <w:szCs w:val="28"/>
        </w:rPr>
      </w:pPr>
      <w:bookmarkStart w:id="14" w:name="_Toc224103299"/>
      <w:bookmarkStart w:id="15" w:name="_Toc287620667"/>
      <w:bookmarkStart w:id="16" w:name="_Toc200359238"/>
      <w:bookmarkStart w:id="17" w:name="_Toc287607728"/>
      <w:bookmarkStart w:id="18" w:name="_Toc430530416"/>
      <w:bookmarkStart w:id="19" w:name="_Toc509218692"/>
      <w:bookmarkStart w:id="20" w:name="_Toc200359427"/>
      <w:bookmarkStart w:id="21" w:name="_Toc277082536"/>
      <w:bookmarkStart w:id="22" w:name="_Toc24274"/>
      <w:bookmarkStart w:id="23" w:name="_Toc30101"/>
      <w:r>
        <w:rPr>
          <w:rFonts w:ascii="宋体" w:hAnsi="宋体"/>
          <w:snapToGrid w:val="0"/>
          <w:sz w:val="28"/>
          <w:szCs w:val="28"/>
        </w:rPr>
        <w:t xml:space="preserve">1. </w:t>
      </w:r>
      <w:r>
        <w:rPr>
          <w:rFonts w:hint="eastAsia" w:ascii="宋体" w:hAnsi="宋体"/>
          <w:snapToGrid w:val="0"/>
          <w:sz w:val="28"/>
          <w:szCs w:val="28"/>
        </w:rPr>
        <w:t xml:space="preserve"> </w:t>
      </w:r>
      <w:r>
        <w:rPr>
          <w:rFonts w:ascii="宋体" w:hAnsi="宋体"/>
          <w:snapToGrid w:val="0"/>
          <w:sz w:val="28"/>
          <w:szCs w:val="28"/>
        </w:rPr>
        <w:t>招标条件</w:t>
      </w:r>
      <w:bookmarkEnd w:id="14"/>
      <w:bookmarkEnd w:id="15"/>
      <w:bookmarkEnd w:id="16"/>
      <w:bookmarkEnd w:id="17"/>
      <w:bookmarkEnd w:id="18"/>
      <w:bookmarkEnd w:id="19"/>
      <w:bookmarkEnd w:id="20"/>
      <w:bookmarkEnd w:id="21"/>
      <w:bookmarkEnd w:id="22"/>
      <w:bookmarkEnd w:id="23"/>
    </w:p>
    <w:p w14:paraId="36E39F5A">
      <w:pPr>
        <w:tabs>
          <w:tab w:val="left" w:pos="3315"/>
          <w:tab w:val="left" w:pos="3390"/>
          <w:tab w:val="left" w:pos="6120"/>
          <w:tab w:val="left" w:pos="8850"/>
        </w:tabs>
        <w:autoSpaceDE w:val="0"/>
        <w:autoSpaceDN w:val="0"/>
        <w:adjustRightInd w:val="0"/>
        <w:snapToGrid w:val="0"/>
        <w:spacing w:line="360" w:lineRule="auto"/>
        <w:ind w:firstLine="420"/>
        <w:jc w:val="both"/>
        <w:rPr>
          <w:rFonts w:hint="default" w:ascii="宋体" w:hAnsi="宋体" w:eastAsia="宋体"/>
          <w:snapToGrid w:val="0"/>
          <w:kern w:val="0"/>
          <w:szCs w:val="21"/>
          <w:lang w:val="en-US" w:eastAsia="zh-CN"/>
        </w:rPr>
      </w:pPr>
      <w:r>
        <w:rPr>
          <w:rFonts w:ascii="宋体" w:hAnsi="宋体"/>
          <w:snapToGrid w:val="0"/>
          <w:kern w:val="0"/>
          <w:szCs w:val="21"/>
        </w:rPr>
        <w:t>本招标项目</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北山摩崖造像之妙高山摩崖造像妙高寺正殿保护修缮工程</w:t>
      </w:r>
      <w:r>
        <w:rPr>
          <w:rFonts w:hint="eastAsia" w:ascii="宋体" w:hAnsi="宋体"/>
          <w:snapToGrid w:val="0"/>
          <w:kern w:val="0"/>
          <w:szCs w:val="21"/>
          <w:u w:val="single"/>
        </w:rPr>
        <w:t xml:space="preserve"> </w:t>
      </w:r>
      <w:r>
        <w:rPr>
          <w:rFonts w:ascii="宋体" w:hAnsi="宋体"/>
          <w:snapToGrid w:val="0"/>
          <w:kern w:val="0"/>
          <w:szCs w:val="21"/>
        </w:rPr>
        <w:t>已由</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 xml:space="preserve">重庆市大足区发展和改革委员会 </w:t>
      </w:r>
      <w:r>
        <w:rPr>
          <w:rFonts w:ascii="宋体" w:hAnsi="宋体"/>
          <w:snapToGrid w:val="0"/>
          <w:kern w:val="0"/>
          <w:szCs w:val="21"/>
        </w:rPr>
        <w:t>以</w:t>
      </w:r>
      <w:r>
        <w:rPr>
          <w:rFonts w:hint="eastAsia" w:ascii="宋体" w:hAnsi="宋体"/>
          <w:snapToGrid w:val="0"/>
          <w:kern w:val="0"/>
          <w:szCs w:val="21"/>
          <w:u w:val="single"/>
          <w:lang w:val="en-US" w:eastAsia="zh-CN"/>
        </w:rPr>
        <w:t xml:space="preserve"> 大足发改投〔2026〕26号，项目代码：2511-500111-04-05-920792 </w:t>
      </w:r>
      <w:r>
        <w:rPr>
          <w:rFonts w:ascii="宋体" w:hAnsi="宋体"/>
          <w:snapToGrid w:val="0"/>
          <w:kern w:val="0"/>
          <w:szCs w:val="21"/>
        </w:rPr>
        <w:t>批准建设，项目业主为</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大足石刻研究院</w:t>
      </w:r>
      <w:r>
        <w:rPr>
          <w:rFonts w:hint="eastAsia" w:ascii="宋体" w:hAnsi="宋体"/>
          <w:snapToGrid w:val="0"/>
          <w:kern w:val="0"/>
          <w:szCs w:val="21"/>
          <w:u w:val="single"/>
        </w:rPr>
        <w:t xml:space="preserve"> </w:t>
      </w:r>
      <w:r>
        <w:rPr>
          <w:rFonts w:ascii="宋体" w:hAnsi="宋体"/>
          <w:snapToGrid w:val="0"/>
          <w:kern w:val="0"/>
          <w:szCs w:val="21"/>
        </w:rPr>
        <w:t>，建设资金来自</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国家文物保护专项资金</w:t>
      </w:r>
      <w:r>
        <w:rPr>
          <w:rFonts w:hint="eastAsia" w:ascii="宋体" w:hAnsi="宋体"/>
          <w:snapToGrid w:val="0"/>
          <w:kern w:val="0"/>
          <w:szCs w:val="21"/>
          <w:u w:val="single"/>
        </w:rPr>
        <w:t xml:space="preserve"> </w:t>
      </w:r>
      <w:r>
        <w:rPr>
          <w:rFonts w:ascii="宋体" w:hAnsi="宋体"/>
          <w:snapToGrid w:val="0"/>
          <w:kern w:val="0"/>
          <w:szCs w:val="21"/>
        </w:rPr>
        <w:t>，项目出资比例为</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100%</w:t>
      </w:r>
      <w:r>
        <w:rPr>
          <w:rFonts w:hint="eastAsia" w:ascii="宋体" w:hAnsi="宋体"/>
          <w:snapToGrid w:val="0"/>
          <w:kern w:val="0"/>
          <w:szCs w:val="21"/>
          <w:u w:val="single"/>
        </w:rPr>
        <w:t xml:space="preserve"> </w:t>
      </w:r>
      <w:r>
        <w:rPr>
          <w:rFonts w:ascii="宋体" w:hAnsi="宋体"/>
          <w:snapToGrid w:val="0"/>
          <w:kern w:val="0"/>
          <w:szCs w:val="21"/>
        </w:rPr>
        <w:t>，招标人</w:t>
      </w:r>
      <w:r>
        <w:rPr>
          <w:rFonts w:ascii="宋体" w:hAnsi="宋体"/>
          <w:snapToGrid w:val="0"/>
          <w:kern w:val="0"/>
          <w:position w:val="-2"/>
          <w:szCs w:val="21"/>
        </w:rPr>
        <w:t>为</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大足石刻研究院</w:t>
      </w:r>
      <w:r>
        <w:rPr>
          <w:rFonts w:hint="eastAsia" w:ascii="宋体" w:hAnsi="宋体"/>
          <w:snapToGrid w:val="0"/>
          <w:kern w:val="0"/>
          <w:szCs w:val="21"/>
          <w:u w:val="single"/>
        </w:rPr>
        <w:t xml:space="preserve"> </w:t>
      </w:r>
      <w:r>
        <w:rPr>
          <w:rFonts w:ascii="宋体" w:hAnsi="宋体"/>
          <w:snapToGrid w:val="0"/>
          <w:kern w:val="0"/>
          <w:position w:val="-2"/>
          <w:szCs w:val="21"/>
        </w:rPr>
        <w:t>。项目已具备招标条件，现对</w:t>
      </w:r>
      <w:r>
        <w:rPr>
          <w:rFonts w:hint="eastAsia" w:ascii="宋体" w:hAnsi="宋体"/>
          <w:snapToGrid w:val="0"/>
          <w:kern w:val="0"/>
          <w:position w:val="-2"/>
          <w:szCs w:val="21"/>
          <w:u w:val="single"/>
          <w:lang w:val="en-US" w:eastAsia="zh-CN"/>
        </w:rPr>
        <w:t xml:space="preserve"> </w:t>
      </w:r>
      <w:r>
        <w:rPr>
          <w:rFonts w:hint="eastAsia" w:ascii="宋体" w:hAnsi="宋体"/>
          <w:snapToGrid w:val="0"/>
          <w:kern w:val="0"/>
          <w:position w:val="-2"/>
          <w:szCs w:val="21"/>
          <w:u w:val="single"/>
        </w:rPr>
        <w:t>该项目的施工</w:t>
      </w:r>
      <w:r>
        <w:rPr>
          <w:rFonts w:hint="eastAsia" w:ascii="宋体" w:hAnsi="宋体"/>
          <w:snapToGrid w:val="0"/>
          <w:kern w:val="0"/>
          <w:position w:val="-2"/>
          <w:szCs w:val="21"/>
          <w:u w:val="single"/>
          <w:lang w:val="en-US" w:eastAsia="zh-CN"/>
        </w:rPr>
        <w:t xml:space="preserve"> </w:t>
      </w:r>
      <w:r>
        <w:rPr>
          <w:rFonts w:ascii="宋体" w:hAnsi="宋体"/>
          <w:snapToGrid w:val="0"/>
          <w:kern w:val="0"/>
          <w:position w:val="-2"/>
          <w:szCs w:val="21"/>
        </w:rPr>
        <w:t>进行公开招标</w:t>
      </w:r>
      <w:r>
        <w:rPr>
          <w:rFonts w:hint="eastAsia" w:ascii="宋体" w:hAnsi="宋体"/>
          <w:snapToGrid w:val="0"/>
          <w:kern w:val="0"/>
          <w:position w:val="-2"/>
          <w:szCs w:val="21"/>
          <w:lang w:eastAsia="zh-CN"/>
        </w:rPr>
        <w:t>，</w:t>
      </w:r>
      <w:r>
        <w:rPr>
          <w:rFonts w:hint="eastAsia" w:ascii="宋体" w:hAnsi="宋体"/>
          <w:snapToGrid w:val="0"/>
          <w:kern w:val="0"/>
          <w:position w:val="-2"/>
          <w:szCs w:val="21"/>
          <w:lang w:val="en-US" w:eastAsia="zh-CN"/>
        </w:rPr>
        <w:t>评标办法采用</w:t>
      </w:r>
      <w:r>
        <w:rPr>
          <w:rFonts w:hint="eastAsia" w:ascii="宋体" w:hAnsi="宋体"/>
          <w:snapToGrid w:val="0"/>
          <w:kern w:val="0"/>
          <w:position w:val="-2"/>
          <w:szCs w:val="21"/>
        </w:rPr>
        <w:t>综合评估法</w:t>
      </w:r>
      <w:r>
        <w:rPr>
          <w:rFonts w:hint="eastAsia" w:ascii="宋体" w:hAnsi="宋体"/>
          <w:snapToGrid w:val="0"/>
          <w:kern w:val="0"/>
          <w:position w:val="-2"/>
          <w:szCs w:val="21"/>
          <w:lang w:eastAsia="zh-CN"/>
        </w:rPr>
        <w:t>。</w:t>
      </w:r>
    </w:p>
    <w:p w14:paraId="6819702C">
      <w:pPr>
        <w:pStyle w:val="4"/>
        <w:spacing w:before="0" w:after="0" w:line="360" w:lineRule="auto"/>
        <w:rPr>
          <w:rFonts w:ascii="宋体" w:hAnsi="宋体"/>
          <w:snapToGrid w:val="0"/>
          <w:sz w:val="28"/>
          <w:szCs w:val="28"/>
        </w:rPr>
      </w:pPr>
      <w:bookmarkStart w:id="24" w:name="_Toc200359239"/>
      <w:bookmarkStart w:id="25" w:name="_Toc277082537"/>
      <w:bookmarkStart w:id="26" w:name="_Toc509218693"/>
      <w:bookmarkStart w:id="27" w:name="_Toc200359428"/>
      <w:bookmarkStart w:id="28" w:name="_Toc23211"/>
      <w:bookmarkStart w:id="29" w:name="_Toc224103300"/>
      <w:bookmarkStart w:id="30" w:name="_Toc8532"/>
      <w:bookmarkStart w:id="31" w:name="_Toc430530417"/>
      <w:bookmarkStart w:id="32" w:name="_Toc287607729"/>
      <w:bookmarkStart w:id="33" w:name="_Toc287620668"/>
      <w:r>
        <w:rPr>
          <w:rFonts w:ascii="宋体" w:hAnsi="宋体"/>
          <w:snapToGrid w:val="0"/>
          <w:sz w:val="28"/>
          <w:szCs w:val="28"/>
        </w:rPr>
        <w:t>2.</w:t>
      </w:r>
      <w:r>
        <w:rPr>
          <w:rFonts w:hint="eastAsia" w:ascii="宋体" w:hAnsi="宋体"/>
          <w:snapToGrid w:val="0"/>
          <w:sz w:val="28"/>
          <w:szCs w:val="28"/>
        </w:rPr>
        <w:t xml:space="preserve"> </w:t>
      </w:r>
      <w:r>
        <w:rPr>
          <w:rFonts w:ascii="宋体" w:hAnsi="宋体"/>
          <w:snapToGrid w:val="0"/>
          <w:sz w:val="28"/>
          <w:szCs w:val="28"/>
        </w:rPr>
        <w:t xml:space="preserve"> 项目概况与招标范围</w:t>
      </w:r>
      <w:bookmarkEnd w:id="24"/>
      <w:bookmarkEnd w:id="25"/>
      <w:bookmarkEnd w:id="26"/>
      <w:bookmarkEnd w:id="27"/>
      <w:bookmarkEnd w:id="28"/>
      <w:bookmarkEnd w:id="29"/>
      <w:bookmarkEnd w:id="30"/>
      <w:bookmarkEnd w:id="31"/>
      <w:bookmarkEnd w:id="32"/>
      <w:bookmarkEnd w:id="33"/>
    </w:p>
    <w:p w14:paraId="4C1B2A58">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u w:val="single"/>
        </w:rPr>
      </w:pPr>
      <w:r>
        <w:rPr>
          <w:rFonts w:hint="eastAsia" w:ascii="宋体" w:hAnsi="宋体"/>
          <w:snapToGrid w:val="0"/>
          <w:kern w:val="0"/>
          <w:szCs w:val="21"/>
        </w:rPr>
        <w:t>2.1 建设地点：</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大足区季家镇</w:t>
      </w:r>
      <w:r>
        <w:rPr>
          <w:rFonts w:hint="eastAsia" w:ascii="宋体" w:hAnsi="宋体"/>
          <w:snapToGrid w:val="0"/>
          <w:kern w:val="0"/>
          <w:szCs w:val="21"/>
          <w:u w:val="single"/>
        </w:rPr>
        <w:t xml:space="preserve"> </w:t>
      </w:r>
    </w:p>
    <w:p w14:paraId="6357034E">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2.2 项目概况与建设规模：</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 xml:space="preserve">妙高寺正殿文物建筑本体保护修缮面积441.2平方米，包括台基、墙体、木架构、屋顶、木装修及相关附属石质文物等保护修缮，具体以招标人提供的图纸、工程量清单、答疑资料、澄清资料、其它补遗资料等相关内容为准 </w:t>
      </w:r>
      <w:r>
        <w:rPr>
          <w:rFonts w:hint="eastAsia" w:ascii="宋体" w:hAnsi="宋体"/>
          <w:snapToGrid w:val="0"/>
          <w:kern w:val="0"/>
          <w:szCs w:val="21"/>
          <w:u w:val="none"/>
          <w:lang w:val="en-US" w:eastAsia="zh-CN"/>
        </w:rPr>
        <w:t>。</w:t>
      </w:r>
    </w:p>
    <w:p w14:paraId="69E980C9">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u w:val="single"/>
        </w:rPr>
      </w:pPr>
      <w:r>
        <w:rPr>
          <w:rFonts w:hint="eastAsia" w:ascii="宋体" w:hAnsi="宋体"/>
          <w:snapToGrid w:val="0"/>
          <w:kern w:val="0"/>
          <w:szCs w:val="21"/>
        </w:rPr>
        <w:t xml:space="preserve">2.3 </w:t>
      </w:r>
      <w:r>
        <w:rPr>
          <w:rFonts w:hint="eastAsia" w:ascii="宋体" w:hAnsi="宋体"/>
          <w:snapToGrid w:val="0"/>
          <w:kern w:val="0"/>
          <w:szCs w:val="21"/>
          <w:lang w:eastAsia="zh-CN"/>
        </w:rPr>
        <w:t>☑</w:t>
      </w:r>
      <w:r>
        <w:rPr>
          <w:rFonts w:hint="eastAsia" w:ascii="宋体" w:hAnsi="宋体"/>
          <w:snapToGrid w:val="0"/>
          <w:kern w:val="0"/>
          <w:szCs w:val="21"/>
        </w:rPr>
        <w:t>本项目工程总投资</w:t>
      </w:r>
      <w:r>
        <w:rPr>
          <w:rFonts w:hint="eastAsia" w:ascii="宋体" w:hAnsi="宋体"/>
          <w:snapToGrid w:val="0"/>
          <w:kern w:val="0"/>
          <w:szCs w:val="21"/>
          <w:lang w:val="en-US" w:eastAsia="zh-CN"/>
        </w:rPr>
        <w:t>金</w:t>
      </w:r>
      <w:r>
        <w:rPr>
          <w:rFonts w:hint="eastAsia" w:ascii="宋体" w:hAnsi="宋体"/>
          <w:snapToGrid w:val="0"/>
          <w:kern w:val="0"/>
          <w:szCs w:val="21"/>
        </w:rPr>
        <w:t>额：</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348.81万元</w:t>
      </w:r>
      <w:r>
        <w:rPr>
          <w:rFonts w:hint="eastAsia" w:ascii="宋体" w:hAnsi="宋体"/>
          <w:snapToGrid w:val="0"/>
          <w:kern w:val="0"/>
          <w:szCs w:val="21"/>
          <w:u w:val="single"/>
        </w:rPr>
        <w:t xml:space="preserve"> </w:t>
      </w:r>
    </w:p>
    <w:p w14:paraId="50740EA1">
      <w:pPr>
        <w:tabs>
          <w:tab w:val="left" w:pos="3840"/>
          <w:tab w:val="left" w:pos="5300"/>
        </w:tabs>
        <w:autoSpaceDE w:val="0"/>
        <w:autoSpaceDN w:val="0"/>
        <w:adjustRightInd w:val="0"/>
        <w:snapToGrid w:val="0"/>
        <w:spacing w:line="360" w:lineRule="auto"/>
        <w:ind w:firstLine="840" w:firstLineChars="400"/>
        <w:jc w:val="left"/>
        <w:rPr>
          <w:rFonts w:ascii="宋体" w:hAnsi="宋体"/>
          <w:snapToGrid w:val="0"/>
          <w:kern w:val="0"/>
          <w:szCs w:val="21"/>
          <w:u w:val="single"/>
        </w:rPr>
      </w:pPr>
      <w:r>
        <w:rPr>
          <w:rFonts w:hint="eastAsia" w:ascii="宋体" w:hAnsi="宋体"/>
          <w:snapToGrid w:val="0"/>
          <w:kern w:val="0"/>
          <w:szCs w:val="21"/>
          <w:lang w:eastAsia="zh-CN"/>
        </w:rPr>
        <w:t>☑</w:t>
      </w:r>
      <w:r>
        <w:rPr>
          <w:rFonts w:hint="eastAsia" w:ascii="宋体" w:hAnsi="宋体"/>
          <w:snapToGrid w:val="0"/>
          <w:kern w:val="0"/>
          <w:szCs w:val="21"/>
        </w:rPr>
        <w:t>本次招标项目合同估算金额：</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217.51万元</w:t>
      </w:r>
      <w:r>
        <w:rPr>
          <w:rFonts w:hint="eastAsia" w:ascii="宋体" w:hAnsi="宋体"/>
          <w:snapToGrid w:val="0"/>
          <w:kern w:val="0"/>
          <w:szCs w:val="21"/>
          <w:u w:val="single"/>
        </w:rPr>
        <w:t xml:space="preserve"> </w:t>
      </w:r>
    </w:p>
    <w:p w14:paraId="18BD38E9">
      <w:pPr>
        <w:tabs>
          <w:tab w:val="left" w:pos="3840"/>
          <w:tab w:val="left" w:pos="5300"/>
        </w:tabs>
        <w:autoSpaceDE w:val="0"/>
        <w:autoSpaceDN w:val="0"/>
        <w:adjustRightInd w:val="0"/>
        <w:snapToGrid w:val="0"/>
        <w:spacing w:line="360" w:lineRule="auto"/>
        <w:ind w:firstLine="420" w:firstLineChars="200"/>
        <w:jc w:val="left"/>
        <w:rPr>
          <w:rFonts w:hint="eastAsia" w:ascii="宋体" w:hAnsi="宋体" w:eastAsia="宋体"/>
          <w:snapToGrid w:val="0"/>
          <w:kern w:val="0"/>
          <w:szCs w:val="21"/>
          <w:u w:val="single"/>
          <w:lang w:eastAsia="zh-CN"/>
        </w:rPr>
      </w:pPr>
      <w:r>
        <w:rPr>
          <w:rFonts w:hint="eastAsia" w:ascii="宋体" w:hAnsi="宋体"/>
          <w:snapToGrid w:val="0"/>
          <w:kern w:val="0"/>
          <w:szCs w:val="21"/>
        </w:rPr>
        <w:t>2.4 招标范围：</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妙高寺正殿文物建筑本体保护修缮面积441.2平方米，包括台基、墙体、木架构、屋顶、木装修及相关附属石质文物等保护修缮，具体以招标人提供的图纸、工程量清单、答疑资料、澄清资料、其它补遗资料等相关内容为准</w:t>
      </w:r>
      <w:r>
        <w:rPr>
          <w:rFonts w:hint="eastAsia" w:ascii="宋体" w:hAnsi="宋体"/>
          <w:snapToGrid w:val="0"/>
          <w:kern w:val="0"/>
          <w:szCs w:val="21"/>
          <w:u w:val="single"/>
        </w:rPr>
        <w:t xml:space="preserve"> </w:t>
      </w:r>
      <w:r>
        <w:rPr>
          <w:rFonts w:hint="eastAsia" w:ascii="宋体" w:hAnsi="宋体"/>
          <w:snapToGrid w:val="0"/>
          <w:kern w:val="0"/>
          <w:szCs w:val="21"/>
          <w:u w:val="none"/>
          <w:lang w:eastAsia="zh-CN"/>
        </w:rPr>
        <w:t>。</w:t>
      </w:r>
    </w:p>
    <w:p w14:paraId="47B8DCE3">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u w:val="single"/>
        </w:rPr>
      </w:pPr>
      <w:r>
        <w:rPr>
          <w:rFonts w:hint="eastAsia" w:ascii="宋体" w:hAnsi="宋体"/>
          <w:snapToGrid w:val="0"/>
          <w:kern w:val="0"/>
          <w:szCs w:val="21"/>
        </w:rPr>
        <w:t>2.5 工期要求：</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365</w:t>
      </w:r>
      <w:r>
        <w:rPr>
          <w:rFonts w:hint="eastAsia" w:ascii="宋体" w:hAnsi="宋体"/>
          <w:snapToGrid w:val="0"/>
          <w:kern w:val="0"/>
          <w:szCs w:val="21"/>
          <w:u w:val="single"/>
        </w:rPr>
        <w:t xml:space="preserve"> </w:t>
      </w:r>
      <w:r>
        <w:rPr>
          <w:rFonts w:hint="eastAsia" w:ascii="宋体" w:hAnsi="宋体"/>
          <w:snapToGrid w:val="0"/>
          <w:kern w:val="0"/>
          <w:szCs w:val="21"/>
          <w:u w:val="none"/>
        </w:rPr>
        <w:t>日历天</w:t>
      </w:r>
    </w:p>
    <w:p w14:paraId="0E8820DF">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color w:val="auto"/>
          <w:kern w:val="0"/>
          <w:szCs w:val="21"/>
        </w:rPr>
      </w:pPr>
      <w:r>
        <w:rPr>
          <w:rFonts w:hint="eastAsia" w:ascii="宋体" w:hAnsi="宋体"/>
          <w:snapToGrid w:val="0"/>
          <w:kern w:val="0"/>
          <w:szCs w:val="21"/>
        </w:rPr>
        <w:t xml:space="preserve">    缺陷责任期要求：</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60</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none"/>
        </w:rPr>
        <w:t>个月</w:t>
      </w:r>
    </w:p>
    <w:p w14:paraId="550E20D9">
      <w:pPr>
        <w:pStyle w:val="4"/>
        <w:spacing w:before="0" w:after="0" w:line="360" w:lineRule="auto"/>
        <w:rPr>
          <w:rFonts w:hint="default" w:ascii="宋体" w:hAnsi="宋体" w:eastAsia="宋体"/>
          <w:snapToGrid w:val="0"/>
          <w:sz w:val="28"/>
          <w:szCs w:val="28"/>
          <w:lang w:val="en-US" w:eastAsia="zh-CN"/>
        </w:rPr>
      </w:pPr>
      <w:bookmarkStart w:id="34" w:name="_Toc6447"/>
      <w:r>
        <w:rPr>
          <w:rFonts w:hint="eastAsia" w:ascii="宋体" w:hAnsi="宋体"/>
          <w:snapToGrid w:val="0"/>
          <w:sz w:val="28"/>
          <w:szCs w:val="28"/>
          <w:lang w:val="en-US" w:eastAsia="zh-CN"/>
        </w:rPr>
        <w:t>3</w:t>
      </w:r>
      <w:r>
        <w:rPr>
          <w:rFonts w:ascii="宋体" w:hAnsi="宋体"/>
          <w:snapToGrid w:val="0"/>
          <w:sz w:val="28"/>
          <w:szCs w:val="28"/>
        </w:rPr>
        <w:t xml:space="preserve">. </w:t>
      </w:r>
      <w:r>
        <w:rPr>
          <w:rFonts w:hint="eastAsia" w:ascii="宋体" w:hAnsi="宋体"/>
          <w:snapToGrid w:val="0"/>
          <w:sz w:val="28"/>
          <w:szCs w:val="28"/>
        </w:rPr>
        <w:t xml:space="preserve"> </w:t>
      </w:r>
      <w:r>
        <w:rPr>
          <w:rFonts w:hint="eastAsia" w:ascii="宋体" w:hAnsi="宋体"/>
          <w:snapToGrid w:val="0"/>
          <w:sz w:val="28"/>
          <w:szCs w:val="28"/>
          <w:lang w:val="en-US" w:eastAsia="zh-CN"/>
        </w:rPr>
        <w:t>政府采购工程</w:t>
      </w:r>
      <w:bookmarkEnd w:id="34"/>
    </w:p>
    <w:p w14:paraId="7FB79322">
      <w:pPr>
        <w:tabs>
          <w:tab w:val="left" w:pos="3840"/>
          <w:tab w:val="left" w:pos="5300"/>
        </w:tabs>
        <w:autoSpaceDE w:val="0"/>
        <w:autoSpaceDN w:val="0"/>
        <w:adjustRightInd w:val="0"/>
        <w:snapToGrid w:val="0"/>
        <w:spacing w:line="360" w:lineRule="auto"/>
        <w:ind w:firstLine="420" w:firstLineChars="200"/>
        <w:jc w:val="left"/>
        <w:rPr>
          <w:rFonts w:hint="default" w:ascii="宋体" w:hAnsi="宋体"/>
          <w:snapToGrid w:val="0"/>
          <w:kern w:val="0"/>
          <w:szCs w:val="21"/>
          <w:lang w:val="en-US" w:eastAsia="zh-CN"/>
        </w:rPr>
      </w:pPr>
      <w:r>
        <w:rPr>
          <w:rFonts w:hint="eastAsia" w:ascii="宋体" w:hAnsi="宋体"/>
          <w:snapToGrid w:val="0"/>
          <w:kern w:val="0"/>
          <w:szCs w:val="21"/>
          <w:lang w:val="en-US" w:eastAsia="zh-CN"/>
        </w:rPr>
        <w:t xml:space="preserve">3.1 </w:t>
      </w:r>
      <w:r>
        <w:rPr>
          <w:rFonts w:hint="eastAsia" w:ascii="宋体" w:hAnsi="宋体"/>
          <w:snapToGrid w:val="0"/>
          <w:kern w:val="0"/>
          <w:szCs w:val="21"/>
        </w:rPr>
        <w:t>是否属于政府采购工程</w:t>
      </w:r>
      <w:r>
        <w:rPr>
          <w:rFonts w:hint="eastAsia" w:ascii="宋体" w:hAnsi="宋体"/>
          <w:snapToGrid w:val="0"/>
          <w:kern w:val="0"/>
          <w:szCs w:val="21"/>
          <w:lang w:eastAsia="zh-CN"/>
        </w:rPr>
        <w:t>：□</w:t>
      </w:r>
      <w:r>
        <w:rPr>
          <w:rFonts w:hint="eastAsia" w:ascii="宋体" w:hAnsi="宋体"/>
          <w:snapToGrid w:val="0"/>
          <w:kern w:val="0"/>
          <w:szCs w:val="21"/>
        </w:rPr>
        <w:t>是</w:t>
      </w:r>
      <w:r>
        <w:rPr>
          <w:rFonts w:hint="eastAsia" w:ascii="宋体" w:hAnsi="宋体"/>
          <w:snapToGrid w:val="0"/>
          <w:kern w:val="0"/>
          <w:szCs w:val="21"/>
          <w:lang w:val="en-US" w:eastAsia="zh-CN"/>
        </w:rPr>
        <w:t xml:space="preserve"> </w:t>
      </w:r>
      <w:r>
        <w:rPr>
          <w:rFonts w:hint="eastAsia" w:ascii="宋体" w:hAnsi="宋体"/>
          <w:snapToGrid w:val="0"/>
          <w:kern w:val="0"/>
          <w:szCs w:val="21"/>
          <w:lang w:eastAsia="zh-CN"/>
        </w:rPr>
        <w:t>☑</w:t>
      </w:r>
      <w:r>
        <w:rPr>
          <w:rFonts w:hint="eastAsia" w:ascii="宋体" w:hAnsi="宋体"/>
          <w:snapToGrid w:val="0"/>
          <w:kern w:val="0"/>
          <w:szCs w:val="21"/>
        </w:rPr>
        <w:t>否</w:t>
      </w:r>
    </w:p>
    <w:p w14:paraId="15E65087">
      <w:pPr>
        <w:pStyle w:val="4"/>
        <w:spacing w:before="0" w:after="0" w:line="360" w:lineRule="auto"/>
        <w:rPr>
          <w:rFonts w:ascii="宋体" w:hAnsi="宋体"/>
          <w:snapToGrid w:val="0"/>
          <w:sz w:val="28"/>
          <w:szCs w:val="28"/>
        </w:rPr>
      </w:pPr>
      <w:bookmarkStart w:id="35" w:name="_Toc200359429"/>
      <w:bookmarkStart w:id="36" w:name="_Toc200359240"/>
      <w:bookmarkStart w:id="37" w:name="_Toc509218694"/>
      <w:bookmarkStart w:id="38" w:name="_Toc430530418"/>
      <w:bookmarkStart w:id="39" w:name="_Toc21962"/>
      <w:bookmarkStart w:id="40" w:name="_Toc287620669"/>
      <w:bookmarkStart w:id="41" w:name="_Toc224103301"/>
      <w:bookmarkStart w:id="42" w:name="_Toc287607730"/>
      <w:bookmarkStart w:id="43" w:name="_Toc277082538"/>
      <w:bookmarkStart w:id="44" w:name="_Toc3327"/>
      <w:r>
        <w:rPr>
          <w:rFonts w:hint="eastAsia" w:ascii="宋体" w:hAnsi="宋体"/>
          <w:snapToGrid w:val="0"/>
          <w:sz w:val="28"/>
          <w:szCs w:val="28"/>
          <w:lang w:val="en-US" w:eastAsia="zh-CN"/>
        </w:rPr>
        <w:t>4</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投标人资格要求</w:t>
      </w:r>
      <w:bookmarkEnd w:id="35"/>
      <w:bookmarkEnd w:id="36"/>
      <w:bookmarkEnd w:id="37"/>
      <w:bookmarkEnd w:id="38"/>
      <w:bookmarkEnd w:id="39"/>
      <w:bookmarkEnd w:id="40"/>
      <w:bookmarkEnd w:id="41"/>
      <w:bookmarkEnd w:id="42"/>
      <w:bookmarkEnd w:id="43"/>
      <w:bookmarkEnd w:id="44"/>
    </w:p>
    <w:p w14:paraId="3E5EEB27">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4</w:t>
      </w:r>
      <w:r>
        <w:rPr>
          <w:rFonts w:ascii="宋体" w:hAnsi="宋体"/>
          <w:snapToGrid w:val="0"/>
          <w:kern w:val="0"/>
          <w:szCs w:val="21"/>
        </w:rPr>
        <w:t>.1  本次招标要求投标人须具备</w:t>
      </w:r>
      <w:r>
        <w:rPr>
          <w:rFonts w:hint="eastAsia" w:ascii="宋体" w:hAnsi="宋体"/>
          <w:snapToGrid w:val="0"/>
          <w:kern w:val="0"/>
          <w:szCs w:val="21"/>
        </w:rPr>
        <w:t>以下条件：</w:t>
      </w:r>
    </w:p>
    <w:p w14:paraId="428573DC">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4</w:t>
      </w:r>
      <w:r>
        <w:rPr>
          <w:rFonts w:hint="eastAsia" w:ascii="宋体" w:hAnsi="宋体"/>
          <w:snapToGrid w:val="0"/>
          <w:kern w:val="0"/>
          <w:szCs w:val="21"/>
        </w:rPr>
        <w:t>.1.1 本次招标要求投标人具备的资质条件：</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详见投标人须知前附表</w:t>
      </w:r>
      <w:r>
        <w:rPr>
          <w:rFonts w:hint="eastAsia" w:ascii="宋体" w:hAnsi="宋体"/>
          <w:snapToGrid w:val="0"/>
          <w:kern w:val="0"/>
          <w:szCs w:val="21"/>
          <w:u w:val="single"/>
        </w:rPr>
        <w:t xml:space="preserve"> </w:t>
      </w:r>
      <w:r>
        <w:rPr>
          <w:rFonts w:hint="eastAsia" w:ascii="宋体" w:hAnsi="宋体"/>
          <w:snapToGrid w:val="0"/>
          <w:kern w:val="0"/>
          <w:szCs w:val="21"/>
        </w:rPr>
        <w:t>；</w:t>
      </w:r>
    </w:p>
    <w:p w14:paraId="26606F6E">
      <w:pPr>
        <w:tabs>
          <w:tab w:val="left" w:pos="3840"/>
          <w:tab w:val="left" w:pos="5300"/>
        </w:tabs>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napToGrid w:val="0"/>
          <w:kern w:val="0"/>
          <w:szCs w:val="21"/>
          <w:lang w:val="en-US" w:eastAsia="zh-CN"/>
        </w:rPr>
        <w:t>4</w:t>
      </w:r>
      <w:r>
        <w:rPr>
          <w:rFonts w:hint="eastAsia" w:ascii="宋体" w:hAnsi="宋体"/>
          <w:snapToGrid w:val="0"/>
          <w:kern w:val="0"/>
          <w:szCs w:val="21"/>
        </w:rPr>
        <w:t>.1.</w:t>
      </w:r>
      <w:r>
        <w:rPr>
          <w:rFonts w:hint="eastAsia" w:ascii="宋体" w:hAnsi="宋体"/>
          <w:snapToGrid w:val="0"/>
          <w:kern w:val="0"/>
          <w:szCs w:val="21"/>
          <w:lang w:val="en-US" w:eastAsia="zh-CN"/>
        </w:rPr>
        <w:t>2</w:t>
      </w:r>
      <w:r>
        <w:rPr>
          <w:rFonts w:hint="eastAsia" w:ascii="宋体" w:hAnsi="宋体"/>
          <w:snapToGrid w:val="0"/>
          <w:kern w:val="0"/>
          <w:szCs w:val="21"/>
        </w:rPr>
        <w:t xml:space="preserve"> 投标人还应在人员、</w:t>
      </w:r>
      <w:r>
        <w:rPr>
          <w:rFonts w:hint="eastAsia" w:ascii="宋体" w:hAnsi="宋体"/>
          <w:snapToGrid w:val="0"/>
          <w:kern w:val="0"/>
          <w:szCs w:val="21"/>
          <w:lang w:val="en-US" w:eastAsia="zh-CN"/>
        </w:rPr>
        <w:t>业绩、</w:t>
      </w:r>
      <w:r>
        <w:rPr>
          <w:rFonts w:hint="eastAsia" w:ascii="宋体" w:hAnsi="宋体"/>
          <w:snapToGrid w:val="0"/>
          <w:kern w:val="0"/>
          <w:szCs w:val="21"/>
        </w:rPr>
        <w:t>设备、资金等方面具有相应的施工能力，详见招标文件第二章投标人须知前附表第1.4.1项内容。</w:t>
      </w:r>
    </w:p>
    <w:p w14:paraId="04B8094F">
      <w:pPr>
        <w:tabs>
          <w:tab w:val="left" w:pos="3045"/>
          <w:tab w:val="left" w:pos="8310"/>
        </w:tabs>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lang w:val="en-US" w:eastAsia="zh-CN"/>
        </w:rPr>
        <w:t>4</w:t>
      </w:r>
      <w:r>
        <w:rPr>
          <w:rFonts w:ascii="宋体" w:hAnsi="宋体"/>
          <w:snapToGrid w:val="0"/>
          <w:kern w:val="0"/>
          <w:szCs w:val="21"/>
        </w:rPr>
        <w:t>.2  本次招标</w:t>
      </w:r>
      <w:r>
        <w:rPr>
          <w:rFonts w:hint="eastAsia" w:ascii="宋体" w:hAnsi="宋体"/>
          <w:snapToGrid w:val="0"/>
          <w:kern w:val="0"/>
          <w:szCs w:val="21"/>
        </w:rPr>
        <w:t xml:space="preserve">□接受 </w:t>
      </w:r>
      <w:r>
        <w:rPr>
          <w:rFonts w:hint="eastAsia" w:ascii="宋体" w:hAnsi="宋体"/>
          <w:snapToGrid w:val="0"/>
          <w:kern w:val="0"/>
          <w:szCs w:val="21"/>
          <w:lang w:eastAsia="zh-CN"/>
        </w:rPr>
        <w:t>☑</w:t>
      </w:r>
      <w:r>
        <w:rPr>
          <w:rFonts w:hint="eastAsia" w:ascii="宋体" w:hAnsi="宋体"/>
          <w:snapToGrid w:val="0"/>
          <w:kern w:val="0"/>
          <w:szCs w:val="21"/>
        </w:rPr>
        <w:t>不接受</w:t>
      </w:r>
      <w:r>
        <w:rPr>
          <w:rFonts w:ascii="宋体" w:hAnsi="宋体"/>
          <w:snapToGrid w:val="0"/>
          <w:kern w:val="0"/>
          <w:szCs w:val="21"/>
        </w:rPr>
        <w:t>联合体投标。联合体投标的，应满足下列要求：</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w:t>
      </w:r>
      <w:r>
        <w:rPr>
          <w:rFonts w:hint="eastAsia" w:ascii="宋体" w:hAnsi="宋体"/>
          <w:snapToGrid w:val="0"/>
          <w:kern w:val="0"/>
          <w:szCs w:val="21"/>
          <w:u w:val="single"/>
        </w:rPr>
        <w:t xml:space="preserve"> </w:t>
      </w:r>
      <w:r>
        <w:rPr>
          <w:rFonts w:ascii="宋体" w:hAnsi="宋体"/>
          <w:snapToGrid w:val="0"/>
          <w:kern w:val="0"/>
          <w:szCs w:val="21"/>
        </w:rPr>
        <w:t>。</w:t>
      </w:r>
    </w:p>
    <w:p w14:paraId="1A1648D5">
      <w:pPr>
        <w:pStyle w:val="4"/>
        <w:spacing w:before="0" w:after="0" w:line="360" w:lineRule="auto"/>
        <w:rPr>
          <w:rFonts w:ascii="宋体" w:hAnsi="宋体"/>
          <w:snapToGrid w:val="0"/>
          <w:sz w:val="28"/>
          <w:szCs w:val="28"/>
        </w:rPr>
      </w:pPr>
      <w:bookmarkStart w:id="45" w:name="_Toc277082539"/>
      <w:bookmarkStart w:id="46" w:name="_Toc509218695"/>
      <w:bookmarkStart w:id="47" w:name="_Toc287607731"/>
      <w:bookmarkStart w:id="48" w:name="_Toc224103302"/>
      <w:bookmarkStart w:id="49" w:name="_Toc287620670"/>
      <w:bookmarkStart w:id="50" w:name="_Toc430530419"/>
      <w:bookmarkStart w:id="51" w:name="_Toc24104"/>
      <w:bookmarkStart w:id="52" w:name="_Toc31081"/>
      <w:bookmarkStart w:id="53" w:name="_Toc200359241"/>
      <w:bookmarkStart w:id="54" w:name="_Toc200359430"/>
      <w:r>
        <w:rPr>
          <w:rFonts w:hint="eastAsia" w:ascii="宋体" w:hAnsi="宋体"/>
          <w:snapToGrid w:val="0"/>
          <w:sz w:val="28"/>
          <w:szCs w:val="28"/>
          <w:lang w:val="en-US" w:eastAsia="zh-CN"/>
        </w:rPr>
        <w:t>5</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招标文件的获取</w:t>
      </w:r>
      <w:bookmarkEnd w:id="45"/>
      <w:bookmarkEnd w:id="46"/>
      <w:bookmarkEnd w:id="47"/>
      <w:bookmarkEnd w:id="48"/>
      <w:bookmarkEnd w:id="49"/>
      <w:bookmarkEnd w:id="50"/>
      <w:bookmarkEnd w:id="51"/>
      <w:bookmarkEnd w:id="52"/>
      <w:bookmarkEnd w:id="53"/>
      <w:bookmarkEnd w:id="54"/>
    </w:p>
    <w:p w14:paraId="26374C6A">
      <w:pPr>
        <w:tabs>
          <w:tab w:val="left" w:pos="2420"/>
          <w:tab w:val="left" w:pos="5445"/>
        </w:tabs>
        <w:autoSpaceDE w:val="0"/>
        <w:autoSpaceDN w:val="0"/>
        <w:adjustRightInd w:val="0"/>
        <w:snapToGrid w:val="0"/>
        <w:spacing w:line="360" w:lineRule="auto"/>
        <w:ind w:firstLine="420"/>
        <w:rPr>
          <w:rFonts w:ascii="宋体" w:hAnsi="宋体"/>
          <w:snapToGrid w:val="0"/>
          <w:kern w:val="0"/>
          <w:szCs w:val="21"/>
        </w:rPr>
      </w:pPr>
      <w:r>
        <w:rPr>
          <w:rFonts w:hint="eastAsia" w:ascii="宋体" w:hAnsi="宋体"/>
          <w:snapToGrid w:val="0"/>
          <w:kern w:val="0"/>
          <w:szCs w:val="21"/>
          <w:lang w:val="en-US" w:eastAsia="zh-CN"/>
        </w:rPr>
        <w:t>5</w:t>
      </w:r>
      <w:r>
        <w:rPr>
          <w:rFonts w:hint="eastAsia" w:ascii="宋体" w:hAnsi="宋体"/>
          <w:snapToGrid w:val="0"/>
          <w:kern w:val="0"/>
          <w:szCs w:val="21"/>
        </w:rPr>
        <w:t xml:space="preserve">.1  </w:t>
      </w:r>
      <w:r>
        <w:rPr>
          <w:rFonts w:ascii="宋体" w:hAnsi="宋体"/>
          <w:snapToGrid w:val="0"/>
          <w:kern w:val="0"/>
          <w:szCs w:val="21"/>
        </w:rPr>
        <w:t>本招标项目采用</w:t>
      </w:r>
      <w:r>
        <w:rPr>
          <w:rFonts w:hint="eastAsia" w:ascii="宋体" w:hAnsi="宋体"/>
          <w:snapToGrid w:val="0"/>
          <w:kern w:val="0"/>
          <w:szCs w:val="21"/>
        </w:rPr>
        <w:t>全流程电子</w:t>
      </w:r>
      <w:r>
        <w:rPr>
          <w:rFonts w:ascii="宋体" w:hAnsi="宋体"/>
          <w:snapToGrid w:val="0"/>
          <w:kern w:val="0"/>
          <w:szCs w:val="21"/>
        </w:rPr>
        <w:t>招投标，投标人在投标前可在</w:t>
      </w:r>
      <w:r>
        <w:rPr>
          <w:rFonts w:hint="eastAsia" w:ascii="宋体" w:hAnsi="宋体"/>
          <w:snapToGrid w:val="0"/>
          <w:kern w:val="0"/>
          <w:szCs w:val="21"/>
          <w:u w:val="single"/>
          <w:lang w:eastAsia="zh-CN"/>
        </w:rPr>
        <w:t xml:space="preserve"> 重庆市公共资源交易网（大足区）（www.cqggzy.com/dazuweb/） </w:t>
      </w:r>
      <w:r>
        <w:rPr>
          <w:rFonts w:ascii="宋体" w:hAnsi="宋体"/>
          <w:snapToGrid w:val="0"/>
          <w:kern w:val="0"/>
          <w:szCs w:val="21"/>
        </w:rPr>
        <w:t>下载招标文件、工程量清单、电子图纸等资料。参与投标的投标人</w:t>
      </w:r>
      <w:r>
        <w:rPr>
          <w:rFonts w:hint="eastAsia" w:ascii="宋体" w:hAnsi="宋体"/>
          <w:snapToGrid w:val="0"/>
          <w:kern w:val="0"/>
          <w:szCs w:val="21"/>
        </w:rPr>
        <w:t>需在</w:t>
      </w:r>
      <w:r>
        <w:rPr>
          <w:rFonts w:hint="eastAsia" w:ascii="宋体" w:hAnsi="宋体"/>
          <w:snapToGrid w:val="0"/>
          <w:kern w:val="0"/>
          <w:szCs w:val="21"/>
          <w:u w:val="single"/>
          <w:lang w:eastAsia="zh-CN"/>
        </w:rPr>
        <w:t xml:space="preserve"> 重庆市公共资源交易网（大足区）（www.cqggzy.com/dazuweb/） </w:t>
      </w:r>
      <w:r>
        <w:rPr>
          <w:rFonts w:hint="eastAsia" w:ascii="宋体" w:hAnsi="宋体"/>
          <w:snapToGrid w:val="0"/>
          <w:kern w:val="0"/>
          <w:szCs w:val="21"/>
        </w:rPr>
        <w:t>完成市场主体信息登记以及 CA 数字证书办理，办理方式请参见</w:t>
      </w:r>
      <w:r>
        <w:rPr>
          <w:rFonts w:hint="eastAsia" w:ascii="宋体" w:hAnsi="宋体"/>
          <w:snapToGrid w:val="0"/>
          <w:kern w:val="0"/>
          <w:szCs w:val="21"/>
          <w:u w:val="single"/>
          <w:lang w:eastAsia="zh-CN"/>
        </w:rPr>
        <w:t xml:space="preserve"> 重庆市公共资源交易网（大足区）（www.cqggzy.com/dazuweb/） </w:t>
      </w:r>
      <w:r>
        <w:rPr>
          <w:rFonts w:hint="eastAsia" w:ascii="宋体" w:hAnsi="宋体"/>
          <w:snapToGrid w:val="0"/>
          <w:kern w:val="0"/>
          <w:szCs w:val="21"/>
        </w:rPr>
        <w:t>导航栏“主体信息”页面中“市场主体信息登记”“CA 数字证书办理”。若投标人未及时完成市场主体信息登记和 CA 数字证书办理导致无法完成全流程电子招投标的，责任自负</w:t>
      </w:r>
      <w:r>
        <w:rPr>
          <w:rFonts w:ascii="宋体" w:hAnsi="宋体"/>
          <w:snapToGrid w:val="0"/>
          <w:kern w:val="0"/>
          <w:szCs w:val="21"/>
        </w:rPr>
        <w:t>。</w:t>
      </w:r>
    </w:p>
    <w:p w14:paraId="52D12729">
      <w:pPr>
        <w:tabs>
          <w:tab w:val="left" w:pos="2420"/>
          <w:tab w:val="left" w:pos="5445"/>
        </w:tabs>
        <w:autoSpaceDE w:val="0"/>
        <w:autoSpaceDN w:val="0"/>
        <w:adjustRightInd w:val="0"/>
        <w:snapToGrid w:val="0"/>
        <w:spacing w:line="360" w:lineRule="auto"/>
        <w:ind w:firstLine="420"/>
        <w:rPr>
          <w:rFonts w:ascii="宋体" w:hAnsi="宋体"/>
          <w:snapToGrid w:val="0"/>
          <w:kern w:val="0"/>
          <w:szCs w:val="21"/>
        </w:rPr>
      </w:pPr>
      <w:r>
        <w:rPr>
          <w:rFonts w:hint="eastAsia" w:ascii="宋体" w:hAnsi="宋体"/>
          <w:snapToGrid w:val="0"/>
          <w:kern w:val="0"/>
          <w:szCs w:val="21"/>
          <w:lang w:val="en-US" w:eastAsia="zh-CN"/>
        </w:rPr>
        <w:t>5</w:t>
      </w:r>
      <w:r>
        <w:rPr>
          <w:rFonts w:hint="eastAsia" w:ascii="宋体" w:hAnsi="宋体"/>
          <w:snapToGrid w:val="0"/>
          <w:kern w:val="0"/>
          <w:szCs w:val="21"/>
        </w:rPr>
        <w:t>.2  投标人可在</w:t>
      </w:r>
      <w:r>
        <w:rPr>
          <w:rFonts w:hint="eastAsia" w:ascii="宋体" w:hAnsi="宋体"/>
          <w:snapToGrid w:val="0"/>
          <w:kern w:val="0"/>
          <w:szCs w:val="21"/>
          <w:u w:val="single"/>
          <w:lang w:eastAsia="zh-CN"/>
        </w:rPr>
        <w:t xml:space="preserve"> 重庆市公共资源交易网（大足区）（www.cqggzy.com/dazuweb/） </w:t>
      </w:r>
      <w:r>
        <w:rPr>
          <w:rFonts w:hint="eastAsia" w:ascii="宋体" w:hAnsi="宋体"/>
          <w:snapToGrid w:val="0"/>
          <w:kern w:val="0"/>
          <w:szCs w:val="21"/>
        </w:rPr>
        <w:t>本项目招标公告网页下方“我要提问”栏提出疑问</w:t>
      </w:r>
      <w:r>
        <w:rPr>
          <w:rFonts w:ascii="宋体" w:hAnsi="宋体" w:eastAsia="宋体" w:cs="宋体"/>
          <w:i w:val="0"/>
          <w:caps w:val="0"/>
          <w:color w:val="333333"/>
          <w:spacing w:val="0"/>
          <w:sz w:val="21"/>
          <w:szCs w:val="21"/>
          <w:shd w:val="clear" w:fill="FFFFFF"/>
        </w:rPr>
        <w:t>，</w:t>
      </w:r>
      <w:r>
        <w:rPr>
          <w:rFonts w:ascii="宋体" w:hAnsi="宋体" w:eastAsia="宋体" w:cs="宋体"/>
          <w:i w:val="0"/>
          <w:caps w:val="0"/>
          <w:color w:val="auto"/>
          <w:spacing w:val="0"/>
          <w:sz w:val="21"/>
          <w:szCs w:val="21"/>
          <w:shd w:val="clear" w:fill="FFFFFF"/>
        </w:rPr>
        <w:t>提问时间从本公告发布</w:t>
      </w:r>
      <w:r>
        <w:rPr>
          <w:rFonts w:ascii="宋体" w:hAnsi="宋体" w:eastAsia="宋体" w:cs="宋体"/>
          <w:i w:val="0"/>
          <w:caps w:val="0"/>
          <w:color w:val="333333"/>
          <w:spacing w:val="0"/>
          <w:sz w:val="21"/>
          <w:szCs w:val="21"/>
          <w:shd w:val="clear" w:fill="FFFFFF"/>
        </w:rPr>
        <w:t>至</w:t>
      </w:r>
      <w:r>
        <w:rPr>
          <w:rFonts w:hint="eastAsia" w:ascii="宋体" w:hAnsi="宋体" w:cs="宋体"/>
          <w:snapToGrid w:val="0"/>
          <w:kern w:val="0"/>
          <w:szCs w:val="21"/>
          <w:u w:val="single"/>
          <w:lang w:val="en-US" w:eastAsia="zh-CN"/>
        </w:rPr>
        <w:t xml:space="preserve"> 2026 </w:t>
      </w:r>
      <w:r>
        <w:rPr>
          <w:rFonts w:hint="eastAsia" w:ascii="宋体" w:hAnsi="宋体" w:cs="宋体"/>
          <w:snapToGrid w:val="0"/>
          <w:kern w:val="0"/>
          <w:szCs w:val="21"/>
          <w:lang w:val="en-US" w:eastAsia="zh-CN"/>
        </w:rPr>
        <w:t>年</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lang w:val="en-US" w:eastAsia="zh-CN"/>
        </w:rPr>
        <w:t>月</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lang w:val="en-US" w:eastAsia="zh-CN"/>
        </w:rPr>
        <w:t>日</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lang w:val="en-US" w:eastAsia="zh-CN"/>
        </w:rPr>
        <w:t>时</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lang w:val="en-US" w:eastAsia="zh-CN"/>
        </w:rPr>
        <w:t>分</w:t>
      </w:r>
      <w:r>
        <w:rPr>
          <w:rFonts w:ascii="宋体" w:hAnsi="宋体" w:eastAsia="宋体" w:cs="宋体"/>
          <w:i w:val="0"/>
          <w:caps w:val="0"/>
          <w:color w:val="333333"/>
          <w:spacing w:val="0"/>
          <w:sz w:val="21"/>
          <w:szCs w:val="21"/>
          <w:shd w:val="clear" w:fill="FFFFFF"/>
        </w:rPr>
        <w:t>前</w:t>
      </w:r>
      <w:r>
        <w:rPr>
          <w:rFonts w:hint="eastAsia" w:ascii="宋体" w:hAnsi="宋体"/>
          <w:snapToGrid w:val="0"/>
          <w:kern w:val="0"/>
          <w:szCs w:val="21"/>
        </w:rPr>
        <w:t>。</w:t>
      </w:r>
    </w:p>
    <w:p w14:paraId="2ACAAE3F">
      <w:pPr>
        <w:tabs>
          <w:tab w:val="left" w:pos="2420"/>
          <w:tab w:val="left" w:pos="5445"/>
        </w:tabs>
        <w:autoSpaceDE w:val="0"/>
        <w:autoSpaceDN w:val="0"/>
        <w:adjustRightInd w:val="0"/>
        <w:snapToGrid w:val="0"/>
        <w:spacing w:line="360" w:lineRule="auto"/>
        <w:ind w:firstLine="420"/>
        <w:jc w:val="both"/>
        <w:rPr>
          <w:rFonts w:ascii="宋体" w:hAnsi="宋体"/>
          <w:snapToGrid w:val="0"/>
          <w:kern w:val="0"/>
          <w:szCs w:val="21"/>
        </w:rPr>
      </w:pPr>
      <w:r>
        <w:rPr>
          <w:rFonts w:hint="eastAsia" w:ascii="宋体" w:hAnsi="宋体"/>
          <w:snapToGrid w:val="0"/>
          <w:kern w:val="0"/>
          <w:szCs w:val="21"/>
          <w:lang w:val="en-US" w:eastAsia="zh-CN"/>
        </w:rPr>
        <w:t>5</w:t>
      </w:r>
      <w:r>
        <w:rPr>
          <w:rFonts w:hint="eastAsia" w:ascii="宋体" w:hAnsi="宋体"/>
          <w:snapToGrid w:val="0"/>
          <w:kern w:val="0"/>
          <w:szCs w:val="21"/>
        </w:rPr>
        <w:t>.3  招标人应</w:t>
      </w:r>
      <w:r>
        <w:rPr>
          <w:rFonts w:hint="eastAsia" w:ascii="宋体" w:hAnsi="宋体"/>
          <w:snapToGrid w:val="0"/>
          <w:color w:val="auto"/>
          <w:kern w:val="0"/>
          <w:szCs w:val="21"/>
          <w:highlight w:val="none"/>
        </w:rPr>
        <w:t>在</w:t>
      </w:r>
      <w:r>
        <w:rPr>
          <w:rFonts w:hint="eastAsia" w:ascii="宋体" w:hAnsi="宋体" w:cs="宋体"/>
          <w:snapToGrid w:val="0"/>
          <w:kern w:val="0"/>
          <w:szCs w:val="21"/>
          <w:u w:val="single"/>
          <w:lang w:val="en-US" w:eastAsia="zh-CN"/>
        </w:rPr>
        <w:t xml:space="preserve"> 2026 </w:t>
      </w:r>
      <w:r>
        <w:rPr>
          <w:rFonts w:hint="eastAsia" w:ascii="宋体" w:hAnsi="宋体" w:cs="宋体"/>
          <w:snapToGrid w:val="0"/>
          <w:kern w:val="0"/>
          <w:szCs w:val="21"/>
          <w:lang w:val="en-US" w:eastAsia="zh-CN"/>
        </w:rPr>
        <w:t>年</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lang w:val="en-US" w:eastAsia="zh-CN"/>
        </w:rPr>
        <w:t>月</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lang w:val="en-US" w:eastAsia="zh-CN"/>
        </w:rPr>
        <w:t>日</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lang w:val="en-US" w:eastAsia="zh-CN"/>
        </w:rPr>
        <w:t>时</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lang w:val="en-US" w:eastAsia="zh-CN"/>
        </w:rPr>
        <w:t>分</w:t>
      </w:r>
      <w:r>
        <w:rPr>
          <w:rFonts w:ascii="宋体" w:hAnsi="宋体" w:eastAsia="宋体" w:cs="宋体"/>
          <w:i w:val="0"/>
          <w:caps w:val="0"/>
          <w:color w:val="333333"/>
          <w:spacing w:val="0"/>
          <w:sz w:val="21"/>
          <w:szCs w:val="21"/>
          <w:shd w:val="clear" w:fill="FFFFFF"/>
        </w:rPr>
        <w:t>前</w:t>
      </w:r>
      <w:r>
        <w:rPr>
          <w:rFonts w:hint="eastAsia" w:ascii="宋体" w:hAnsi="宋体"/>
          <w:snapToGrid w:val="0"/>
          <w:kern w:val="0"/>
          <w:szCs w:val="21"/>
        </w:rPr>
        <w:t>在</w:t>
      </w:r>
      <w:r>
        <w:rPr>
          <w:rFonts w:hint="eastAsia" w:ascii="宋体" w:hAnsi="宋体"/>
          <w:snapToGrid w:val="0"/>
          <w:kern w:val="0"/>
          <w:szCs w:val="21"/>
          <w:u w:val="single"/>
          <w:lang w:eastAsia="zh-CN"/>
        </w:rPr>
        <w:t xml:space="preserve"> 重庆市公共资源交易网（大足区）（www.cqggzy.com/dazuweb/） </w:t>
      </w:r>
      <w:r>
        <w:rPr>
          <w:rFonts w:hint="eastAsia" w:ascii="宋体" w:hAnsi="宋体"/>
          <w:snapToGrid w:val="0"/>
          <w:kern w:val="0"/>
          <w:szCs w:val="21"/>
        </w:rPr>
        <w:t>发布澄清</w:t>
      </w:r>
      <w:r>
        <w:rPr>
          <w:rFonts w:hint="eastAsia" w:ascii="宋体" w:hAnsi="宋体"/>
          <w:snapToGrid w:val="0"/>
          <w:kern w:val="0"/>
          <w:szCs w:val="21"/>
          <w:lang w:val="en-US" w:eastAsia="zh-CN"/>
        </w:rPr>
        <w:t>或修改</w:t>
      </w:r>
      <w:r>
        <w:rPr>
          <w:rFonts w:hint="eastAsia" w:ascii="宋体" w:hAnsi="宋体"/>
          <w:snapToGrid w:val="0"/>
          <w:kern w:val="0"/>
          <w:szCs w:val="21"/>
        </w:rPr>
        <w:t>。</w:t>
      </w:r>
    </w:p>
    <w:p w14:paraId="275A4D3B">
      <w:pPr>
        <w:pStyle w:val="4"/>
        <w:spacing w:before="0" w:after="0" w:line="360" w:lineRule="auto"/>
        <w:rPr>
          <w:rFonts w:ascii="宋体" w:hAnsi="宋体"/>
          <w:snapToGrid w:val="0"/>
          <w:sz w:val="28"/>
          <w:szCs w:val="28"/>
        </w:rPr>
      </w:pPr>
      <w:bookmarkStart w:id="55" w:name="_Toc287607732"/>
      <w:bookmarkStart w:id="56" w:name="_Toc200359431"/>
      <w:bookmarkStart w:id="57" w:name="_Toc430530420"/>
      <w:bookmarkStart w:id="58" w:name="_Toc277082540"/>
      <w:bookmarkStart w:id="59" w:name="_Toc287620671"/>
      <w:bookmarkStart w:id="60" w:name="_Toc6860"/>
      <w:bookmarkStart w:id="61" w:name="_Toc509218696"/>
      <w:bookmarkStart w:id="62" w:name="_Toc224103303"/>
      <w:bookmarkStart w:id="63" w:name="_Toc18111"/>
      <w:bookmarkStart w:id="64" w:name="_Toc200359242"/>
      <w:r>
        <w:rPr>
          <w:rFonts w:hint="eastAsia" w:ascii="宋体" w:hAnsi="宋体"/>
          <w:snapToGrid w:val="0"/>
          <w:sz w:val="28"/>
          <w:szCs w:val="28"/>
          <w:lang w:val="en-US" w:eastAsia="zh-CN"/>
        </w:rPr>
        <w:t>6</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投标文件的递交</w:t>
      </w:r>
      <w:bookmarkEnd w:id="55"/>
      <w:bookmarkEnd w:id="56"/>
      <w:bookmarkEnd w:id="57"/>
      <w:bookmarkEnd w:id="58"/>
      <w:bookmarkEnd w:id="59"/>
      <w:bookmarkEnd w:id="60"/>
      <w:bookmarkEnd w:id="61"/>
      <w:bookmarkEnd w:id="62"/>
      <w:bookmarkEnd w:id="63"/>
      <w:bookmarkEnd w:id="64"/>
    </w:p>
    <w:p w14:paraId="4960E487">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6</w:t>
      </w:r>
      <w:r>
        <w:rPr>
          <w:rFonts w:ascii="宋体" w:hAnsi="宋体"/>
          <w:snapToGrid w:val="0"/>
          <w:kern w:val="0"/>
          <w:szCs w:val="21"/>
        </w:rPr>
        <w:t xml:space="preserve">.1  </w:t>
      </w:r>
      <w:r>
        <w:rPr>
          <w:rFonts w:hint="eastAsia" w:ascii="宋体" w:hAnsi="宋体"/>
          <w:snapToGrid w:val="0"/>
          <w:kern w:val="0"/>
          <w:szCs w:val="21"/>
          <w:lang w:val="en-US" w:eastAsia="zh-CN"/>
        </w:rPr>
        <w:t>本项目</w:t>
      </w:r>
      <w:r>
        <w:rPr>
          <w:rFonts w:ascii="宋体" w:hAnsi="宋体"/>
          <w:snapToGrid w:val="0"/>
          <w:kern w:val="0"/>
          <w:szCs w:val="21"/>
        </w:rPr>
        <w:t>投标截止时间</w:t>
      </w:r>
      <w:r>
        <w:rPr>
          <w:rFonts w:hint="eastAsia" w:ascii="宋体" w:hAnsi="宋体" w:cs="宋体"/>
          <w:snapToGrid w:val="0"/>
          <w:kern w:val="0"/>
          <w:szCs w:val="21"/>
          <w:lang w:val="en-US" w:eastAsia="zh-CN"/>
        </w:rPr>
        <w:t>为</w:t>
      </w:r>
      <w:r>
        <w:rPr>
          <w:rFonts w:hint="eastAsia" w:ascii="宋体" w:hAnsi="宋体" w:cs="宋体"/>
          <w:snapToGrid w:val="0"/>
          <w:kern w:val="0"/>
          <w:szCs w:val="21"/>
          <w:u w:val="single"/>
          <w:lang w:val="en-US" w:eastAsia="zh-CN"/>
        </w:rPr>
        <w:t xml:space="preserve"> 2026 </w:t>
      </w:r>
      <w:r>
        <w:rPr>
          <w:rFonts w:hint="eastAsia" w:ascii="宋体" w:hAnsi="宋体" w:cs="宋体"/>
          <w:snapToGrid w:val="0"/>
          <w:kern w:val="0"/>
          <w:szCs w:val="21"/>
          <w:lang w:val="en-US" w:eastAsia="zh-CN"/>
        </w:rPr>
        <w:t>年</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lang w:val="en-US" w:eastAsia="zh-CN"/>
        </w:rPr>
        <w:t>月</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lang w:val="en-US" w:eastAsia="zh-CN"/>
        </w:rPr>
        <w:t>日</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lang w:val="en-US" w:eastAsia="zh-CN"/>
        </w:rPr>
        <w:t>时</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lang w:val="en-US" w:eastAsia="zh-CN"/>
        </w:rPr>
        <w:t>分</w:t>
      </w:r>
      <w:r>
        <w:rPr>
          <w:rFonts w:ascii="宋体" w:hAnsi="宋体"/>
          <w:snapToGrid w:val="0"/>
          <w:kern w:val="0"/>
          <w:szCs w:val="21"/>
        </w:rPr>
        <w:t>，</w:t>
      </w:r>
      <w:r>
        <w:rPr>
          <w:rFonts w:hint="eastAsia" w:ascii="宋体" w:hAnsi="宋体"/>
          <w:snapToGrid w:val="0"/>
          <w:kern w:val="0"/>
          <w:szCs w:val="21"/>
        </w:rPr>
        <w:t>投标人应当在投标截止时间前，通过互联网使用CA数字证书登录重庆市电子招投标系统，将加密的电子投标文件上传。</w:t>
      </w:r>
    </w:p>
    <w:p w14:paraId="05968AEF">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lang w:val="en-US" w:eastAsia="zh-CN"/>
        </w:rPr>
        <w:t>6</w:t>
      </w:r>
      <w:r>
        <w:rPr>
          <w:rFonts w:ascii="宋体" w:hAnsi="宋体"/>
          <w:snapToGrid w:val="0"/>
          <w:kern w:val="0"/>
          <w:szCs w:val="21"/>
        </w:rPr>
        <w:t xml:space="preserve">.2  </w:t>
      </w:r>
      <w:r>
        <w:rPr>
          <w:rFonts w:hint="eastAsia" w:ascii="宋体" w:hAnsi="宋体"/>
          <w:snapToGrid w:val="0"/>
          <w:kern w:val="0"/>
          <w:szCs w:val="21"/>
        </w:rPr>
        <w:t>未按要求加密的电子投标文件，将无法上传至重庆市电子招投标系统，逾期未完成上传投标文件的，视为撤回投标文件。</w:t>
      </w:r>
    </w:p>
    <w:p w14:paraId="3B8406B3">
      <w:pPr>
        <w:pStyle w:val="4"/>
        <w:spacing w:before="0" w:after="0" w:line="360" w:lineRule="auto"/>
        <w:rPr>
          <w:rFonts w:ascii="宋体" w:hAnsi="宋体"/>
          <w:snapToGrid w:val="0"/>
          <w:sz w:val="28"/>
          <w:szCs w:val="28"/>
        </w:rPr>
      </w:pPr>
      <w:bookmarkStart w:id="65" w:name="_Toc509218697"/>
      <w:bookmarkStart w:id="66" w:name="_Toc430530421"/>
      <w:bookmarkStart w:id="67" w:name="_Toc287620672"/>
      <w:bookmarkStart w:id="68" w:name="_Toc200359432"/>
      <w:bookmarkStart w:id="69" w:name="_Toc224103304"/>
      <w:bookmarkStart w:id="70" w:name="_Toc28442"/>
      <w:bookmarkStart w:id="71" w:name="_Toc287607733"/>
      <w:bookmarkStart w:id="72" w:name="_Toc2092"/>
      <w:bookmarkStart w:id="73" w:name="_Toc277082541"/>
      <w:bookmarkStart w:id="74" w:name="_Toc200359243"/>
      <w:r>
        <w:rPr>
          <w:rFonts w:hint="eastAsia" w:ascii="宋体" w:hAnsi="宋体"/>
          <w:snapToGrid w:val="0"/>
          <w:sz w:val="28"/>
          <w:szCs w:val="28"/>
          <w:lang w:val="en-US" w:eastAsia="zh-CN"/>
        </w:rPr>
        <w:t>7</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发布公告的媒介</w:t>
      </w:r>
      <w:bookmarkEnd w:id="65"/>
      <w:bookmarkEnd w:id="66"/>
      <w:bookmarkEnd w:id="67"/>
      <w:bookmarkEnd w:id="68"/>
      <w:bookmarkEnd w:id="69"/>
      <w:bookmarkEnd w:id="70"/>
      <w:bookmarkEnd w:id="71"/>
      <w:bookmarkEnd w:id="72"/>
      <w:bookmarkEnd w:id="73"/>
      <w:bookmarkEnd w:id="74"/>
    </w:p>
    <w:p w14:paraId="668282E8">
      <w:pPr>
        <w:tabs>
          <w:tab w:val="left" w:pos="4950"/>
        </w:tabs>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本次招标公告同时在</w:t>
      </w:r>
      <w:r>
        <w:rPr>
          <w:rFonts w:hint="eastAsia" w:ascii="宋体" w:hAnsi="宋体"/>
          <w:snapToGrid w:val="0"/>
          <w:kern w:val="0"/>
          <w:szCs w:val="21"/>
          <w:u w:val="single"/>
        </w:rPr>
        <w:t xml:space="preserve"> 重庆市公共资源交易网（大足区）（www.cqggzy.com/dazuweb/） </w:t>
      </w:r>
      <w:r>
        <w:rPr>
          <w:rFonts w:ascii="宋体" w:hAnsi="宋体"/>
          <w:snapToGrid w:val="0"/>
          <w:kern w:val="0"/>
          <w:szCs w:val="21"/>
        </w:rPr>
        <w:t>上发布。</w:t>
      </w:r>
    </w:p>
    <w:p w14:paraId="2CDA3F27">
      <w:pPr>
        <w:pStyle w:val="4"/>
        <w:spacing w:before="0" w:after="0" w:line="360" w:lineRule="auto"/>
        <w:rPr>
          <w:rFonts w:ascii="宋体" w:hAnsi="宋体"/>
          <w:snapToGrid w:val="0"/>
          <w:sz w:val="28"/>
          <w:szCs w:val="28"/>
        </w:rPr>
      </w:pPr>
      <w:bookmarkStart w:id="75" w:name="_Toc287607734"/>
      <w:bookmarkStart w:id="76" w:name="_Toc31522"/>
      <w:bookmarkStart w:id="77" w:name="_Toc277082542"/>
      <w:bookmarkStart w:id="78" w:name="_Toc23065"/>
      <w:bookmarkStart w:id="79" w:name="_Toc430530422"/>
      <w:bookmarkStart w:id="80" w:name="_Toc509218698"/>
      <w:bookmarkStart w:id="81" w:name="_Toc224103305"/>
      <w:bookmarkStart w:id="82" w:name="_Toc287620673"/>
      <w:r>
        <w:rPr>
          <w:rFonts w:hint="eastAsia" w:ascii="宋体" w:hAnsi="宋体"/>
          <w:snapToGrid w:val="0"/>
          <w:sz w:val="28"/>
          <w:szCs w:val="28"/>
          <w:lang w:val="en-US" w:eastAsia="zh-CN"/>
        </w:rPr>
        <w:t>8</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联系方式</w:t>
      </w:r>
      <w:bookmarkEnd w:id="75"/>
      <w:bookmarkEnd w:id="76"/>
      <w:bookmarkEnd w:id="77"/>
      <w:bookmarkEnd w:id="78"/>
      <w:bookmarkEnd w:id="79"/>
      <w:bookmarkEnd w:id="80"/>
      <w:bookmarkEnd w:id="81"/>
      <w:bookmarkEnd w:id="82"/>
    </w:p>
    <w:p w14:paraId="38C4AB5C">
      <w:pPr>
        <w:tabs>
          <w:tab w:val="left" w:pos="5140"/>
          <w:tab w:val="left" w:pos="8520"/>
        </w:tabs>
        <w:autoSpaceDE w:val="0"/>
        <w:autoSpaceDN w:val="0"/>
        <w:adjustRightInd w:val="0"/>
        <w:snapToGrid w:val="0"/>
        <w:spacing w:line="360" w:lineRule="auto"/>
        <w:ind w:firstLine="420" w:firstLineChars="200"/>
        <w:jc w:val="left"/>
        <w:rPr>
          <w:rFonts w:hint="default" w:ascii="宋体" w:hAnsi="宋体" w:eastAsia="宋体"/>
          <w:snapToGrid w:val="0"/>
          <w:kern w:val="0"/>
          <w:szCs w:val="21"/>
          <w:lang w:val="en-US" w:eastAsia="zh-CN"/>
        </w:rPr>
      </w:pPr>
      <w:r>
        <w:rPr>
          <w:rFonts w:ascii="宋体" w:hAnsi="宋体"/>
          <w:snapToGrid w:val="0"/>
          <w:kern w:val="0"/>
          <w:szCs w:val="21"/>
        </w:rPr>
        <w:t>招 标 人：</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大足石刻研究院</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 xml:space="preserve">                                </w:t>
      </w:r>
    </w:p>
    <w:p w14:paraId="395C7C74">
      <w:pPr>
        <w:tabs>
          <w:tab w:val="left" w:pos="5140"/>
          <w:tab w:val="left" w:pos="8420"/>
        </w:tabs>
        <w:autoSpaceDE w:val="0"/>
        <w:autoSpaceDN w:val="0"/>
        <w:adjustRightInd w:val="0"/>
        <w:snapToGrid w:val="0"/>
        <w:spacing w:line="360" w:lineRule="auto"/>
        <w:ind w:firstLine="420" w:firstLineChars="200"/>
        <w:jc w:val="left"/>
        <w:rPr>
          <w:rFonts w:hint="default" w:ascii="宋体" w:hAnsi="宋体" w:eastAsia="宋体"/>
          <w:snapToGrid w:val="0"/>
          <w:kern w:val="0"/>
          <w:szCs w:val="21"/>
          <w:lang w:val="en-US" w:eastAsia="zh-CN"/>
        </w:rPr>
      </w:pPr>
      <w:r>
        <w:rPr>
          <w:rFonts w:ascii="宋体" w:hAnsi="宋体"/>
          <w:snapToGrid w:val="0"/>
          <w:kern w:val="0"/>
          <w:szCs w:val="21"/>
        </w:rPr>
        <w:t>地    址：</w:t>
      </w:r>
      <w:r>
        <w:rPr>
          <w:rFonts w:ascii="宋体" w:hAnsi="宋体"/>
          <w:snapToGrid w:val="0"/>
          <w:kern w:val="0"/>
          <w:szCs w:val="21"/>
          <w:u w:val="single"/>
        </w:rPr>
        <w:t xml:space="preserve"> 重庆市大足区北山路7号 </w:t>
      </w:r>
      <w:r>
        <w:rPr>
          <w:rFonts w:hint="eastAsia" w:ascii="宋体" w:hAnsi="宋体"/>
          <w:snapToGrid w:val="0"/>
          <w:kern w:val="0"/>
          <w:szCs w:val="21"/>
          <w:u w:val="single"/>
          <w:lang w:val="en-US" w:eastAsia="zh-CN"/>
        </w:rPr>
        <w:t xml:space="preserve">                         </w:t>
      </w:r>
    </w:p>
    <w:p w14:paraId="75FE3C0F">
      <w:pPr>
        <w:tabs>
          <w:tab w:val="left" w:pos="5140"/>
          <w:tab w:val="left" w:pos="8420"/>
        </w:tabs>
        <w:autoSpaceDE w:val="0"/>
        <w:autoSpaceDN w:val="0"/>
        <w:adjustRightInd w:val="0"/>
        <w:snapToGrid w:val="0"/>
        <w:spacing w:line="360" w:lineRule="auto"/>
        <w:ind w:firstLine="420" w:firstLineChars="200"/>
        <w:jc w:val="left"/>
        <w:rPr>
          <w:rFonts w:hint="default" w:ascii="宋体" w:hAnsi="宋体" w:eastAsia="宋体"/>
          <w:snapToGrid w:val="0"/>
          <w:kern w:val="0"/>
          <w:szCs w:val="21"/>
          <w:lang w:val="en-US" w:eastAsia="zh-CN"/>
        </w:rPr>
      </w:pPr>
      <w:r>
        <w:rPr>
          <w:rFonts w:hint="eastAsia" w:ascii="宋体" w:hAnsi="宋体"/>
          <w:snapToGrid w:val="0"/>
          <w:kern w:val="0"/>
          <w:szCs w:val="21"/>
          <w:lang w:val="en-US" w:eastAsia="zh-CN"/>
        </w:rPr>
        <w:t>项目负责人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韩老师</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 xml:space="preserve">              </w:t>
      </w:r>
    </w:p>
    <w:p w14:paraId="277074CE">
      <w:pPr>
        <w:tabs>
          <w:tab w:val="left" w:pos="5140"/>
          <w:tab w:val="left" w:pos="8420"/>
        </w:tabs>
        <w:autoSpaceDE w:val="0"/>
        <w:autoSpaceDN w:val="0"/>
        <w:adjustRightInd w:val="0"/>
        <w:snapToGrid w:val="0"/>
        <w:spacing w:line="360" w:lineRule="auto"/>
        <w:ind w:firstLine="420" w:firstLineChars="200"/>
        <w:jc w:val="left"/>
        <w:rPr>
          <w:rFonts w:hint="default" w:ascii="宋体" w:hAnsi="宋体" w:eastAsia="宋体"/>
          <w:snapToGrid w:val="0"/>
          <w:kern w:val="0"/>
          <w:szCs w:val="21"/>
          <w:lang w:val="en-US" w:eastAsia="zh-CN"/>
        </w:rPr>
      </w:pPr>
      <w:r>
        <w:rPr>
          <w:rFonts w:ascii="宋体" w:hAnsi="宋体"/>
          <w:snapToGrid w:val="0"/>
          <w:kern w:val="0"/>
          <w:szCs w:val="21"/>
        </w:rPr>
        <w:t>电    话：</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 xml:space="preserve">18996394389                                    </w:t>
      </w:r>
    </w:p>
    <w:p w14:paraId="2183997C">
      <w:pPr>
        <w:tabs>
          <w:tab w:val="left" w:pos="5140"/>
          <w:tab w:val="left" w:pos="8520"/>
        </w:tabs>
        <w:autoSpaceDE w:val="0"/>
        <w:autoSpaceDN w:val="0"/>
        <w:adjustRightInd w:val="0"/>
        <w:snapToGrid w:val="0"/>
        <w:spacing w:line="360" w:lineRule="auto"/>
        <w:ind w:firstLine="420" w:firstLineChars="200"/>
        <w:jc w:val="left"/>
        <w:rPr>
          <w:rFonts w:hint="eastAsia" w:ascii="宋体" w:hAnsi="宋体"/>
          <w:snapToGrid w:val="0"/>
          <w:kern w:val="0"/>
          <w:szCs w:val="21"/>
          <w:lang w:val="en-US" w:eastAsia="zh-CN"/>
        </w:rPr>
      </w:pPr>
    </w:p>
    <w:p w14:paraId="17D2FD53">
      <w:pPr>
        <w:tabs>
          <w:tab w:val="left" w:pos="5140"/>
          <w:tab w:val="left" w:pos="8520"/>
        </w:tabs>
        <w:autoSpaceDE w:val="0"/>
        <w:autoSpaceDN w:val="0"/>
        <w:adjustRightInd w:val="0"/>
        <w:snapToGrid w:val="0"/>
        <w:spacing w:line="360" w:lineRule="auto"/>
        <w:ind w:firstLine="420" w:firstLineChars="200"/>
        <w:jc w:val="left"/>
        <w:rPr>
          <w:rFonts w:hint="default" w:ascii="宋体" w:hAnsi="宋体" w:eastAsia="宋体"/>
          <w:snapToGrid w:val="0"/>
          <w:kern w:val="0"/>
          <w:szCs w:val="21"/>
          <w:lang w:val="en-US" w:eastAsia="zh-CN"/>
        </w:rPr>
      </w:pPr>
      <w:r>
        <w:rPr>
          <w:rFonts w:ascii="宋体" w:hAnsi="宋体"/>
          <w:snapToGrid w:val="0"/>
          <w:kern w:val="0"/>
          <w:szCs w:val="21"/>
        </w:rPr>
        <w:t>招标代理机构：</w:t>
      </w:r>
      <w:r>
        <w:rPr>
          <w:rFonts w:ascii="宋体" w:hAnsi="宋体"/>
          <w:snapToGrid w:val="0"/>
          <w:kern w:val="0"/>
          <w:szCs w:val="21"/>
          <w:u w:val="single"/>
        </w:rPr>
        <w:t xml:space="preserve"> 重庆立荣工程项目管理有限公司</w:t>
      </w:r>
      <w:r>
        <w:rPr>
          <w:rFonts w:hint="eastAsia" w:ascii="宋体" w:hAnsi="宋体"/>
          <w:snapToGrid w:val="0"/>
          <w:kern w:val="0"/>
          <w:szCs w:val="21"/>
          <w:u w:val="single"/>
          <w:lang w:val="en-US" w:eastAsia="zh-CN"/>
        </w:rPr>
        <w:t xml:space="preserve">               </w:t>
      </w:r>
    </w:p>
    <w:p w14:paraId="27AA9091">
      <w:pPr>
        <w:tabs>
          <w:tab w:val="left" w:pos="5140"/>
          <w:tab w:val="left" w:pos="8520"/>
        </w:tabs>
        <w:autoSpaceDE w:val="0"/>
        <w:autoSpaceDN w:val="0"/>
        <w:adjustRightInd w:val="0"/>
        <w:snapToGrid w:val="0"/>
        <w:spacing w:line="360" w:lineRule="auto"/>
        <w:ind w:firstLine="420" w:firstLineChars="200"/>
        <w:jc w:val="left"/>
        <w:rPr>
          <w:rFonts w:hint="default" w:ascii="宋体" w:hAnsi="宋体" w:eastAsia="宋体"/>
          <w:snapToGrid w:val="0"/>
          <w:kern w:val="0"/>
          <w:szCs w:val="21"/>
          <w:lang w:val="en-US" w:eastAsia="zh-CN"/>
        </w:rPr>
      </w:pPr>
      <w:r>
        <w:rPr>
          <w:rFonts w:ascii="宋体" w:hAnsi="宋体"/>
          <w:snapToGrid w:val="0"/>
          <w:kern w:val="0"/>
          <w:szCs w:val="21"/>
        </w:rPr>
        <w:t>地    址：</w:t>
      </w:r>
      <w:r>
        <w:rPr>
          <w:rFonts w:ascii="宋体" w:hAnsi="宋体"/>
          <w:snapToGrid w:val="0"/>
          <w:kern w:val="0"/>
          <w:position w:val="-3"/>
          <w:szCs w:val="21"/>
          <w:u w:val="single"/>
        </w:rPr>
        <w:t xml:space="preserve"> 重庆市大足区棠香街道五星大道南段229号4幢8-35号</w:t>
      </w:r>
      <w:r>
        <w:rPr>
          <w:rFonts w:hint="eastAsia" w:ascii="宋体" w:hAnsi="宋体"/>
          <w:snapToGrid w:val="0"/>
          <w:kern w:val="0"/>
          <w:position w:val="-3"/>
          <w:szCs w:val="21"/>
          <w:u w:val="single"/>
          <w:lang w:val="en-US" w:eastAsia="zh-CN"/>
        </w:rPr>
        <w:t xml:space="preserve"> </w:t>
      </w:r>
    </w:p>
    <w:p w14:paraId="36B8BBB9">
      <w:pPr>
        <w:tabs>
          <w:tab w:val="left" w:pos="5140"/>
          <w:tab w:val="left" w:pos="8520"/>
        </w:tabs>
        <w:autoSpaceDE w:val="0"/>
        <w:autoSpaceDN w:val="0"/>
        <w:adjustRightInd w:val="0"/>
        <w:snapToGrid w:val="0"/>
        <w:spacing w:line="360" w:lineRule="auto"/>
        <w:ind w:firstLine="420" w:firstLineChars="200"/>
        <w:jc w:val="left"/>
        <w:rPr>
          <w:rFonts w:hint="default" w:ascii="宋体" w:hAnsi="宋体" w:eastAsia="宋体"/>
          <w:snapToGrid w:val="0"/>
          <w:kern w:val="0"/>
          <w:szCs w:val="21"/>
          <w:lang w:val="en-US" w:eastAsia="zh-CN"/>
        </w:rPr>
      </w:pPr>
      <w:r>
        <w:rPr>
          <w:rFonts w:hint="eastAsia" w:ascii="宋体" w:hAnsi="宋体"/>
          <w:snapToGrid w:val="0"/>
          <w:kern w:val="0"/>
          <w:szCs w:val="21"/>
          <w:lang w:val="en-US" w:eastAsia="zh-CN"/>
        </w:rPr>
        <w:t>项目负责人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于老师</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 xml:space="preserve">             </w:t>
      </w:r>
    </w:p>
    <w:p w14:paraId="43F872D9">
      <w:pPr>
        <w:tabs>
          <w:tab w:val="left" w:pos="5140"/>
          <w:tab w:val="left" w:pos="8520"/>
        </w:tabs>
        <w:autoSpaceDE w:val="0"/>
        <w:autoSpaceDN w:val="0"/>
        <w:adjustRightInd w:val="0"/>
        <w:snapToGrid w:val="0"/>
        <w:spacing w:line="360" w:lineRule="auto"/>
        <w:ind w:firstLine="420" w:firstLineChars="200"/>
        <w:jc w:val="left"/>
        <w:rPr>
          <w:rFonts w:hint="default" w:ascii="宋体" w:hAnsi="宋体" w:eastAsia="宋体"/>
          <w:snapToGrid w:val="0"/>
          <w:kern w:val="0"/>
          <w:szCs w:val="21"/>
          <w:lang w:val="en-US" w:eastAsia="zh-CN"/>
        </w:rPr>
      </w:pPr>
      <w:r>
        <w:rPr>
          <w:rFonts w:ascii="宋体" w:hAnsi="宋体"/>
          <w:snapToGrid w:val="0"/>
          <w:kern w:val="0"/>
          <w:szCs w:val="21"/>
        </w:rPr>
        <w:t>电    话：</w:t>
      </w:r>
      <w:r>
        <w:rPr>
          <w:rFonts w:ascii="宋体" w:hAnsi="宋体"/>
          <w:snapToGrid w:val="0"/>
          <w:kern w:val="0"/>
          <w:szCs w:val="21"/>
          <w:u w:val="single"/>
        </w:rPr>
        <w:t xml:space="preserve"> </w:t>
      </w:r>
      <w:r>
        <w:rPr>
          <w:rFonts w:hint="eastAsia" w:ascii="宋体" w:hAnsi="宋体"/>
          <w:snapToGrid w:val="0"/>
          <w:kern w:val="0"/>
          <w:szCs w:val="21"/>
          <w:u w:val="single"/>
        </w:rPr>
        <w:t>15683729486</w:t>
      </w:r>
      <w:r>
        <w:rPr>
          <w:rFonts w:hint="eastAsia" w:ascii="宋体" w:hAnsi="宋体"/>
          <w:snapToGrid w:val="0"/>
          <w:kern w:val="0"/>
          <w:szCs w:val="21"/>
          <w:u w:val="single"/>
          <w:lang w:val="en-US" w:eastAsia="zh-CN"/>
        </w:rPr>
        <w:t xml:space="preserve">                                    </w:t>
      </w:r>
    </w:p>
    <w:p w14:paraId="5888B8A4">
      <w:pPr>
        <w:tabs>
          <w:tab w:val="left" w:pos="5140"/>
          <w:tab w:val="left" w:pos="8520"/>
        </w:tabs>
        <w:autoSpaceDE w:val="0"/>
        <w:autoSpaceDN w:val="0"/>
        <w:adjustRightInd w:val="0"/>
        <w:snapToGrid w:val="0"/>
        <w:spacing w:line="360" w:lineRule="auto"/>
        <w:ind w:firstLine="420" w:firstLineChars="200"/>
        <w:jc w:val="left"/>
        <w:rPr>
          <w:rFonts w:hint="eastAsia" w:ascii="宋体" w:hAnsi="宋体"/>
          <w:snapToGrid w:val="0"/>
          <w:kern w:val="0"/>
          <w:szCs w:val="21"/>
          <w:lang w:val="en-US" w:eastAsia="zh-CN"/>
        </w:rPr>
      </w:pPr>
    </w:p>
    <w:p w14:paraId="4373EE4D">
      <w:pPr>
        <w:tabs>
          <w:tab w:val="left" w:pos="5140"/>
          <w:tab w:val="left" w:pos="8520"/>
        </w:tabs>
        <w:autoSpaceDE w:val="0"/>
        <w:autoSpaceDN w:val="0"/>
        <w:adjustRightInd w:val="0"/>
        <w:snapToGrid w:val="0"/>
        <w:spacing w:line="360" w:lineRule="auto"/>
        <w:ind w:firstLine="420" w:firstLineChars="200"/>
        <w:jc w:val="left"/>
        <w:rPr>
          <w:rFonts w:hint="default" w:ascii="宋体" w:hAnsi="宋体" w:eastAsia="宋体"/>
          <w:snapToGrid w:val="0"/>
          <w:kern w:val="0"/>
          <w:szCs w:val="21"/>
          <w:lang w:val="en-US" w:eastAsia="zh-CN"/>
        </w:rPr>
      </w:pPr>
      <w:r>
        <w:rPr>
          <w:rFonts w:hint="eastAsia" w:ascii="宋体" w:hAnsi="宋体"/>
          <w:snapToGrid w:val="0"/>
          <w:kern w:val="0"/>
          <w:szCs w:val="21"/>
          <w:lang w:val="en-US" w:eastAsia="zh-CN"/>
        </w:rPr>
        <w:t>监督部门</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重庆市大足区发展和改革委员会</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 xml:space="preserve">                  </w:t>
      </w:r>
    </w:p>
    <w:p w14:paraId="0C068C71">
      <w:pPr>
        <w:tabs>
          <w:tab w:val="left" w:pos="5140"/>
          <w:tab w:val="left" w:pos="8420"/>
        </w:tabs>
        <w:autoSpaceDE w:val="0"/>
        <w:autoSpaceDN w:val="0"/>
        <w:adjustRightInd w:val="0"/>
        <w:snapToGrid w:val="0"/>
        <w:spacing w:line="360" w:lineRule="auto"/>
        <w:ind w:firstLine="420" w:firstLineChars="200"/>
        <w:jc w:val="left"/>
        <w:rPr>
          <w:rFonts w:hint="default" w:ascii="宋体" w:hAnsi="宋体" w:eastAsia="宋体"/>
          <w:snapToGrid w:val="0"/>
          <w:kern w:val="0"/>
          <w:szCs w:val="21"/>
          <w:u w:val="single"/>
          <w:lang w:val="en-US" w:eastAsia="zh-CN"/>
        </w:rPr>
      </w:pPr>
      <w:r>
        <w:rPr>
          <w:rFonts w:hint="eastAsia" w:ascii="宋体" w:hAnsi="宋体"/>
          <w:snapToGrid w:val="0"/>
          <w:kern w:val="0"/>
          <w:szCs w:val="21"/>
          <w:lang w:val="en-US" w:eastAsia="zh-CN"/>
        </w:rPr>
        <w:t>电</w:t>
      </w:r>
      <w:r>
        <w:rPr>
          <w:rFonts w:ascii="宋体" w:hAnsi="宋体"/>
          <w:snapToGrid w:val="0"/>
          <w:kern w:val="0"/>
          <w:szCs w:val="21"/>
        </w:rPr>
        <w:t xml:space="preserve">    </w:t>
      </w:r>
      <w:r>
        <w:rPr>
          <w:rFonts w:hint="eastAsia" w:ascii="宋体" w:hAnsi="宋体"/>
          <w:snapToGrid w:val="0"/>
          <w:kern w:val="0"/>
          <w:szCs w:val="21"/>
          <w:lang w:val="en-US" w:eastAsia="zh-CN"/>
        </w:rPr>
        <w:t>话</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023-43769005</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 xml:space="preserve">                                  </w:t>
      </w:r>
    </w:p>
    <w:p w14:paraId="75B2A49E">
      <w:pPr>
        <w:autoSpaceDE w:val="0"/>
        <w:autoSpaceDN w:val="0"/>
        <w:adjustRightInd w:val="0"/>
        <w:snapToGrid w:val="0"/>
        <w:spacing w:line="360" w:lineRule="auto"/>
        <w:ind w:firstLine="3906" w:firstLineChars="1860"/>
        <w:jc w:val="right"/>
        <w:rPr>
          <w:rFonts w:ascii="宋体" w:hAnsi="宋体"/>
          <w:snapToGrid w:val="0"/>
          <w:kern w:val="0"/>
          <w:szCs w:val="21"/>
          <w:u w:val="single"/>
        </w:rPr>
      </w:pPr>
    </w:p>
    <w:p w14:paraId="62655C90">
      <w:pPr>
        <w:autoSpaceDE w:val="0"/>
        <w:autoSpaceDN w:val="0"/>
        <w:adjustRightInd w:val="0"/>
        <w:snapToGrid w:val="0"/>
        <w:spacing w:line="360" w:lineRule="auto"/>
        <w:ind w:firstLine="3906" w:firstLineChars="1860"/>
        <w:jc w:val="right"/>
        <w:rPr>
          <w:rFonts w:ascii="宋体" w:hAnsi="宋体"/>
          <w:snapToGrid w:val="0"/>
          <w:kern w:val="0"/>
          <w:szCs w:val="21"/>
        </w:rPr>
      </w:pP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2026</w:t>
      </w:r>
      <w:r>
        <w:rPr>
          <w:rFonts w:ascii="宋体" w:hAnsi="宋体"/>
          <w:snapToGrid w:val="0"/>
          <w:kern w:val="0"/>
          <w:szCs w:val="21"/>
          <w:u w:val="single"/>
        </w:rPr>
        <w:t xml:space="preserve"> </w:t>
      </w:r>
      <w:r>
        <w:rPr>
          <w:rFonts w:ascii="宋体" w:hAnsi="宋体"/>
          <w:snapToGrid w:val="0"/>
          <w:kern w:val="0"/>
          <w:szCs w:val="21"/>
        </w:rPr>
        <w:t>年</w:t>
      </w:r>
      <w:r>
        <w:rPr>
          <w:rFonts w:ascii="宋体" w:hAnsi="宋体"/>
          <w:snapToGrid w:val="0"/>
          <w:kern w:val="0"/>
          <w:szCs w:val="21"/>
          <w:u w:val="single"/>
        </w:rPr>
        <w:t xml:space="preserve">      </w:t>
      </w:r>
      <w:r>
        <w:rPr>
          <w:rFonts w:ascii="宋体" w:hAnsi="宋体"/>
          <w:snapToGrid w:val="0"/>
          <w:kern w:val="0"/>
          <w:szCs w:val="21"/>
        </w:rPr>
        <w:t>月</w:t>
      </w:r>
      <w:r>
        <w:rPr>
          <w:rFonts w:ascii="宋体" w:hAnsi="宋体"/>
          <w:snapToGrid w:val="0"/>
          <w:kern w:val="0"/>
          <w:szCs w:val="21"/>
          <w:u w:val="single"/>
        </w:rPr>
        <w:t xml:space="preserve">      </w:t>
      </w:r>
      <w:r>
        <w:rPr>
          <w:rFonts w:ascii="宋体" w:hAnsi="宋体"/>
          <w:snapToGrid w:val="0"/>
          <w:kern w:val="0"/>
          <w:szCs w:val="21"/>
        </w:rPr>
        <w:t>日</w:t>
      </w:r>
    </w:p>
    <w:p w14:paraId="5A52D94D">
      <w:pPr>
        <w:pStyle w:val="3"/>
        <w:spacing w:before="0" w:after="0" w:line="360" w:lineRule="auto"/>
        <w:jc w:val="center"/>
        <w:rPr>
          <w:rFonts w:ascii="宋体" w:hAnsi="宋体"/>
          <w:snapToGrid w:val="0"/>
          <w:kern w:val="0"/>
          <w:szCs w:val="21"/>
        </w:rPr>
      </w:pPr>
      <w:r>
        <w:rPr>
          <w:rFonts w:ascii="宋体" w:hAnsi="宋体"/>
          <w:snapToGrid w:val="0"/>
          <w:kern w:val="0"/>
          <w:szCs w:val="21"/>
        </w:rPr>
        <w:br w:type="page"/>
      </w:r>
      <w:bookmarkStart w:id="83" w:name="_Toc224103306"/>
      <w:bookmarkStart w:id="84" w:name="_Toc287620674"/>
      <w:bookmarkStart w:id="85" w:name="_Toc430530423"/>
      <w:bookmarkStart w:id="86" w:name="_Toc287607735"/>
    </w:p>
    <w:bookmarkEnd w:id="83"/>
    <w:bookmarkEnd w:id="84"/>
    <w:bookmarkEnd w:id="85"/>
    <w:bookmarkEnd w:id="86"/>
    <w:p w14:paraId="4A57BD13">
      <w:pPr>
        <w:pStyle w:val="3"/>
        <w:spacing w:line="360" w:lineRule="auto"/>
        <w:jc w:val="center"/>
        <w:rPr>
          <w:rFonts w:ascii="宋体" w:hAnsi="宋体"/>
          <w:bCs w:val="0"/>
          <w:snapToGrid w:val="0"/>
          <w:kern w:val="0"/>
        </w:rPr>
      </w:pPr>
      <w:bookmarkStart w:id="87" w:name="_Toc430530432"/>
      <w:bookmarkStart w:id="88" w:name="_Toc287620683"/>
      <w:bookmarkStart w:id="89" w:name="_Toc23562"/>
      <w:bookmarkStart w:id="90" w:name="_Toc31153"/>
      <w:bookmarkStart w:id="91" w:name="_Toc287607744"/>
      <w:bookmarkStart w:id="92" w:name="_Toc224103315"/>
      <w:r>
        <w:rPr>
          <w:rFonts w:ascii="宋体" w:hAnsi="宋体"/>
          <w:snapToGrid w:val="0"/>
          <w:kern w:val="0"/>
        </w:rPr>
        <w:t>第二章  投标人须知</w:t>
      </w:r>
      <w:bookmarkEnd w:id="87"/>
      <w:bookmarkEnd w:id="88"/>
      <w:bookmarkEnd w:id="89"/>
      <w:bookmarkEnd w:id="90"/>
      <w:bookmarkEnd w:id="91"/>
      <w:bookmarkEnd w:id="92"/>
      <w:bookmarkStart w:id="93" w:name="_Toc287607745"/>
      <w:bookmarkStart w:id="94" w:name="_Toc224103316"/>
      <w:bookmarkStart w:id="95" w:name="_Toc277082551"/>
      <w:bookmarkStart w:id="96" w:name="_Toc287620684"/>
      <w:bookmarkStart w:id="97" w:name="_Toc430530433"/>
    </w:p>
    <w:p w14:paraId="0CDF52B8">
      <w:pPr>
        <w:pStyle w:val="4"/>
        <w:spacing w:before="100" w:after="100" w:line="360" w:lineRule="auto"/>
        <w:rPr>
          <w:rFonts w:ascii="宋体" w:hAnsi="宋体"/>
        </w:rPr>
      </w:pPr>
      <w:bookmarkStart w:id="98" w:name="_Toc7624"/>
      <w:bookmarkStart w:id="99" w:name="_Toc14054"/>
      <w:bookmarkStart w:id="100" w:name="_Toc509218708"/>
      <w:r>
        <w:rPr>
          <w:rFonts w:hint="eastAsia" w:ascii="宋体" w:hAnsi="宋体"/>
        </w:rPr>
        <w:t>投标人须知前附表</w:t>
      </w:r>
      <w:bookmarkEnd w:id="93"/>
      <w:bookmarkEnd w:id="94"/>
      <w:bookmarkEnd w:id="95"/>
      <w:bookmarkEnd w:id="96"/>
      <w:bookmarkEnd w:id="97"/>
      <w:bookmarkEnd w:id="98"/>
      <w:bookmarkEnd w:id="99"/>
      <w:bookmarkEnd w:id="100"/>
    </w:p>
    <w:p w14:paraId="41C414D1">
      <w:pPr>
        <w:spacing w:line="360" w:lineRule="auto"/>
        <w:ind w:firstLine="420" w:firstLineChars="200"/>
        <w:rPr>
          <w:rFonts w:ascii="宋体" w:hAnsi="宋体"/>
          <w:szCs w:val="21"/>
        </w:rPr>
      </w:pPr>
      <w:r>
        <w:rPr>
          <w:rFonts w:ascii="宋体" w:hAnsi="宋体"/>
          <w:szCs w:val="21"/>
        </w:rPr>
        <w:t>正文内容不允许修改。若投标人须知前附表与正文不一致的地方，以投标人须知前附表为准。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45A7AB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86B00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kern w:val="0"/>
                <w:szCs w:val="21"/>
              </w:rPr>
            </w:pPr>
            <w:r>
              <w:rPr>
                <w:rFonts w:hint="eastAsia" w:ascii="宋体" w:hAnsi="宋体" w:eastAsia="宋体" w:cs="宋体"/>
                <w:b/>
                <w:kern w:val="0"/>
                <w:szCs w:val="21"/>
              </w:rPr>
              <w:t>条 款 号</w:t>
            </w:r>
          </w:p>
        </w:tc>
        <w:tc>
          <w:tcPr>
            <w:tcW w:w="1644" w:type="dxa"/>
            <w:vAlign w:val="center"/>
          </w:tcPr>
          <w:p w14:paraId="3FDD8ED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kern w:val="0"/>
                <w:szCs w:val="21"/>
              </w:rPr>
            </w:pPr>
            <w:r>
              <w:rPr>
                <w:rFonts w:hint="eastAsia" w:ascii="宋体" w:hAnsi="宋体" w:eastAsia="宋体" w:cs="宋体"/>
                <w:b/>
                <w:kern w:val="0"/>
                <w:szCs w:val="21"/>
              </w:rPr>
              <w:t>条款名称</w:t>
            </w:r>
          </w:p>
        </w:tc>
        <w:tc>
          <w:tcPr>
            <w:tcW w:w="6490" w:type="dxa"/>
            <w:vAlign w:val="center"/>
          </w:tcPr>
          <w:p w14:paraId="46A1DB1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kern w:val="0"/>
                <w:szCs w:val="21"/>
              </w:rPr>
            </w:pPr>
            <w:r>
              <w:rPr>
                <w:rFonts w:hint="eastAsia" w:ascii="宋体" w:hAnsi="宋体" w:eastAsia="宋体" w:cs="宋体"/>
                <w:b/>
                <w:kern w:val="0"/>
                <w:szCs w:val="21"/>
              </w:rPr>
              <w:t>编  列  内  容</w:t>
            </w:r>
          </w:p>
        </w:tc>
      </w:tr>
      <w:tr w14:paraId="5B153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432561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1.1.2</w:t>
            </w:r>
          </w:p>
        </w:tc>
        <w:tc>
          <w:tcPr>
            <w:tcW w:w="1644" w:type="dxa"/>
            <w:vAlign w:val="center"/>
          </w:tcPr>
          <w:p w14:paraId="1DE7DE1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招标人</w:t>
            </w:r>
          </w:p>
        </w:tc>
        <w:tc>
          <w:tcPr>
            <w:tcW w:w="6490" w:type="dxa"/>
            <w:vAlign w:val="center"/>
          </w:tcPr>
          <w:p w14:paraId="3FEAAC1B">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kern w:val="0"/>
                <w:szCs w:val="21"/>
              </w:rPr>
            </w:pPr>
            <w:r>
              <w:rPr>
                <w:rFonts w:hint="eastAsia" w:ascii="宋体" w:hAnsi="宋体" w:eastAsia="宋体" w:cs="宋体"/>
                <w:kern w:val="0"/>
                <w:szCs w:val="21"/>
              </w:rPr>
              <w:t>名称：</w:t>
            </w:r>
            <w:r>
              <w:rPr>
                <w:rFonts w:hint="eastAsia" w:ascii="宋体" w:hAnsi="宋体" w:eastAsia="宋体" w:cs="宋体"/>
                <w:color w:val="auto"/>
                <w:szCs w:val="21"/>
                <w:highlight w:val="none"/>
                <w:u w:val="single"/>
                <w:lang w:val="en-US" w:eastAsia="zh-CN"/>
              </w:rPr>
              <w:t xml:space="preserve"> </w:t>
            </w:r>
            <w:r>
              <w:rPr>
                <w:rFonts w:hint="eastAsia" w:ascii="宋体" w:hAnsi="宋体"/>
                <w:snapToGrid w:val="0"/>
                <w:kern w:val="0"/>
                <w:szCs w:val="21"/>
                <w:u w:val="single"/>
                <w:lang w:val="en-US" w:eastAsia="zh-CN"/>
              </w:rPr>
              <w:t>大足石刻研究院</w:t>
            </w:r>
            <w:r>
              <w:rPr>
                <w:rFonts w:hint="eastAsia" w:ascii="宋体" w:hAnsi="宋体" w:eastAsia="宋体" w:cs="宋体"/>
                <w:color w:val="auto"/>
                <w:szCs w:val="21"/>
                <w:highlight w:val="none"/>
                <w:u w:val="single"/>
                <w:lang w:val="en-US" w:eastAsia="zh-CN"/>
              </w:rPr>
              <w:t xml:space="preserve"> </w:t>
            </w:r>
          </w:p>
          <w:p w14:paraId="2DAB84F5">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kern w:val="0"/>
                <w:szCs w:val="21"/>
              </w:rPr>
            </w:pPr>
            <w:r>
              <w:rPr>
                <w:rFonts w:hint="eastAsia" w:ascii="宋体" w:hAnsi="宋体" w:eastAsia="宋体" w:cs="宋体"/>
                <w:kern w:val="0"/>
                <w:szCs w:val="21"/>
              </w:rPr>
              <w:t>地址：</w:t>
            </w:r>
            <w:r>
              <w:rPr>
                <w:rFonts w:hint="eastAsia" w:ascii="宋体" w:hAnsi="宋体" w:eastAsia="宋体" w:cs="宋体"/>
                <w:color w:val="auto"/>
                <w:szCs w:val="21"/>
                <w:highlight w:val="none"/>
                <w:u w:val="single"/>
                <w:lang w:val="en-US" w:eastAsia="zh-CN"/>
              </w:rPr>
              <w:t xml:space="preserve"> 重庆市大足区北山路7号 </w:t>
            </w:r>
          </w:p>
          <w:p w14:paraId="646B32C1">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kern w:val="0"/>
                <w:szCs w:val="21"/>
              </w:rPr>
            </w:pPr>
            <w:r>
              <w:rPr>
                <w:rFonts w:hint="eastAsia" w:ascii="宋体" w:hAnsi="宋体" w:eastAsia="宋体" w:cs="宋体"/>
                <w:snapToGrid w:val="0"/>
                <w:kern w:val="0"/>
                <w:szCs w:val="21"/>
                <w:lang w:val="en-US" w:eastAsia="zh-CN"/>
              </w:rPr>
              <w:t>项目负责人</w:t>
            </w:r>
            <w:r>
              <w:rPr>
                <w:rFonts w:hint="eastAsia" w:ascii="宋体" w:hAnsi="宋体" w:eastAsia="宋体" w:cs="宋体"/>
                <w:kern w:val="0"/>
                <w:szCs w:val="21"/>
              </w:rPr>
              <w:t>：</w:t>
            </w:r>
            <w:r>
              <w:rPr>
                <w:rFonts w:hint="eastAsia" w:ascii="宋体" w:hAnsi="宋体" w:eastAsia="宋体" w:cs="宋体"/>
                <w:color w:val="auto"/>
                <w:szCs w:val="21"/>
                <w:highlight w:val="none"/>
                <w:u w:val="single"/>
                <w:lang w:val="en-US" w:eastAsia="zh-CN"/>
              </w:rPr>
              <w:t xml:space="preserve"> 韩老师 </w:t>
            </w:r>
          </w:p>
          <w:p w14:paraId="31094B24">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kern w:val="0"/>
                <w:szCs w:val="21"/>
              </w:rPr>
            </w:pPr>
            <w:r>
              <w:rPr>
                <w:rFonts w:hint="eastAsia" w:ascii="宋体" w:hAnsi="宋体" w:eastAsia="宋体" w:cs="宋体"/>
                <w:kern w:val="0"/>
                <w:szCs w:val="21"/>
              </w:rPr>
              <w:t>电话：</w:t>
            </w:r>
            <w:r>
              <w:rPr>
                <w:rFonts w:hint="eastAsia" w:ascii="宋体" w:hAnsi="宋体" w:eastAsia="宋体" w:cs="宋体"/>
                <w:color w:val="auto"/>
                <w:szCs w:val="21"/>
                <w:highlight w:val="none"/>
                <w:u w:val="single"/>
                <w:lang w:val="en-US" w:eastAsia="zh-CN"/>
              </w:rPr>
              <w:t xml:space="preserve"> 18996394389 </w:t>
            </w:r>
          </w:p>
        </w:tc>
      </w:tr>
      <w:tr w14:paraId="177D8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9DF6B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1.1.3</w:t>
            </w:r>
          </w:p>
        </w:tc>
        <w:tc>
          <w:tcPr>
            <w:tcW w:w="1644" w:type="dxa"/>
            <w:vAlign w:val="center"/>
          </w:tcPr>
          <w:p w14:paraId="44AB460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招标代理机构</w:t>
            </w:r>
          </w:p>
        </w:tc>
        <w:tc>
          <w:tcPr>
            <w:tcW w:w="6490" w:type="dxa"/>
            <w:vAlign w:val="center"/>
          </w:tcPr>
          <w:p w14:paraId="6E134D2C">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kern w:val="0"/>
                <w:szCs w:val="21"/>
              </w:rPr>
            </w:pPr>
            <w:r>
              <w:rPr>
                <w:rFonts w:hint="eastAsia" w:ascii="宋体" w:hAnsi="宋体" w:eastAsia="宋体" w:cs="宋体"/>
                <w:kern w:val="0"/>
                <w:szCs w:val="21"/>
              </w:rPr>
              <w:t>名称：</w:t>
            </w:r>
            <w:r>
              <w:rPr>
                <w:rFonts w:hint="eastAsia" w:ascii="宋体" w:hAnsi="宋体" w:eastAsia="宋体" w:cs="宋体"/>
                <w:color w:val="auto"/>
                <w:szCs w:val="21"/>
                <w:highlight w:val="none"/>
                <w:u w:val="single"/>
                <w:lang w:val="en-US" w:eastAsia="zh-CN"/>
              </w:rPr>
              <w:t xml:space="preserve"> </w:t>
            </w:r>
            <w:r>
              <w:rPr>
                <w:rFonts w:ascii="宋体" w:hAnsi="宋体"/>
                <w:snapToGrid w:val="0"/>
                <w:kern w:val="0"/>
                <w:szCs w:val="21"/>
                <w:u w:val="single"/>
              </w:rPr>
              <w:t>重庆立荣工程项目管理有限公司</w:t>
            </w:r>
            <w:r>
              <w:rPr>
                <w:rFonts w:hint="eastAsia" w:ascii="宋体" w:hAnsi="宋体" w:eastAsia="宋体" w:cs="宋体"/>
                <w:color w:val="auto"/>
                <w:szCs w:val="21"/>
                <w:highlight w:val="none"/>
                <w:u w:val="single"/>
                <w:lang w:val="en-US" w:eastAsia="zh-CN"/>
              </w:rPr>
              <w:t xml:space="preserve"> </w:t>
            </w:r>
          </w:p>
          <w:p w14:paraId="55420736">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kern w:val="0"/>
                <w:szCs w:val="21"/>
              </w:rPr>
            </w:pPr>
            <w:r>
              <w:rPr>
                <w:rFonts w:hint="eastAsia" w:ascii="宋体" w:hAnsi="宋体" w:eastAsia="宋体" w:cs="宋体"/>
                <w:kern w:val="0"/>
                <w:szCs w:val="21"/>
              </w:rPr>
              <w:t>地址：</w:t>
            </w:r>
            <w:r>
              <w:rPr>
                <w:rFonts w:hint="eastAsia" w:ascii="宋体" w:hAnsi="宋体" w:eastAsia="宋体" w:cs="宋体"/>
                <w:color w:val="auto"/>
                <w:szCs w:val="21"/>
                <w:highlight w:val="none"/>
                <w:u w:val="single"/>
                <w:lang w:val="en-US" w:eastAsia="zh-CN"/>
              </w:rPr>
              <w:t xml:space="preserve"> 重庆市大足区棠香街道五星大道南段229号4幢8-35号 </w:t>
            </w:r>
          </w:p>
          <w:p w14:paraId="4EC84385">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kern w:val="0"/>
                <w:szCs w:val="21"/>
              </w:rPr>
            </w:pPr>
            <w:r>
              <w:rPr>
                <w:rFonts w:hint="eastAsia" w:ascii="宋体" w:hAnsi="宋体" w:eastAsia="宋体" w:cs="宋体"/>
                <w:snapToGrid w:val="0"/>
                <w:kern w:val="0"/>
                <w:szCs w:val="21"/>
                <w:lang w:val="en-US" w:eastAsia="zh-CN"/>
              </w:rPr>
              <w:t>项目负责人</w:t>
            </w:r>
            <w:r>
              <w:rPr>
                <w:rFonts w:hint="eastAsia" w:ascii="宋体" w:hAnsi="宋体" w:eastAsia="宋体" w:cs="宋体"/>
                <w:kern w:val="0"/>
                <w:szCs w:val="21"/>
              </w:rPr>
              <w:t>：</w:t>
            </w:r>
            <w:r>
              <w:rPr>
                <w:rFonts w:hint="eastAsia" w:ascii="宋体" w:hAnsi="宋体" w:eastAsia="宋体" w:cs="宋体"/>
                <w:color w:val="auto"/>
                <w:szCs w:val="21"/>
                <w:highlight w:val="none"/>
                <w:u w:val="single"/>
                <w:lang w:val="en-US" w:eastAsia="zh-CN"/>
              </w:rPr>
              <w:t xml:space="preserve"> </w:t>
            </w:r>
            <w:r>
              <w:rPr>
                <w:rFonts w:hint="eastAsia" w:ascii="宋体" w:hAnsi="宋体"/>
                <w:snapToGrid w:val="0"/>
                <w:kern w:val="0"/>
                <w:szCs w:val="21"/>
                <w:u w:val="single"/>
                <w:lang w:val="en-US" w:eastAsia="zh-CN"/>
              </w:rPr>
              <w:t>于老师</w:t>
            </w:r>
            <w:r>
              <w:rPr>
                <w:rFonts w:hint="eastAsia" w:ascii="宋体" w:hAnsi="宋体" w:eastAsia="宋体" w:cs="宋体"/>
                <w:color w:val="auto"/>
                <w:szCs w:val="21"/>
                <w:highlight w:val="none"/>
                <w:u w:val="single"/>
                <w:lang w:val="en-US" w:eastAsia="zh-CN"/>
              </w:rPr>
              <w:t xml:space="preserve"> </w:t>
            </w:r>
          </w:p>
          <w:p w14:paraId="1F77CC2B">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kern w:val="0"/>
                <w:szCs w:val="21"/>
              </w:rPr>
            </w:pPr>
            <w:r>
              <w:rPr>
                <w:rFonts w:hint="eastAsia" w:ascii="宋体" w:hAnsi="宋体" w:eastAsia="宋体" w:cs="宋体"/>
                <w:kern w:val="0"/>
                <w:szCs w:val="21"/>
              </w:rPr>
              <w:t>电话：</w:t>
            </w:r>
            <w:r>
              <w:rPr>
                <w:rFonts w:hint="eastAsia" w:ascii="宋体" w:hAnsi="宋体" w:eastAsia="宋体" w:cs="宋体"/>
                <w:color w:val="auto"/>
                <w:szCs w:val="21"/>
                <w:highlight w:val="none"/>
                <w:u w:val="single"/>
                <w:lang w:val="en-US" w:eastAsia="zh-CN"/>
              </w:rPr>
              <w:t xml:space="preserve"> </w:t>
            </w:r>
            <w:r>
              <w:rPr>
                <w:rFonts w:hint="eastAsia" w:ascii="宋体" w:hAnsi="宋体"/>
                <w:snapToGrid w:val="0"/>
                <w:kern w:val="0"/>
                <w:szCs w:val="21"/>
                <w:u w:val="single"/>
              </w:rPr>
              <w:t>15683729486</w:t>
            </w:r>
            <w:r>
              <w:rPr>
                <w:rFonts w:hint="eastAsia" w:ascii="宋体" w:hAnsi="宋体" w:eastAsia="宋体" w:cs="宋体"/>
                <w:color w:val="auto"/>
                <w:szCs w:val="21"/>
                <w:highlight w:val="none"/>
                <w:u w:val="single"/>
                <w:lang w:val="en-US" w:eastAsia="zh-CN"/>
              </w:rPr>
              <w:t xml:space="preserve"> </w:t>
            </w:r>
          </w:p>
        </w:tc>
      </w:tr>
      <w:tr w14:paraId="2E263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88E93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1.1.4</w:t>
            </w:r>
          </w:p>
        </w:tc>
        <w:tc>
          <w:tcPr>
            <w:tcW w:w="1644" w:type="dxa"/>
            <w:vAlign w:val="center"/>
          </w:tcPr>
          <w:p w14:paraId="3685310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项目名称</w:t>
            </w:r>
          </w:p>
        </w:tc>
        <w:tc>
          <w:tcPr>
            <w:tcW w:w="6490" w:type="dxa"/>
            <w:vAlign w:val="center"/>
          </w:tcPr>
          <w:p w14:paraId="6FC38910">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北山摩崖造像之妙高山摩崖造像妙高寺正殿保护修缮工程</w:t>
            </w:r>
            <w:r>
              <w:rPr>
                <w:rFonts w:hint="eastAsia" w:ascii="宋体" w:hAnsi="宋体" w:eastAsia="宋体" w:cs="宋体"/>
                <w:color w:val="auto"/>
                <w:szCs w:val="21"/>
                <w:highlight w:val="none"/>
                <w:u w:val="single"/>
                <w:lang w:val="en-US" w:eastAsia="zh-CN"/>
              </w:rPr>
              <w:t xml:space="preserve"> </w:t>
            </w:r>
          </w:p>
        </w:tc>
      </w:tr>
      <w:tr w14:paraId="4013F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CEEDE7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1.1.5</w:t>
            </w:r>
          </w:p>
        </w:tc>
        <w:tc>
          <w:tcPr>
            <w:tcW w:w="1644" w:type="dxa"/>
            <w:vAlign w:val="center"/>
          </w:tcPr>
          <w:p w14:paraId="0DDEE30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建设地点</w:t>
            </w:r>
          </w:p>
        </w:tc>
        <w:tc>
          <w:tcPr>
            <w:tcW w:w="6490" w:type="dxa"/>
            <w:vAlign w:val="center"/>
          </w:tcPr>
          <w:p w14:paraId="1761B62A">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color w:val="auto"/>
                <w:szCs w:val="21"/>
                <w:highlight w:val="none"/>
                <w:u w:val="single"/>
                <w:lang w:val="en-US" w:eastAsia="zh-CN"/>
              </w:rPr>
              <w:t xml:space="preserve"> 大足区</w:t>
            </w:r>
            <w:r>
              <w:rPr>
                <w:rFonts w:hint="eastAsia" w:ascii="宋体" w:hAnsi="宋体" w:cs="宋体"/>
                <w:color w:val="auto"/>
                <w:szCs w:val="21"/>
                <w:highlight w:val="none"/>
                <w:u w:val="single"/>
                <w:lang w:val="en-US" w:eastAsia="zh-CN"/>
              </w:rPr>
              <w:t>季家</w:t>
            </w:r>
            <w:r>
              <w:rPr>
                <w:rFonts w:hint="eastAsia" w:ascii="宋体" w:hAnsi="宋体" w:eastAsia="宋体" w:cs="宋体"/>
                <w:color w:val="auto"/>
                <w:szCs w:val="21"/>
                <w:highlight w:val="none"/>
                <w:u w:val="single"/>
                <w:lang w:val="en-US" w:eastAsia="zh-CN"/>
              </w:rPr>
              <w:t xml:space="preserve">镇 </w:t>
            </w:r>
          </w:p>
        </w:tc>
      </w:tr>
      <w:tr w14:paraId="616E6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562D05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1.1.6</w:t>
            </w:r>
          </w:p>
        </w:tc>
        <w:tc>
          <w:tcPr>
            <w:tcW w:w="1644" w:type="dxa"/>
            <w:vAlign w:val="center"/>
          </w:tcPr>
          <w:p w14:paraId="3C5C521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建设规模</w:t>
            </w:r>
          </w:p>
        </w:tc>
        <w:tc>
          <w:tcPr>
            <w:tcW w:w="6490" w:type="dxa"/>
            <w:vAlign w:val="center"/>
          </w:tcPr>
          <w:p w14:paraId="344BA3C0">
            <w:pPr>
              <w:keepNext w:val="0"/>
              <w:keepLines w:val="0"/>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i/>
                <w:snapToGrid w:val="0"/>
                <w:kern w:val="0"/>
                <w:szCs w:val="21"/>
                <w:lang w:eastAsia="zh-CN"/>
              </w:rPr>
            </w:pPr>
            <w:r>
              <w:rPr>
                <w:rFonts w:hint="eastAsia" w:ascii="宋体" w:hAnsi="宋体" w:eastAsia="宋体" w:cs="宋体"/>
                <w:snapToGrid w:val="0"/>
                <w:kern w:val="0"/>
                <w:szCs w:val="21"/>
                <w:u w:val="single"/>
              </w:rPr>
              <w:t xml:space="preserve"> </w:t>
            </w:r>
            <w:r>
              <w:rPr>
                <w:rFonts w:hint="eastAsia" w:ascii="宋体" w:hAnsi="宋体" w:eastAsia="宋体" w:cs="宋体"/>
                <w:snapToGrid w:val="0"/>
                <w:kern w:val="0"/>
                <w:szCs w:val="21"/>
                <w:u w:val="single"/>
                <w:lang w:val="en-US" w:eastAsia="zh-CN"/>
              </w:rPr>
              <w:t>妙高寺正殿文物建筑本体保护修缮面积441.2平方米，包括台基、墙体、木架构、屋顶、木装修及相关附属石质文物等保护修缮，具体以招标人提供的图纸、工程量清单、答疑资料、澄清资料、其它补遗资料等相关内容为准</w:t>
            </w:r>
            <w:r>
              <w:rPr>
                <w:rFonts w:hint="eastAsia" w:ascii="宋体" w:hAnsi="宋体" w:eastAsia="宋体" w:cs="宋体"/>
                <w:snapToGrid w:val="0"/>
                <w:kern w:val="0"/>
                <w:szCs w:val="21"/>
                <w:u w:val="single"/>
              </w:rPr>
              <w:t xml:space="preserve"> </w:t>
            </w:r>
            <w:r>
              <w:rPr>
                <w:rFonts w:hint="eastAsia" w:ascii="宋体" w:hAnsi="宋体" w:eastAsia="宋体" w:cs="宋体"/>
                <w:snapToGrid w:val="0"/>
                <w:kern w:val="0"/>
                <w:szCs w:val="21"/>
                <w:u w:val="none"/>
                <w:lang w:eastAsia="zh-CN"/>
              </w:rPr>
              <w:t>。</w:t>
            </w:r>
          </w:p>
        </w:tc>
      </w:tr>
      <w:tr w14:paraId="47B76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2D62A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1.2.1</w:t>
            </w:r>
          </w:p>
        </w:tc>
        <w:tc>
          <w:tcPr>
            <w:tcW w:w="1644" w:type="dxa"/>
            <w:vAlign w:val="center"/>
          </w:tcPr>
          <w:p w14:paraId="5DA6C70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资金来源</w:t>
            </w:r>
          </w:p>
        </w:tc>
        <w:tc>
          <w:tcPr>
            <w:tcW w:w="6490" w:type="dxa"/>
            <w:vAlign w:val="center"/>
          </w:tcPr>
          <w:p w14:paraId="1E96E754">
            <w:pPr>
              <w:keepNext w:val="0"/>
              <w:keepLines w:val="0"/>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u w:val="single"/>
              </w:rPr>
              <w:t xml:space="preserve"> </w:t>
            </w:r>
            <w:r>
              <w:rPr>
                <w:rFonts w:hint="eastAsia" w:ascii="宋体" w:hAnsi="宋体"/>
                <w:snapToGrid w:val="0"/>
                <w:kern w:val="0"/>
                <w:szCs w:val="21"/>
                <w:u w:val="single"/>
                <w:lang w:val="en-US" w:eastAsia="zh-CN"/>
              </w:rPr>
              <w:t>国家文物保护专项资金</w:t>
            </w:r>
            <w:r>
              <w:rPr>
                <w:rFonts w:hint="eastAsia" w:ascii="宋体" w:hAnsi="宋体" w:eastAsia="宋体" w:cs="宋体"/>
                <w:snapToGrid w:val="0"/>
                <w:kern w:val="0"/>
                <w:szCs w:val="21"/>
                <w:u w:val="single"/>
              </w:rPr>
              <w:t xml:space="preserve"> </w:t>
            </w:r>
          </w:p>
        </w:tc>
      </w:tr>
      <w:tr w14:paraId="7E6828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072C17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1.2.2</w:t>
            </w:r>
          </w:p>
        </w:tc>
        <w:tc>
          <w:tcPr>
            <w:tcW w:w="1644" w:type="dxa"/>
            <w:vAlign w:val="center"/>
          </w:tcPr>
          <w:p w14:paraId="5431712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出资比例</w:t>
            </w:r>
          </w:p>
        </w:tc>
        <w:tc>
          <w:tcPr>
            <w:tcW w:w="6490" w:type="dxa"/>
            <w:vAlign w:val="center"/>
          </w:tcPr>
          <w:p w14:paraId="27C6693E">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szCs w:val="21"/>
                <w:u w:val="single"/>
              </w:rPr>
            </w:pPr>
            <w:r>
              <w:rPr>
                <w:rFonts w:hint="eastAsia" w:ascii="宋体" w:hAnsi="宋体" w:eastAsia="宋体" w:cs="宋体"/>
                <w:szCs w:val="21"/>
                <w:u w:val="single"/>
              </w:rPr>
              <w:t>100%</w:t>
            </w:r>
          </w:p>
        </w:tc>
      </w:tr>
      <w:tr w14:paraId="3246CD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60CAD0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1.2.3</w:t>
            </w:r>
          </w:p>
        </w:tc>
        <w:tc>
          <w:tcPr>
            <w:tcW w:w="1644" w:type="dxa"/>
            <w:vAlign w:val="center"/>
          </w:tcPr>
          <w:p w14:paraId="7E26873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资金落实情况</w:t>
            </w:r>
          </w:p>
        </w:tc>
        <w:tc>
          <w:tcPr>
            <w:tcW w:w="6490" w:type="dxa"/>
            <w:vAlign w:val="center"/>
          </w:tcPr>
          <w:p w14:paraId="70BC70CA">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szCs w:val="21"/>
                <w:u w:val="single"/>
              </w:rPr>
            </w:pPr>
            <w:r>
              <w:rPr>
                <w:rFonts w:hint="eastAsia" w:ascii="宋体" w:hAnsi="宋体" w:eastAsia="宋体" w:cs="宋体"/>
                <w:szCs w:val="21"/>
                <w:u w:val="single"/>
              </w:rPr>
              <w:t>已落实</w:t>
            </w:r>
          </w:p>
        </w:tc>
      </w:tr>
      <w:tr w14:paraId="5AFBA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8A861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1.3.1</w:t>
            </w:r>
          </w:p>
        </w:tc>
        <w:tc>
          <w:tcPr>
            <w:tcW w:w="1644" w:type="dxa"/>
            <w:vAlign w:val="center"/>
          </w:tcPr>
          <w:p w14:paraId="4D10D2E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招标范围</w:t>
            </w:r>
          </w:p>
        </w:tc>
        <w:tc>
          <w:tcPr>
            <w:tcW w:w="6490" w:type="dxa"/>
            <w:vAlign w:val="center"/>
          </w:tcPr>
          <w:p w14:paraId="2C1BD24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i/>
                <w:szCs w:val="21"/>
                <w:lang w:eastAsia="zh-CN"/>
              </w:rPr>
            </w:pPr>
            <w:r>
              <w:rPr>
                <w:rFonts w:hint="eastAsia" w:ascii="宋体" w:hAnsi="宋体" w:eastAsia="宋体" w:cs="宋体"/>
                <w:szCs w:val="21"/>
                <w:u w:val="single"/>
              </w:rPr>
              <w:t xml:space="preserve"> </w:t>
            </w:r>
            <w:r>
              <w:rPr>
                <w:rFonts w:hint="eastAsia" w:ascii="宋体" w:hAnsi="宋体" w:eastAsia="宋体" w:cs="宋体"/>
                <w:snapToGrid w:val="0"/>
                <w:kern w:val="0"/>
                <w:szCs w:val="21"/>
                <w:u w:val="single"/>
                <w:lang w:val="en-US" w:eastAsia="zh-CN"/>
              </w:rPr>
              <w:t>妙高寺正殿文物建筑本体保护修缮面积441.2平方米，包括台基、墙体、木架构、屋顶、木装修及相关附属石质文物等保护修缮，具体以招标人提供的图纸、工程量清单、答疑资料、澄清资料、其它补遗资料等相关内容为准</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tc>
      </w:tr>
      <w:tr w14:paraId="5FA563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AAB672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1.3.2</w:t>
            </w:r>
          </w:p>
        </w:tc>
        <w:tc>
          <w:tcPr>
            <w:tcW w:w="1644" w:type="dxa"/>
            <w:vAlign w:val="center"/>
          </w:tcPr>
          <w:p w14:paraId="535F1DD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计划工期</w:t>
            </w:r>
          </w:p>
          <w:p w14:paraId="63D7950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缺陷责任期</w:t>
            </w:r>
          </w:p>
        </w:tc>
        <w:tc>
          <w:tcPr>
            <w:tcW w:w="6490" w:type="dxa"/>
            <w:vAlign w:val="center"/>
          </w:tcPr>
          <w:p w14:paraId="68B9E726">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napToGrid w:val="0"/>
                <w:kern w:val="0"/>
                <w:szCs w:val="21"/>
                <w:u w:val="single"/>
              </w:rPr>
            </w:pPr>
            <w:r>
              <w:rPr>
                <w:rFonts w:hint="eastAsia" w:ascii="宋体" w:hAnsi="宋体" w:eastAsia="宋体" w:cs="宋体"/>
                <w:kern w:val="0"/>
                <w:szCs w:val="21"/>
              </w:rPr>
              <w:t>工期：</w:t>
            </w:r>
            <w:r>
              <w:rPr>
                <w:rFonts w:hint="eastAsia" w:ascii="宋体" w:hAnsi="宋体" w:eastAsia="宋体" w:cs="宋体"/>
                <w:snapToGrid w:val="0"/>
                <w:kern w:val="0"/>
                <w:szCs w:val="21"/>
                <w:u w:val="single"/>
              </w:rPr>
              <w:t xml:space="preserve"> </w:t>
            </w:r>
            <w:r>
              <w:rPr>
                <w:rFonts w:hint="eastAsia" w:ascii="宋体" w:hAnsi="宋体" w:cs="宋体"/>
                <w:snapToGrid w:val="0"/>
                <w:kern w:val="0"/>
                <w:szCs w:val="21"/>
                <w:u w:val="single"/>
                <w:lang w:val="en-US" w:eastAsia="zh-CN"/>
              </w:rPr>
              <w:t>365</w:t>
            </w:r>
            <w:r>
              <w:rPr>
                <w:rFonts w:hint="eastAsia" w:ascii="宋体" w:hAnsi="宋体" w:eastAsia="宋体" w:cs="宋体"/>
                <w:snapToGrid w:val="0"/>
                <w:kern w:val="0"/>
                <w:szCs w:val="21"/>
                <w:u w:val="single"/>
              </w:rPr>
              <w:t xml:space="preserve"> </w:t>
            </w:r>
            <w:r>
              <w:rPr>
                <w:rFonts w:hint="eastAsia" w:ascii="宋体" w:hAnsi="宋体" w:eastAsia="宋体" w:cs="宋体"/>
                <w:snapToGrid w:val="0"/>
                <w:kern w:val="0"/>
                <w:szCs w:val="21"/>
                <w:u w:val="none"/>
              </w:rPr>
              <w:t>日历天</w:t>
            </w:r>
          </w:p>
          <w:p w14:paraId="085094FF">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缺陷责任期：</w:t>
            </w:r>
            <w:r>
              <w:rPr>
                <w:rFonts w:hint="eastAsia" w:ascii="宋体" w:hAnsi="宋体" w:eastAsia="宋体" w:cs="宋体"/>
                <w:snapToGrid w:val="0"/>
                <w:color w:val="auto"/>
                <w:kern w:val="0"/>
                <w:szCs w:val="21"/>
                <w:u w:val="single"/>
              </w:rPr>
              <w:t xml:space="preserve"> </w:t>
            </w:r>
            <w:r>
              <w:rPr>
                <w:rFonts w:hint="eastAsia" w:ascii="宋体" w:hAnsi="宋体" w:cs="宋体"/>
                <w:snapToGrid w:val="0"/>
                <w:color w:val="auto"/>
                <w:kern w:val="0"/>
                <w:szCs w:val="21"/>
                <w:u w:val="single"/>
                <w:lang w:val="en-US" w:eastAsia="zh-CN"/>
              </w:rPr>
              <w:t>60</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u w:val="none"/>
              </w:rPr>
              <w:t>个月</w:t>
            </w:r>
          </w:p>
        </w:tc>
      </w:tr>
      <w:tr w14:paraId="2CF2C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1DADF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1.3.3</w:t>
            </w:r>
          </w:p>
        </w:tc>
        <w:tc>
          <w:tcPr>
            <w:tcW w:w="1644" w:type="dxa"/>
            <w:vAlign w:val="center"/>
          </w:tcPr>
          <w:p w14:paraId="754E4F8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质量要求</w:t>
            </w:r>
          </w:p>
        </w:tc>
        <w:tc>
          <w:tcPr>
            <w:tcW w:w="6490" w:type="dxa"/>
            <w:vAlign w:val="center"/>
          </w:tcPr>
          <w:p w14:paraId="17589128">
            <w:pPr>
              <w:keepNext w:val="0"/>
              <w:keepLines w:val="0"/>
              <w:pageBreakBefore w:val="0"/>
              <w:kinsoku/>
              <w:wordWrap/>
              <w:overflowPunct/>
              <w:topLinePunct w:val="0"/>
              <w:bidi w:val="0"/>
              <w:snapToGrid w:val="0"/>
              <w:spacing w:line="40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rPr>
              <w:t>符合强制性质量标准，</w:t>
            </w:r>
            <w:r>
              <w:rPr>
                <w:rFonts w:hint="eastAsia" w:ascii="宋体" w:hAnsi="宋体" w:eastAsia="宋体" w:cs="宋体"/>
                <w:szCs w:val="21"/>
                <w:u w:val="single"/>
              </w:rPr>
              <w:t>符合国家和重庆市现行</w:t>
            </w:r>
            <w:r>
              <w:rPr>
                <w:rFonts w:hint="eastAsia" w:ascii="宋体" w:hAnsi="宋体" w:cs="宋体"/>
                <w:szCs w:val="21"/>
                <w:u w:val="single"/>
                <w:lang w:val="en-US" w:eastAsia="zh-CN"/>
              </w:rPr>
              <w:t>文物保护工程</w:t>
            </w:r>
            <w:r>
              <w:rPr>
                <w:rFonts w:hint="eastAsia" w:ascii="宋体" w:hAnsi="宋体" w:eastAsia="宋体" w:cs="宋体"/>
                <w:szCs w:val="21"/>
                <w:u w:val="single"/>
              </w:rPr>
              <w:t>有关施工质量验收规范要求，并达到合格标准</w:t>
            </w:r>
            <w:r>
              <w:rPr>
                <w:rFonts w:hint="eastAsia" w:ascii="宋体" w:hAnsi="宋体" w:eastAsia="宋体" w:cs="宋体"/>
                <w:szCs w:val="21"/>
              </w:rPr>
              <w:t>。</w:t>
            </w:r>
          </w:p>
        </w:tc>
      </w:tr>
      <w:tr w14:paraId="6BEB7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2CBCC2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6787DD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A94B30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CE11A8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461039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0368EE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F16DAE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2247FC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4B6161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8C821E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AEE3D7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0F3A10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60DC57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A11347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E0C288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000FFD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DF349D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F3CD3D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1.4.1</w:t>
            </w:r>
          </w:p>
          <w:p w14:paraId="76359F6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AE69A2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F35408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2FAE1D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4C0ED8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1EFB7A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B894E8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3F9EE8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2BC494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6307C1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B1DD49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FDD0D6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238A9D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F462C2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EE93A9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26B1EE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9163F3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E48487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4045DA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339D2E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9A3D23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611FBA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6E3DCE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369E25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835C66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6DEDC3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8B30BC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29394D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6725C2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307BC8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3FA77E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DA38BA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1.4.1</w:t>
            </w:r>
          </w:p>
          <w:p w14:paraId="6DA4789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8CA08E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4CF12F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D89D19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0CE679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B9735C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ED0BB3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157BB1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7622D2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407D0D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F064E3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35777C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FB5F54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48353A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A3398C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93D23D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77128C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CA6C38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E59233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D437BE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10F71A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3AD952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2E837B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BF21B3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770366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1D4EB3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5244D4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79A2C5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A26A1C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EF36F7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9177AD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70B3BF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3689FA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1.4.1</w:t>
            </w:r>
          </w:p>
          <w:p w14:paraId="166DBA2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89E993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9B6309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14961D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82DE3D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238E74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C46E5C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45066F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B7F209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294509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113893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D3DAB0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2A1483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43517B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888764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4F5BEF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96F8FF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ADBA8D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AA6E4E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4AAAAF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08E626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CF942B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B95CC1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B3DA6F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997C97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1CEC80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C388E9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1DD880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016C39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4D309B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299743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AA84EA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1.4.1</w:t>
            </w:r>
          </w:p>
          <w:p w14:paraId="36C0E3F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A182F9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49281C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C2DDD7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4669E5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3E4ED3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C3F7F1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E3D5B3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B24A46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09E22E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762101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2CD794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88E656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273DA2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DC7480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D17534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853405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ADD624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20728E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AC04BB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1DF7EA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tc>
        <w:tc>
          <w:tcPr>
            <w:tcW w:w="1644" w:type="dxa"/>
            <w:vAlign w:val="center"/>
          </w:tcPr>
          <w:p w14:paraId="61818F2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D491A2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10E3C0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D7C5F2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FBAC65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5DF09C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27CD1D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AE74B0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E78267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9D1894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719AF7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A5B2E4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012EC2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07E244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B054AE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2BDEC1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F88173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379A3C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投标人资质条件、能力和信誉</w:t>
            </w:r>
          </w:p>
          <w:p w14:paraId="7ED675D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107FBF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7C35A6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451386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061EEB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CF8B8A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A8A4EA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57405B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9B5539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E0343B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58E324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B742A6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AFD6C7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48BF0C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6857DD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E5253A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C5C3EE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0DC7A7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92EF27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AD60C3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4D727F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469303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FFAC56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DB36C0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D18A35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AA24FF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EA8CE3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2C2A61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432188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472578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DD39F5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投标人资质条件、能力和信誉</w:t>
            </w:r>
          </w:p>
          <w:p w14:paraId="491D27A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A15A2C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4E4ED0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C49DAA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7395E3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80EA92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2519FF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5EBAC3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9362AF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EFE949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FB1C29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452EC9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D9AFF9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B2F3BA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1E02E3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959DA7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19FEE1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2CF4C1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A15EA2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2A0AFD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680FEE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AE61F2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A219CE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2A0CCF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07C744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5C0028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C839C1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AEB4B5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35D734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A99E9A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CE7AFD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BBBE15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投标人资质条件、能力和信誉</w:t>
            </w:r>
          </w:p>
          <w:p w14:paraId="2524DEA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59FAD0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146221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4883C1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30ADF5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B86BCC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42FD42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65EBA3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64A61E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8EDFF3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1985BE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034D6D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F24B9C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47F3E9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6B8B74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366BF1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FAE655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99B5EB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728D64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E3CD6E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171A04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C9E13B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8C080D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36E5BD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E7F8EA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386273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C02492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2EE3D6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D7B72B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9B6503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2D27AC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投标人资质条件、能力和信誉</w:t>
            </w:r>
          </w:p>
          <w:p w14:paraId="4EC272F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FC2BC3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D640E1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307535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4A23849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0B7444A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E558D6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E1EEFB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B0FF71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890CAB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7072CCD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572EBA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75182D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1F70E92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3CD7E8A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614969F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2EE6DD2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p w14:paraId="5EB2F96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tc>
        <w:tc>
          <w:tcPr>
            <w:tcW w:w="6490" w:type="dxa"/>
            <w:vAlign w:val="center"/>
          </w:tcPr>
          <w:p w14:paraId="76DAF275">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rPr>
            </w:pPr>
            <w:bookmarkStart w:id="101" w:name="OLE_LINK1"/>
            <w:r>
              <w:rPr>
                <w:rFonts w:hint="eastAsia" w:ascii="宋体" w:hAnsi="宋体" w:eastAsia="宋体" w:cs="宋体"/>
                <w:szCs w:val="21"/>
              </w:rPr>
              <w:t>本工程施工招标实行资格后审，投标人应</w:t>
            </w:r>
            <w:bookmarkStart w:id="102" w:name="一是"/>
            <w:bookmarkEnd w:id="102"/>
            <w:r>
              <w:rPr>
                <w:rFonts w:hint="eastAsia" w:ascii="宋体" w:hAnsi="宋体" w:eastAsia="宋体" w:cs="宋体"/>
                <w:szCs w:val="21"/>
              </w:rPr>
              <w:t>具备以下资格条件：</w:t>
            </w:r>
          </w:p>
          <w:bookmarkEnd w:id="101"/>
          <w:p w14:paraId="056630A1">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b/>
                <w:szCs w:val="21"/>
              </w:rPr>
            </w:pPr>
            <w:r>
              <w:rPr>
                <w:rFonts w:hint="eastAsia" w:ascii="宋体" w:hAnsi="宋体" w:eastAsia="宋体" w:cs="宋体"/>
                <w:b/>
                <w:szCs w:val="21"/>
              </w:rPr>
              <w:t>1.资质条件、</w:t>
            </w:r>
            <w:r>
              <w:rPr>
                <w:rFonts w:hint="eastAsia" w:ascii="宋体" w:hAnsi="宋体" w:eastAsia="宋体" w:cs="宋体"/>
                <w:b/>
                <w:szCs w:val="21"/>
                <w:lang w:eastAsia="zh-CN"/>
              </w:rPr>
              <w:t>独立法人资格</w:t>
            </w:r>
            <w:r>
              <w:rPr>
                <w:rFonts w:hint="eastAsia" w:ascii="宋体" w:hAnsi="宋体" w:eastAsia="宋体" w:cs="宋体"/>
                <w:b/>
                <w:szCs w:val="21"/>
              </w:rPr>
              <w:t>及安全生产条件</w:t>
            </w:r>
          </w:p>
          <w:p w14:paraId="20CAD7DB">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szCs w:val="21"/>
              </w:rPr>
              <w:t>（1）具备国家文物局颁发的有效的</w:t>
            </w:r>
            <w:r>
              <w:rPr>
                <w:rFonts w:hint="eastAsia" w:ascii="宋体" w:hAnsi="宋体" w:eastAsia="宋体" w:cs="宋体"/>
                <w:u w:val="single"/>
              </w:rPr>
              <w:t xml:space="preserve"> </w:t>
            </w:r>
            <w:r>
              <w:rPr>
                <w:rFonts w:hint="eastAsia" w:ascii="宋体" w:hAnsi="宋体" w:eastAsia="宋体" w:cs="宋体"/>
                <w:color w:val="auto"/>
                <w:u w:val="single"/>
              </w:rPr>
              <w:t>文物保护工程</w:t>
            </w:r>
            <w:r>
              <w:rPr>
                <w:rFonts w:hint="eastAsia" w:ascii="宋体" w:hAnsi="宋体" w:cs="宋体"/>
                <w:color w:val="auto"/>
                <w:szCs w:val="21"/>
                <w:u w:val="single"/>
                <w:lang w:val="en-US" w:eastAsia="zh-CN"/>
              </w:rPr>
              <w:t>（古建筑和石窟寺及石刻）</w:t>
            </w:r>
            <w:r>
              <w:rPr>
                <w:rFonts w:hint="eastAsia" w:ascii="宋体" w:hAnsi="宋体" w:eastAsia="宋体" w:cs="宋体"/>
                <w:color w:val="auto"/>
                <w:u w:val="single"/>
              </w:rPr>
              <w:t>施工壹级</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rPr>
              <w:t>资质。</w:t>
            </w:r>
          </w:p>
          <w:p w14:paraId="45ABB5F4">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提供</w:t>
            </w:r>
            <w:r>
              <w:rPr>
                <w:rFonts w:hint="eastAsia" w:ascii="宋体" w:hAnsi="宋体" w:eastAsia="宋体" w:cs="宋体"/>
                <w:szCs w:val="21"/>
                <w:lang w:eastAsia="zh-CN"/>
              </w:rPr>
              <w:t>：</w:t>
            </w:r>
            <w:r>
              <w:rPr>
                <w:rFonts w:hint="eastAsia" w:ascii="宋体" w:hAnsi="宋体" w:eastAsia="宋体" w:cs="宋体"/>
                <w:szCs w:val="21"/>
              </w:rPr>
              <w:t>有效的资质证书</w:t>
            </w:r>
            <w:r>
              <w:rPr>
                <w:rFonts w:hint="eastAsia" w:ascii="宋体" w:hAnsi="宋体" w:cs="宋体"/>
                <w:szCs w:val="21"/>
                <w:lang w:val="en-US" w:eastAsia="zh-CN"/>
              </w:rPr>
              <w:t>且年检合格（根据文物保发〔2014〕13号规定省级文物主管部门每两年进行一次文物保护工程施工资质年检）</w:t>
            </w:r>
            <w:r>
              <w:rPr>
                <w:rFonts w:hint="eastAsia" w:ascii="宋体" w:hAnsi="宋体" w:eastAsia="宋体" w:cs="宋体"/>
                <w:szCs w:val="21"/>
              </w:rPr>
              <w:t>。</w:t>
            </w:r>
          </w:p>
          <w:p w14:paraId="60F46DAB">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（2）具备</w:t>
            </w:r>
            <w:r>
              <w:rPr>
                <w:rFonts w:hint="eastAsia" w:ascii="宋体" w:hAnsi="宋体" w:eastAsia="宋体" w:cs="宋体"/>
                <w:szCs w:val="21"/>
                <w:lang w:val="en-US" w:eastAsia="zh-CN"/>
              </w:rPr>
              <w:t>独立法人资格</w:t>
            </w:r>
            <w:r>
              <w:rPr>
                <w:rFonts w:hint="eastAsia" w:ascii="宋体" w:hAnsi="宋体" w:eastAsia="宋体" w:cs="宋体"/>
                <w:szCs w:val="21"/>
              </w:rPr>
              <w:t>。</w:t>
            </w:r>
          </w:p>
          <w:p w14:paraId="59F14509">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提供</w:t>
            </w:r>
            <w:r>
              <w:rPr>
                <w:rFonts w:hint="eastAsia" w:ascii="宋体" w:hAnsi="宋体" w:eastAsia="宋体" w:cs="宋体"/>
                <w:szCs w:val="21"/>
                <w:lang w:eastAsia="zh-CN"/>
              </w:rPr>
              <w:t>：</w:t>
            </w:r>
            <w:r>
              <w:rPr>
                <w:rFonts w:hint="eastAsia" w:ascii="宋体" w:hAnsi="宋体" w:eastAsia="宋体" w:cs="宋体"/>
                <w:szCs w:val="21"/>
              </w:rPr>
              <w:t>有效的营业执照。</w:t>
            </w:r>
          </w:p>
          <w:p w14:paraId="668C2E19">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注：不得将投标人营业执照记载的经营范围作为评审因素。</w:t>
            </w:r>
          </w:p>
          <w:p w14:paraId="68D41503">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（3）具备建设行政主管部门颁发的有效的安全生产许可证，企业主要负责人、</w:t>
            </w:r>
            <w:r>
              <w:rPr>
                <w:rFonts w:hint="eastAsia" w:ascii="宋体" w:hAnsi="宋体" w:eastAsia="宋体" w:cs="宋体"/>
                <w:szCs w:val="21"/>
                <w:lang w:val="en-US" w:eastAsia="zh-CN"/>
              </w:rPr>
              <w:t>拟派</w:t>
            </w:r>
            <w:r>
              <w:rPr>
                <w:rFonts w:hint="eastAsia" w:ascii="宋体" w:hAnsi="宋体" w:eastAsia="宋体" w:cs="宋体"/>
                <w:szCs w:val="21"/>
              </w:rPr>
              <w:t>项目经理具备相应的由建设行政主管部门颁发的有效的安全生产考核合格证书。</w:t>
            </w:r>
          </w:p>
          <w:p w14:paraId="4F2365C4">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提供</w:t>
            </w:r>
            <w:r>
              <w:rPr>
                <w:rFonts w:hint="eastAsia" w:ascii="宋体" w:hAnsi="宋体" w:eastAsia="宋体" w:cs="宋体"/>
                <w:szCs w:val="21"/>
                <w:lang w:eastAsia="zh-CN"/>
              </w:rPr>
              <w:t>：</w:t>
            </w:r>
            <w:r>
              <w:rPr>
                <w:rFonts w:hint="eastAsia" w:ascii="宋体" w:hAnsi="宋体" w:eastAsia="宋体" w:cs="宋体"/>
                <w:szCs w:val="21"/>
              </w:rPr>
              <w:t>有效的安全生产许可证及安全生产考核合格证书。</w:t>
            </w:r>
          </w:p>
          <w:p w14:paraId="1AE558CB">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b/>
                <w:szCs w:val="21"/>
              </w:rPr>
            </w:pPr>
            <w:r>
              <w:rPr>
                <w:rFonts w:hint="eastAsia" w:ascii="宋体" w:hAnsi="宋体" w:eastAsia="宋体" w:cs="宋体"/>
                <w:b/>
                <w:szCs w:val="21"/>
                <w:lang w:eastAsia="zh-CN"/>
              </w:rPr>
              <w:t>☑</w:t>
            </w:r>
            <w:r>
              <w:rPr>
                <w:rFonts w:hint="eastAsia" w:ascii="宋体" w:hAnsi="宋体" w:eastAsia="宋体" w:cs="宋体"/>
                <w:b/>
                <w:szCs w:val="21"/>
              </w:rPr>
              <w:t>2.财务要求</w:t>
            </w:r>
          </w:p>
          <w:p w14:paraId="59EDADB0">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u w:val="none"/>
                <w:lang w:val="en-US" w:eastAsia="zh-CN"/>
              </w:rPr>
              <w:t>方式一</w:t>
            </w:r>
          </w:p>
          <w:p w14:paraId="22B558D2">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2023</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2024</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2025</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年的</w:t>
            </w:r>
            <w:r>
              <w:rPr>
                <w:rFonts w:hint="eastAsia" w:ascii="宋体" w:hAnsi="宋体" w:eastAsia="宋体" w:cs="宋体"/>
                <w:color w:val="auto"/>
                <w:kern w:val="0"/>
                <w:szCs w:val="21"/>
                <w:highlight w:val="none"/>
                <w:lang w:eastAsia="zh-CN"/>
              </w:rPr>
              <w:t>各</w:t>
            </w:r>
            <w:r>
              <w:rPr>
                <w:rFonts w:hint="eastAsia" w:ascii="宋体" w:hAnsi="宋体" w:eastAsia="宋体" w:cs="宋体"/>
                <w:color w:val="auto"/>
                <w:kern w:val="0"/>
                <w:szCs w:val="21"/>
                <w:highlight w:val="none"/>
              </w:rPr>
              <w:t>年度财务状况不亏损。</w:t>
            </w:r>
          </w:p>
          <w:p w14:paraId="4E3AA9C7">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b/>
                <w:szCs w:val="21"/>
              </w:rPr>
            </w:pPr>
            <w:r>
              <w:rPr>
                <w:rFonts w:hint="eastAsia" w:ascii="宋体" w:hAnsi="宋体" w:eastAsia="宋体" w:cs="宋体"/>
                <w:b/>
                <w:szCs w:val="21"/>
                <w:lang w:eastAsia="zh-CN"/>
              </w:rPr>
              <w:t>☑</w:t>
            </w:r>
            <w:r>
              <w:rPr>
                <w:rFonts w:hint="eastAsia" w:ascii="宋体" w:hAnsi="宋体" w:eastAsia="宋体" w:cs="宋体"/>
                <w:b/>
                <w:szCs w:val="21"/>
              </w:rPr>
              <w:t>3.业绩要求</w:t>
            </w:r>
          </w:p>
          <w:p w14:paraId="3B1F133F">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kern w:val="0"/>
                <w:sz w:val="21"/>
                <w:szCs w:val="21"/>
                <w:highlight w:val="none"/>
                <w:lang w:eastAsia="zh-CN"/>
              </w:rPr>
              <w:t>投标人</w:t>
            </w:r>
            <w:r>
              <w:rPr>
                <w:rFonts w:hint="eastAsia" w:ascii="宋体" w:hAnsi="宋体" w:eastAsia="宋体" w:cs="宋体"/>
                <w:snapToGrid/>
                <w:sz w:val="21"/>
                <w:szCs w:val="21"/>
                <w:highlight w:val="none"/>
                <w:u w:val="none"/>
                <w:lang w:val="en-US" w:eastAsia="zh-CN"/>
              </w:rPr>
              <w:t>自</w:t>
            </w:r>
            <w:r>
              <w:rPr>
                <w:rFonts w:hint="eastAsia" w:ascii="宋体" w:hAnsi="宋体" w:eastAsia="宋体" w:cs="宋体"/>
                <w:snapToGrid/>
                <w:sz w:val="21"/>
                <w:szCs w:val="21"/>
                <w:highlight w:val="none"/>
                <w:u w:val="single"/>
                <w:lang w:eastAsia="zh-CN"/>
              </w:rPr>
              <w:t xml:space="preserve"> </w:t>
            </w:r>
            <w:r>
              <w:rPr>
                <w:rFonts w:hint="eastAsia" w:ascii="宋体" w:hAnsi="宋体" w:eastAsia="宋体" w:cs="宋体"/>
                <w:snapToGrid/>
                <w:sz w:val="21"/>
                <w:szCs w:val="21"/>
                <w:highlight w:val="none"/>
                <w:u w:val="single"/>
                <w:lang w:val="en-US" w:eastAsia="zh-CN"/>
              </w:rPr>
              <w:t>2023</w:t>
            </w:r>
            <w:r>
              <w:rPr>
                <w:rFonts w:hint="eastAsia" w:ascii="宋体" w:hAnsi="宋体" w:eastAsia="宋体" w:cs="宋体"/>
                <w:snapToGrid/>
                <w:sz w:val="21"/>
                <w:szCs w:val="21"/>
                <w:highlight w:val="none"/>
                <w:u w:val="single"/>
                <w:lang w:eastAsia="zh-CN"/>
              </w:rPr>
              <w:t xml:space="preserve"> </w:t>
            </w:r>
            <w:r>
              <w:rPr>
                <w:rFonts w:hint="eastAsia" w:ascii="宋体" w:hAnsi="宋体" w:eastAsia="宋体" w:cs="宋体"/>
                <w:snapToGrid/>
                <w:sz w:val="21"/>
                <w:szCs w:val="21"/>
                <w:highlight w:val="none"/>
                <w:u w:val="none"/>
                <w:lang w:eastAsia="zh-CN"/>
              </w:rPr>
              <w:t>年1月</w:t>
            </w:r>
            <w:r>
              <w:rPr>
                <w:rFonts w:hint="eastAsia" w:ascii="宋体" w:hAnsi="宋体" w:eastAsia="宋体" w:cs="宋体"/>
                <w:snapToGrid/>
                <w:color w:val="auto"/>
                <w:sz w:val="21"/>
                <w:szCs w:val="21"/>
                <w:highlight w:val="none"/>
                <w:u w:val="none"/>
                <w:lang w:eastAsia="zh-CN"/>
              </w:rPr>
              <w:t>1日起</w:t>
            </w:r>
            <w:r>
              <w:rPr>
                <w:rFonts w:hint="eastAsia" w:ascii="宋体" w:hAnsi="宋体" w:eastAsia="宋体" w:cs="宋体"/>
                <w:color w:val="auto"/>
                <w:szCs w:val="21"/>
                <w:highlight w:val="none"/>
              </w:rPr>
              <w:t>至投标截止日止（以竣工时间为准）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完成过</w:t>
            </w:r>
            <w:r>
              <w:rPr>
                <w:rFonts w:hint="eastAsia" w:ascii="宋体" w:hAnsi="宋体" w:eastAsia="宋体" w:cs="宋体"/>
                <w:color w:val="auto"/>
                <w:szCs w:val="21"/>
                <w:highlight w:val="none"/>
              </w:rPr>
              <w:t>1个</w:t>
            </w:r>
            <w:r>
              <w:rPr>
                <w:rFonts w:hint="eastAsia" w:ascii="宋体" w:hAnsi="宋体" w:eastAsia="宋体" w:cs="宋体"/>
                <w:color w:val="auto"/>
                <w:szCs w:val="21"/>
                <w:highlight w:val="none"/>
                <w:u w:val="single"/>
                <w:lang w:eastAsia="zh-CN"/>
              </w:rPr>
              <w:t xml:space="preserve"> </w:t>
            </w:r>
            <w:r>
              <w:rPr>
                <w:rFonts w:hint="eastAsia" w:ascii="宋体" w:hAnsi="宋体" w:cs="宋体"/>
                <w:color w:val="auto"/>
                <w:szCs w:val="21"/>
                <w:highlight w:val="none"/>
                <w:u w:val="single"/>
                <w:lang w:val="en-US" w:eastAsia="zh-CN"/>
              </w:rPr>
              <w:t>单项合同金额达到150万元及以上的全国重点文物保护单位或世界文化遗产的文物保护工程</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施工</w:t>
            </w:r>
            <w:r>
              <w:rPr>
                <w:rFonts w:hint="eastAsia" w:ascii="宋体" w:hAnsi="宋体" w:eastAsia="宋体" w:cs="宋体"/>
                <w:color w:val="auto"/>
                <w:szCs w:val="21"/>
                <w:highlight w:val="none"/>
              </w:rPr>
              <w:t>业绩。</w:t>
            </w:r>
          </w:p>
          <w:p w14:paraId="3BEE5542">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szCs w:val="21"/>
                <w:highlight w:val="none"/>
                <w:lang w:val="en-US"/>
              </w:rPr>
            </w:pP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该业绩的合同协议书和工程竣工验收合格的</w:t>
            </w:r>
            <w:r>
              <w:rPr>
                <w:rFonts w:hint="eastAsia" w:ascii="宋体" w:hAnsi="宋体" w:eastAsia="宋体" w:cs="宋体"/>
                <w:szCs w:val="21"/>
                <w:highlight w:val="none"/>
              </w:rPr>
              <w:t>证明材料。若</w:t>
            </w:r>
            <w:r>
              <w:rPr>
                <w:rFonts w:hint="eastAsia" w:ascii="宋体" w:hAnsi="宋体" w:eastAsia="宋体" w:cs="宋体"/>
                <w:szCs w:val="21"/>
                <w:highlight w:val="none"/>
                <w:lang w:val="en-US" w:eastAsia="zh-CN"/>
              </w:rPr>
              <w:t>提供的业绩证明材料不能</w:t>
            </w:r>
            <w:r>
              <w:rPr>
                <w:rFonts w:hint="eastAsia" w:ascii="宋体" w:hAnsi="宋体" w:eastAsia="宋体" w:cs="宋体"/>
                <w:szCs w:val="21"/>
                <w:highlight w:val="none"/>
              </w:rPr>
              <w:t>体现</w:t>
            </w:r>
            <w:r>
              <w:rPr>
                <w:rFonts w:hint="eastAsia" w:ascii="宋体" w:hAnsi="宋体" w:eastAsia="宋体" w:cs="宋体"/>
                <w:szCs w:val="21"/>
                <w:highlight w:val="none"/>
                <w:lang w:val="en-US" w:eastAsia="zh-CN"/>
              </w:rPr>
              <w:t>上述业绩指标</w:t>
            </w:r>
            <w:r>
              <w:rPr>
                <w:rFonts w:hint="eastAsia" w:ascii="宋体" w:hAnsi="宋体" w:eastAsia="宋体" w:cs="宋体"/>
                <w:szCs w:val="21"/>
                <w:highlight w:val="none"/>
              </w:rPr>
              <w:t>的，应补充提供</w:t>
            </w:r>
            <w:r>
              <w:rPr>
                <w:rFonts w:hint="eastAsia" w:ascii="宋体" w:hAnsi="宋体" w:eastAsia="宋体" w:cs="宋体"/>
                <w:szCs w:val="21"/>
                <w:highlight w:val="none"/>
                <w:u w:val="none"/>
                <w:lang w:eastAsia="zh-CN"/>
              </w:rPr>
              <w:t>业主证明</w:t>
            </w:r>
            <w:r>
              <w:rPr>
                <w:rFonts w:hint="eastAsia" w:ascii="宋体" w:hAnsi="宋体" w:eastAsia="宋体" w:cs="宋体"/>
                <w:szCs w:val="21"/>
                <w:highlight w:val="none"/>
                <w:u w:val="none"/>
                <w:lang w:val="en-US" w:eastAsia="zh-CN"/>
              </w:rPr>
              <w:t>。</w:t>
            </w:r>
          </w:p>
          <w:p w14:paraId="3FBE3575">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szCs w:val="21"/>
              </w:rPr>
            </w:pPr>
            <w:r>
              <w:rPr>
                <w:rFonts w:hint="eastAsia" w:ascii="宋体" w:hAnsi="宋体" w:eastAsia="宋体" w:cs="宋体"/>
                <w:szCs w:val="21"/>
              </w:rPr>
              <w:t>注：</w:t>
            </w: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lang w:eastAsia="zh-CN"/>
              </w:rPr>
              <w:t>）</w:t>
            </w:r>
            <w:r>
              <w:rPr>
                <w:rFonts w:hint="eastAsia" w:ascii="宋体" w:hAnsi="宋体" w:eastAsia="宋体" w:cs="宋体"/>
                <w:szCs w:val="21"/>
              </w:rPr>
              <w:t>当上述</w:t>
            </w:r>
            <w:r>
              <w:rPr>
                <w:rFonts w:hint="eastAsia" w:ascii="宋体" w:hAnsi="宋体" w:eastAsia="宋体" w:cs="宋体"/>
                <w:szCs w:val="21"/>
                <w:lang w:val="en-US" w:eastAsia="zh-CN"/>
              </w:rPr>
              <w:t>业绩证明材料</w:t>
            </w:r>
            <w:r>
              <w:rPr>
                <w:rFonts w:hint="eastAsia" w:ascii="宋体" w:hAnsi="宋体" w:eastAsia="宋体" w:cs="宋体"/>
                <w:szCs w:val="21"/>
              </w:rPr>
              <w:t>中针对同一指标存在不一致时，以工程竣工验收合格的证明材料为准。</w:t>
            </w:r>
          </w:p>
          <w:p w14:paraId="4ED01E07">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szCs w:val="21"/>
                <w:lang w:eastAsia="zh-CN"/>
              </w:rPr>
            </w:pPr>
            <w:r>
              <w:rPr>
                <w:rFonts w:hint="eastAsia" w:ascii="宋体" w:hAnsi="宋体" w:eastAsia="宋体" w:cs="宋体"/>
                <w:szCs w:val="21"/>
              </w:rPr>
              <w:t>（2）投标人提供的业绩为联合体业绩的，其在该业绩中的工作分工应与本项目承担的工作一致</w:t>
            </w:r>
            <w:r>
              <w:rPr>
                <w:rFonts w:hint="eastAsia" w:ascii="宋体" w:hAnsi="宋体" w:eastAsia="宋体" w:cs="宋体"/>
                <w:szCs w:val="21"/>
                <w:lang w:eastAsia="zh-CN"/>
              </w:rPr>
              <w:t>。</w:t>
            </w:r>
          </w:p>
          <w:p w14:paraId="0133F8A0">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b/>
                <w:szCs w:val="21"/>
              </w:rPr>
            </w:pPr>
            <w:r>
              <w:rPr>
                <w:rFonts w:hint="eastAsia" w:ascii="宋体" w:hAnsi="宋体" w:eastAsia="宋体" w:cs="宋体"/>
                <w:b/>
                <w:szCs w:val="21"/>
              </w:rPr>
              <w:t>4.投标截止日投标资格情况</w:t>
            </w:r>
          </w:p>
          <w:p w14:paraId="7A4864BE">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投标人不得存在下列情形之一：</w:t>
            </w:r>
          </w:p>
          <w:p w14:paraId="39DED624">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（1）被人民法院列入失信被执行人名单且在被执行期内；</w:t>
            </w:r>
          </w:p>
          <w:p w14:paraId="4B34B00B">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）被国家、重庆市（含市或任意区县）有关行政部门处以暂停投标资格行政处罚</w:t>
            </w:r>
            <w:r>
              <w:rPr>
                <w:rFonts w:hint="eastAsia" w:ascii="宋体" w:hAnsi="宋体" w:eastAsia="宋体" w:cs="宋体"/>
                <w:color w:val="auto"/>
                <w:sz w:val="21"/>
                <w:szCs w:val="21"/>
                <w:highlight w:val="none"/>
                <w:lang w:val="en-US" w:eastAsia="zh-CN"/>
              </w:rPr>
              <w:t>或暂停在渝承揽新业务</w:t>
            </w:r>
            <w:r>
              <w:rPr>
                <w:rFonts w:hint="eastAsia" w:ascii="宋体" w:hAnsi="宋体" w:eastAsia="宋体" w:cs="宋体"/>
                <w:szCs w:val="21"/>
                <w:lang w:eastAsia="zh-CN"/>
              </w:rPr>
              <w:t>，</w:t>
            </w:r>
            <w:r>
              <w:rPr>
                <w:rFonts w:hint="eastAsia" w:ascii="宋体" w:hAnsi="宋体" w:eastAsia="宋体" w:cs="宋体"/>
                <w:szCs w:val="21"/>
                <w:lang w:val="en-US" w:eastAsia="zh-CN"/>
              </w:rPr>
              <w:t>且在暂停期限内</w:t>
            </w:r>
            <w:r>
              <w:rPr>
                <w:rFonts w:hint="eastAsia" w:ascii="宋体" w:hAnsi="宋体" w:eastAsia="宋体" w:cs="宋体"/>
                <w:szCs w:val="21"/>
                <w:lang w:eastAsia="zh-CN"/>
              </w:rPr>
              <w:t>；</w:t>
            </w:r>
          </w:p>
          <w:p w14:paraId="05D1C482">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kern w:val="0"/>
                <w:lang w:val="en-US"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kern w:val="0"/>
              </w:rPr>
              <w:t>第二章“投标人须知”第1.4.3项规定</w:t>
            </w:r>
            <w:r>
              <w:rPr>
                <w:rFonts w:hint="eastAsia" w:ascii="宋体" w:hAnsi="宋体" w:eastAsia="宋体" w:cs="宋体"/>
                <w:kern w:val="0"/>
                <w:lang w:val="en-US" w:eastAsia="zh-CN"/>
              </w:rPr>
              <w:t>的情形之一</w:t>
            </w:r>
            <w:r>
              <w:rPr>
                <w:rFonts w:hint="eastAsia" w:ascii="宋体" w:hAnsi="宋体" w:eastAsia="宋体" w:cs="宋体"/>
                <w:kern w:val="0"/>
                <w:lang w:eastAsia="zh-CN"/>
              </w:rPr>
              <w:t>；</w:t>
            </w:r>
            <w:r>
              <w:rPr>
                <w:rFonts w:hint="eastAsia" w:ascii="宋体" w:hAnsi="宋体" w:eastAsia="宋体" w:cs="宋体"/>
                <w:kern w:val="0"/>
                <w:lang w:val="en-US" w:eastAsia="zh-CN"/>
              </w:rPr>
              <w:t>第二章“投标人须知”第9.2款规定的情形之一。</w:t>
            </w:r>
          </w:p>
          <w:p w14:paraId="12DA21D6">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提供</w:t>
            </w:r>
            <w:r>
              <w:rPr>
                <w:rFonts w:hint="eastAsia" w:ascii="宋体" w:hAnsi="宋体" w:eastAsia="宋体" w:cs="宋体"/>
                <w:lang w:eastAsia="zh-CN"/>
              </w:rPr>
              <w:t>：</w:t>
            </w:r>
            <w:r>
              <w:rPr>
                <w:rFonts w:hint="eastAsia" w:ascii="宋体" w:hAnsi="宋体" w:eastAsia="宋体" w:cs="宋体"/>
              </w:rPr>
              <w:t>承诺</w:t>
            </w:r>
            <w:r>
              <w:rPr>
                <w:rFonts w:hint="eastAsia" w:ascii="宋体" w:hAnsi="宋体" w:eastAsia="宋体" w:cs="宋体"/>
                <w:lang w:eastAsia="zh-CN"/>
              </w:rPr>
              <w:t>（</w:t>
            </w:r>
            <w:r>
              <w:rPr>
                <w:rFonts w:hint="eastAsia" w:ascii="宋体" w:hAnsi="宋体" w:eastAsia="宋体" w:cs="宋体"/>
                <w:color w:val="auto"/>
                <w:szCs w:val="21"/>
                <w:highlight w:val="none"/>
                <w:lang w:val="en-US" w:eastAsia="zh-CN"/>
              </w:rPr>
              <w:t>格式见第八章投标文件格式</w:t>
            </w:r>
            <w:r>
              <w:rPr>
                <w:rFonts w:hint="eastAsia" w:ascii="宋体" w:hAnsi="宋体" w:eastAsia="宋体" w:cs="宋体"/>
                <w:lang w:eastAsia="zh-CN"/>
              </w:rPr>
              <w:t>）</w:t>
            </w:r>
            <w:r>
              <w:rPr>
                <w:rFonts w:hint="eastAsia" w:ascii="宋体" w:hAnsi="宋体" w:eastAsia="宋体" w:cs="宋体"/>
              </w:rPr>
              <w:t>。</w:t>
            </w:r>
          </w:p>
          <w:p w14:paraId="3454852A">
            <w:pPr>
              <w:keepNext w:val="0"/>
              <w:keepLines w:val="0"/>
              <w:pageBreakBefore w:val="0"/>
              <w:kinsoku/>
              <w:wordWrap/>
              <w:overflowPunct/>
              <w:topLinePunct w:val="0"/>
              <w:bidi w:val="0"/>
              <w:snapToGrid w:val="0"/>
              <w:spacing w:line="40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szCs w:val="21"/>
              </w:rPr>
              <w:t>5.项目经理资格要求</w:t>
            </w:r>
          </w:p>
          <w:p w14:paraId="13979904">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5.1投标人拟派的项目经理须</w:t>
            </w:r>
            <w:r>
              <w:rPr>
                <w:rFonts w:hint="eastAsia" w:ascii="宋体" w:hAnsi="宋体" w:eastAsia="宋体" w:cs="宋体"/>
                <w:color w:val="auto"/>
                <w:szCs w:val="21"/>
                <w:lang w:val="en-US" w:eastAsia="zh-CN"/>
              </w:rPr>
              <w:t>是投标单位人员，</w:t>
            </w:r>
            <w:r>
              <w:rPr>
                <w:rFonts w:hint="eastAsia" w:ascii="宋体" w:hAnsi="宋体" w:eastAsia="宋体" w:cs="宋体"/>
                <w:color w:val="auto"/>
                <w:szCs w:val="21"/>
              </w:rPr>
              <w:t>应</w:t>
            </w:r>
            <w:r>
              <w:rPr>
                <w:rFonts w:hint="eastAsia" w:ascii="宋体" w:hAnsi="宋体" w:eastAsia="宋体" w:cs="宋体"/>
                <w:color w:val="auto"/>
                <w:szCs w:val="21"/>
                <w:lang w:val="en-US" w:eastAsia="zh-CN"/>
              </w:rPr>
              <w:t>具备</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古建筑和石窟寺及石刻</w:t>
            </w:r>
            <w:r>
              <w:rPr>
                <w:rFonts w:hint="eastAsia" w:ascii="宋体" w:hAnsi="宋体" w:cs="宋体"/>
                <w:color w:val="auto"/>
                <w:szCs w:val="21"/>
                <w:u w:val="single"/>
                <w:lang w:val="en-US" w:eastAsia="zh-CN"/>
              </w:rPr>
              <w:t xml:space="preserve">文物保护工程责任工程师执业资格 </w:t>
            </w:r>
            <w:r>
              <w:rPr>
                <w:rFonts w:hint="eastAsia" w:ascii="宋体" w:hAnsi="宋体" w:eastAsia="宋体" w:cs="宋体"/>
                <w:color w:val="auto"/>
                <w:szCs w:val="21"/>
                <w:lang w:val="en-US" w:eastAsia="zh-CN"/>
              </w:rPr>
              <w:t>并在投标单位注册</w:t>
            </w:r>
            <w:r>
              <w:rPr>
                <w:rFonts w:hint="eastAsia" w:ascii="宋体" w:hAnsi="宋体" w:eastAsia="宋体" w:cs="宋体"/>
                <w:color w:val="auto"/>
                <w:szCs w:val="21"/>
              </w:rPr>
              <w:t>。</w:t>
            </w:r>
          </w:p>
          <w:p w14:paraId="50E3CFBB">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5.2项目经理要求：投标人须承诺拟派项目经理按注册建造师的相关规定到岗履职和未被禁止参与投标。</w:t>
            </w:r>
          </w:p>
          <w:p w14:paraId="5E8ACF3B">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5.2.1到岗履职要求：承诺拟派项目经理中标后在本项目任职，签订合同时拟派的项目经理必须与投标文件中的项目经理一致，并满足办理施工许可手续的相关要求。不能按承诺到岗</w:t>
            </w:r>
            <w:r>
              <w:rPr>
                <w:rFonts w:hint="eastAsia" w:ascii="宋体" w:hAnsi="宋体" w:eastAsia="宋体" w:cs="宋体"/>
                <w:color w:val="auto"/>
                <w:lang w:val="en-US" w:eastAsia="zh-CN"/>
              </w:rPr>
              <w:t>履职</w:t>
            </w:r>
            <w:r>
              <w:rPr>
                <w:rFonts w:hint="eastAsia" w:ascii="宋体" w:hAnsi="宋体" w:eastAsia="宋体" w:cs="宋体"/>
                <w:color w:val="auto"/>
              </w:rPr>
              <w:t>的，</w:t>
            </w:r>
            <w:r>
              <w:rPr>
                <w:rFonts w:hint="eastAsia" w:ascii="宋体" w:hAnsi="宋体" w:eastAsia="宋体" w:cs="宋体"/>
                <w:color w:val="auto"/>
                <w:lang w:val="en-US" w:eastAsia="zh-CN"/>
              </w:rPr>
              <w:t>招标人</w:t>
            </w:r>
            <w:r>
              <w:rPr>
                <w:rFonts w:hint="eastAsia" w:ascii="宋体" w:hAnsi="宋体" w:eastAsia="宋体" w:cs="宋体"/>
                <w:color w:val="auto"/>
              </w:rPr>
              <w:t>按合同相关条款</w:t>
            </w:r>
            <w:r>
              <w:rPr>
                <w:rFonts w:hint="eastAsia" w:ascii="宋体" w:hAnsi="宋体" w:eastAsia="宋体" w:cs="宋体"/>
                <w:color w:val="auto"/>
                <w:lang w:val="en-US" w:eastAsia="zh-CN"/>
              </w:rPr>
              <w:t>要求投标人承担责任</w:t>
            </w:r>
            <w:r>
              <w:rPr>
                <w:rFonts w:hint="eastAsia" w:ascii="宋体" w:hAnsi="宋体" w:eastAsia="宋体" w:cs="宋体"/>
                <w:color w:val="auto"/>
              </w:rPr>
              <w:t>并上报行政主管部门，给招标人造成损失的，投标人依法承担赔偿责任</w:t>
            </w:r>
            <w:r>
              <w:rPr>
                <w:rFonts w:hint="eastAsia" w:ascii="宋体" w:hAnsi="宋体" w:eastAsia="宋体" w:cs="宋体"/>
                <w:color w:val="auto"/>
                <w:lang w:val="en-US" w:eastAsia="zh-CN"/>
              </w:rPr>
              <w:t>或违约责任</w:t>
            </w:r>
            <w:r>
              <w:rPr>
                <w:rFonts w:hint="eastAsia" w:ascii="宋体" w:hAnsi="宋体" w:eastAsia="宋体" w:cs="宋体"/>
                <w:color w:val="auto"/>
              </w:rPr>
              <w:t>。拟派项目经理中标后不得随意更换。</w:t>
            </w:r>
          </w:p>
          <w:p w14:paraId="393A34CD">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5.2.2未被禁止参与投标要求：承诺拟派项目经理未被</w:t>
            </w:r>
            <w:r>
              <w:rPr>
                <w:rFonts w:hint="eastAsia" w:ascii="宋体" w:hAnsi="宋体" w:eastAsia="宋体" w:cs="宋体"/>
                <w:color w:val="auto"/>
                <w:lang w:val="en-US" w:eastAsia="zh-CN"/>
              </w:rPr>
              <w:t>有关</w:t>
            </w:r>
            <w:r>
              <w:rPr>
                <w:rFonts w:hint="eastAsia" w:ascii="宋体" w:hAnsi="宋体" w:eastAsia="宋体" w:cs="宋体"/>
                <w:color w:val="auto"/>
              </w:rPr>
              <w:t>部门暂停</w:t>
            </w:r>
            <w:r>
              <w:rPr>
                <w:rFonts w:hint="eastAsia" w:ascii="宋体" w:hAnsi="宋体" w:eastAsia="宋体" w:cs="宋体"/>
                <w:color w:val="auto"/>
                <w:lang w:val="en-US" w:eastAsia="zh-CN"/>
              </w:rPr>
              <w:t>其</w:t>
            </w:r>
            <w:r>
              <w:rPr>
                <w:rFonts w:hint="eastAsia" w:ascii="宋体" w:hAnsi="宋体" w:eastAsia="宋体" w:cs="宋体"/>
                <w:color w:val="auto"/>
              </w:rPr>
              <w:t>在渝承揽</w:t>
            </w:r>
            <w:r>
              <w:rPr>
                <w:rFonts w:hint="eastAsia" w:ascii="宋体" w:hAnsi="宋体" w:eastAsia="宋体" w:cs="宋体"/>
                <w:color w:val="auto"/>
                <w:lang w:val="en-US" w:eastAsia="zh-CN"/>
              </w:rPr>
              <w:t>的</w:t>
            </w:r>
            <w:r>
              <w:rPr>
                <w:rFonts w:hint="eastAsia" w:ascii="宋体" w:hAnsi="宋体" w:eastAsia="宋体" w:cs="宋体"/>
                <w:color w:val="auto"/>
              </w:rPr>
              <w:t>新业务</w:t>
            </w:r>
            <w:r>
              <w:rPr>
                <w:rFonts w:hint="eastAsia" w:ascii="宋体" w:hAnsi="宋体" w:eastAsia="宋体" w:cs="宋体"/>
                <w:color w:val="auto"/>
                <w:lang w:val="en-US" w:eastAsia="zh-CN"/>
              </w:rPr>
              <w:t>中任职</w:t>
            </w:r>
            <w:r>
              <w:rPr>
                <w:rFonts w:hint="eastAsia" w:ascii="宋体" w:hAnsi="宋体" w:eastAsia="宋体" w:cs="宋体"/>
                <w:color w:val="auto"/>
              </w:rPr>
              <w:t>。若</w:t>
            </w:r>
            <w:r>
              <w:rPr>
                <w:rFonts w:hint="eastAsia" w:ascii="宋体" w:hAnsi="宋体" w:eastAsia="宋体" w:cs="宋体"/>
                <w:color w:val="auto"/>
                <w:lang w:val="en-US" w:eastAsia="zh-CN"/>
              </w:rPr>
              <w:t>其</w:t>
            </w:r>
            <w:r>
              <w:rPr>
                <w:rFonts w:hint="eastAsia" w:ascii="宋体" w:hAnsi="宋体" w:eastAsia="宋体" w:cs="宋体"/>
                <w:color w:val="auto"/>
              </w:rPr>
              <w:t>被暂停在渝承揽</w:t>
            </w:r>
            <w:r>
              <w:rPr>
                <w:rFonts w:hint="eastAsia" w:ascii="宋体" w:hAnsi="宋体" w:eastAsia="宋体" w:cs="宋体"/>
                <w:color w:val="auto"/>
                <w:lang w:val="en-US" w:eastAsia="zh-CN"/>
              </w:rPr>
              <w:t>的</w:t>
            </w:r>
            <w:r>
              <w:rPr>
                <w:rFonts w:hint="eastAsia" w:ascii="宋体" w:hAnsi="宋体" w:eastAsia="宋体" w:cs="宋体"/>
                <w:color w:val="auto"/>
              </w:rPr>
              <w:t>新业务</w:t>
            </w:r>
            <w:r>
              <w:rPr>
                <w:rFonts w:hint="eastAsia" w:ascii="宋体" w:hAnsi="宋体" w:eastAsia="宋体" w:cs="宋体"/>
                <w:color w:val="auto"/>
                <w:lang w:val="en-US" w:eastAsia="zh-CN"/>
              </w:rPr>
              <w:t>中任职</w:t>
            </w:r>
            <w:r>
              <w:rPr>
                <w:rFonts w:hint="eastAsia" w:ascii="宋体" w:hAnsi="宋体" w:eastAsia="宋体" w:cs="宋体"/>
                <w:color w:val="auto"/>
              </w:rPr>
              <w:t>但仍参加投标，将被否决投标；已取得中标候选人资格或中标资格的，招标人有权取消</w:t>
            </w:r>
            <w:r>
              <w:rPr>
                <w:rFonts w:hint="eastAsia" w:ascii="宋体" w:hAnsi="宋体" w:eastAsia="宋体" w:cs="宋体"/>
                <w:color w:val="auto"/>
                <w:lang w:val="en-US" w:eastAsia="zh-CN"/>
              </w:rPr>
              <w:t>投标人的</w:t>
            </w:r>
            <w:r>
              <w:rPr>
                <w:rFonts w:hint="eastAsia" w:ascii="宋体" w:hAnsi="宋体" w:eastAsia="宋体" w:cs="宋体"/>
                <w:color w:val="auto"/>
              </w:rPr>
              <w:t>中标候选人资格或中标资格；给招标人造成损失的，投标人依法承担赔偿责任</w:t>
            </w:r>
            <w:r>
              <w:rPr>
                <w:rFonts w:hint="eastAsia" w:ascii="宋体" w:hAnsi="宋体" w:eastAsia="宋体" w:cs="宋体"/>
                <w:color w:val="auto"/>
                <w:lang w:val="en-US" w:eastAsia="zh-CN"/>
              </w:rPr>
              <w:t>或违约责任</w:t>
            </w:r>
            <w:r>
              <w:rPr>
                <w:rFonts w:hint="eastAsia" w:ascii="宋体" w:hAnsi="宋体" w:eastAsia="宋体" w:cs="宋体"/>
                <w:color w:val="auto"/>
              </w:rPr>
              <w:t>。</w:t>
            </w:r>
          </w:p>
          <w:p w14:paraId="1C79C390">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5.2.3为保证投标人拟派的项目经理到本项目到岗履职，投标人还需承诺：</w:t>
            </w:r>
          </w:p>
          <w:p w14:paraId="12FEEF0F">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rPr>
            </w:pPr>
            <w:r>
              <w:rPr>
                <w:rFonts w:hint="eastAsia" w:ascii="宋体" w:hAnsi="宋体" w:eastAsia="宋体" w:cs="宋体"/>
                <w:color w:val="auto"/>
              </w:rPr>
              <w:t>若投标人拟派本项目的项目经理有在其他项目任职的情形的（或有在其他项目中标或拟中标的情形的），应在收到中标通知书后</w:t>
            </w:r>
            <w:r>
              <w:rPr>
                <w:rFonts w:hint="eastAsia" w:ascii="宋体" w:hAnsi="宋体" w:eastAsia="宋体" w:cs="宋体"/>
                <w:color w:val="auto"/>
                <w:u w:val="single"/>
              </w:rPr>
              <w:t xml:space="preserve"> 14 </w:t>
            </w:r>
            <w:r>
              <w:rPr>
                <w:rFonts w:hint="eastAsia" w:ascii="宋体" w:hAnsi="宋体" w:eastAsia="宋体" w:cs="宋体"/>
                <w:color w:val="auto"/>
              </w:rPr>
              <w:t>日内，办理完成放弃在其他项目任职的手续（或办理完成放弃在其他项目中标或拟中标的手续），招标人在合同签订前有权对投标人拟派项目经理在其他项目的任职情形（或在其他项目的中标或拟中标情形）进行核查，若与投标人承诺内容不符或投标人未在上述时间内按照招标文件规定递交放弃在其他项目任职、中标或拟中标的相关资料，视为投标人放弃中标资格，招标人不退还</w:t>
            </w:r>
            <w:r>
              <w:rPr>
                <w:rFonts w:hint="eastAsia" w:ascii="宋体" w:hAnsi="宋体" w:eastAsia="宋体" w:cs="宋体"/>
                <w:color w:val="000000"/>
              </w:rPr>
              <w:t>其投标保证金。在合同签订时，投标人需确保拟派项目经理符合《建筑施工企业项目经理资质管理办法》规定的项目经理任职条件，否则视为投标人放弃中标资格，招标人不退还其投标保证金。</w:t>
            </w:r>
          </w:p>
          <w:p w14:paraId="78642A7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放弃在其他项目任职的需提供：①经业主或建设单位同意任职变更的文件；②负责项目监管的行业行政主管部门出具同意任职变更的证明材料。</w:t>
            </w:r>
          </w:p>
          <w:p w14:paraId="02011BD6">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放弃在其他项目中标或拟中标的需提供：①经中标或拟中标的其他项目建设单位同意的放弃中标函。</w:t>
            </w:r>
          </w:p>
          <w:p w14:paraId="393787CB">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提供</w:t>
            </w:r>
            <w:r>
              <w:rPr>
                <w:rFonts w:hint="eastAsia" w:ascii="宋体" w:hAnsi="宋体" w:eastAsia="宋体" w:cs="宋体"/>
                <w:kern w:val="0"/>
                <w:szCs w:val="21"/>
                <w:lang w:eastAsia="zh-CN"/>
              </w:rPr>
              <w:t>：</w:t>
            </w:r>
            <w:r>
              <w:rPr>
                <w:rFonts w:hint="eastAsia" w:ascii="宋体" w:hAnsi="宋体" w:eastAsia="宋体" w:cs="宋体"/>
                <w:kern w:val="0"/>
                <w:szCs w:val="21"/>
              </w:rPr>
              <w:t>拟派项目经理</w:t>
            </w:r>
            <w:r>
              <w:rPr>
                <w:rFonts w:hint="eastAsia" w:ascii="宋体" w:hAnsi="宋体" w:eastAsia="宋体" w:cs="宋体"/>
                <w:kern w:val="0"/>
                <w:szCs w:val="21"/>
                <w:lang w:val="en-US" w:eastAsia="zh-CN"/>
              </w:rPr>
              <w:t>有效的</w:t>
            </w:r>
            <w:r>
              <w:rPr>
                <w:rFonts w:hint="eastAsia" w:ascii="宋体" w:hAnsi="宋体" w:eastAsia="宋体" w:cs="宋体"/>
                <w:kern w:val="0"/>
                <w:szCs w:val="21"/>
              </w:rPr>
              <w:t>身份证、建造师注册证、投标人为其缴纳的养老保险证明材料</w:t>
            </w:r>
            <w:r>
              <w:rPr>
                <w:rFonts w:hint="eastAsia" w:ascii="宋体" w:hAnsi="宋体" w:eastAsia="宋体" w:cs="宋体"/>
                <w:kern w:val="0"/>
                <w:szCs w:val="21"/>
                <w:lang w:eastAsia="zh-CN"/>
              </w:rPr>
              <w:t>、</w:t>
            </w:r>
            <w:r>
              <w:rPr>
                <w:rFonts w:hint="eastAsia" w:ascii="宋体" w:hAnsi="宋体" w:eastAsia="宋体" w:cs="宋体"/>
                <w:kern w:val="0"/>
                <w:szCs w:val="21"/>
              </w:rPr>
              <w:t>承诺（格式见第八章投标文件格式）。</w:t>
            </w:r>
          </w:p>
          <w:p w14:paraId="1D1F3659">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注：</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1</w:t>
            </w:r>
            <w:r>
              <w:rPr>
                <w:rFonts w:hint="eastAsia" w:ascii="宋体" w:hAnsi="宋体" w:eastAsia="宋体" w:cs="宋体"/>
                <w:kern w:val="0"/>
                <w:szCs w:val="21"/>
                <w:lang w:eastAsia="zh-CN"/>
              </w:rPr>
              <w:t>）</w:t>
            </w:r>
            <w:r>
              <w:rPr>
                <w:rFonts w:hint="eastAsia" w:ascii="宋体" w:hAnsi="宋体" w:eastAsia="宋体" w:cs="宋体"/>
                <w:kern w:val="0"/>
                <w:szCs w:val="21"/>
              </w:rPr>
              <w:t>提供拟派的项目经理为一级建造师或重庆市二级建造师注册人员的，必须提供建造师电子注册证书，且该建造师电子注册证书须由建造师本人在个人签名处手写本人签名。</w:t>
            </w:r>
          </w:p>
          <w:p w14:paraId="63D5B27E">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2</w:t>
            </w:r>
            <w:r>
              <w:rPr>
                <w:rFonts w:hint="eastAsia" w:ascii="宋体" w:hAnsi="宋体" w:eastAsia="宋体" w:cs="宋体"/>
                <w:kern w:val="0"/>
                <w:szCs w:val="21"/>
                <w:lang w:eastAsia="zh-CN"/>
              </w:rPr>
              <w:t>）</w:t>
            </w:r>
            <w:r>
              <w:rPr>
                <w:rFonts w:hint="eastAsia" w:ascii="宋体" w:hAnsi="宋体" w:eastAsia="宋体" w:cs="宋体"/>
                <w:kern w:val="0"/>
                <w:szCs w:val="21"/>
              </w:rPr>
              <w:t>重庆市以外的省级住房城乡建设主管部门对二级建造师电子注册证书使用有明确规定的，从其规定。未规定使用电子注册证书的，可提供纸质证书扫描件。</w:t>
            </w:r>
          </w:p>
          <w:p w14:paraId="50028705">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3</w:t>
            </w:r>
            <w:r>
              <w:rPr>
                <w:rFonts w:hint="eastAsia" w:ascii="宋体" w:hAnsi="宋体" w:eastAsia="宋体" w:cs="宋体"/>
                <w:kern w:val="0"/>
                <w:szCs w:val="21"/>
                <w:lang w:eastAsia="zh-CN"/>
              </w:rPr>
              <w:t>）</w:t>
            </w:r>
            <w:r>
              <w:rPr>
                <w:rFonts w:hint="eastAsia" w:ascii="宋体" w:hAnsi="宋体" w:eastAsia="宋体" w:cs="宋体"/>
                <w:kern w:val="0"/>
                <w:szCs w:val="21"/>
              </w:rPr>
              <w:t>建造师电子注册证书本人手写签名与签名图像笔迹是否一致不作为否决投标的情形。</w:t>
            </w:r>
          </w:p>
          <w:p w14:paraId="4DDF282C">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5.3项目经理业绩</w:t>
            </w:r>
          </w:p>
          <w:p w14:paraId="195CC5E1">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lang w:val="en-US" w:eastAsia="zh-CN"/>
              </w:rPr>
              <w:t>拟派的项目经理</w:t>
            </w:r>
            <w:r>
              <w:rPr>
                <w:rFonts w:hint="eastAsia" w:ascii="宋体" w:hAnsi="宋体" w:eastAsia="宋体" w:cs="宋体"/>
                <w:snapToGrid/>
                <w:color w:val="auto"/>
                <w:sz w:val="21"/>
                <w:szCs w:val="21"/>
                <w:highlight w:val="none"/>
                <w:u w:val="none"/>
                <w:lang w:val="en-US" w:eastAsia="zh-CN"/>
              </w:rPr>
              <w:t>自</w:t>
            </w:r>
            <w:r>
              <w:rPr>
                <w:rFonts w:hint="eastAsia" w:ascii="宋体" w:hAnsi="宋体" w:eastAsia="宋体" w:cs="宋体"/>
                <w:snapToGrid/>
                <w:color w:val="auto"/>
                <w:sz w:val="21"/>
                <w:szCs w:val="21"/>
                <w:highlight w:val="none"/>
                <w:u w:val="single"/>
                <w:lang w:eastAsia="zh-CN"/>
              </w:rPr>
              <w:t xml:space="preserve"> </w:t>
            </w:r>
            <w:r>
              <w:rPr>
                <w:rFonts w:hint="eastAsia" w:ascii="宋体" w:hAnsi="宋体" w:eastAsia="宋体" w:cs="宋体"/>
                <w:snapToGrid/>
                <w:color w:val="auto"/>
                <w:sz w:val="21"/>
                <w:szCs w:val="21"/>
                <w:highlight w:val="none"/>
                <w:u w:val="single"/>
                <w:lang w:val="en-US" w:eastAsia="zh-CN"/>
              </w:rPr>
              <w:t>2023</w:t>
            </w:r>
            <w:r>
              <w:rPr>
                <w:rFonts w:hint="eastAsia" w:ascii="宋体" w:hAnsi="宋体" w:eastAsia="宋体" w:cs="宋体"/>
                <w:snapToGrid/>
                <w:color w:val="auto"/>
                <w:sz w:val="21"/>
                <w:szCs w:val="21"/>
                <w:highlight w:val="none"/>
                <w:u w:val="single"/>
                <w:lang w:eastAsia="zh-CN"/>
              </w:rPr>
              <w:t xml:space="preserve"> </w:t>
            </w:r>
            <w:r>
              <w:rPr>
                <w:rFonts w:hint="eastAsia" w:ascii="宋体" w:hAnsi="宋体" w:eastAsia="宋体" w:cs="宋体"/>
                <w:snapToGrid/>
                <w:color w:val="auto"/>
                <w:sz w:val="21"/>
                <w:szCs w:val="21"/>
                <w:highlight w:val="none"/>
                <w:u w:val="none"/>
                <w:lang w:eastAsia="zh-CN"/>
              </w:rPr>
              <w:t>年1月1日起</w:t>
            </w:r>
            <w:r>
              <w:rPr>
                <w:rFonts w:hint="eastAsia" w:ascii="宋体" w:hAnsi="宋体" w:eastAsia="宋体" w:cs="宋体"/>
                <w:color w:val="auto"/>
                <w:kern w:val="0"/>
                <w:szCs w:val="21"/>
                <w:highlight w:val="none"/>
              </w:rPr>
              <w:t>至投标截止日止（以竣工时间为准）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完成</w:t>
            </w:r>
            <w:r>
              <w:rPr>
                <w:rFonts w:hint="eastAsia" w:ascii="宋体" w:hAnsi="宋体" w:eastAsia="宋体" w:cs="宋体"/>
                <w:color w:val="auto"/>
                <w:szCs w:val="21"/>
                <w:highlight w:val="none"/>
                <w:lang w:val="en-US" w:eastAsia="zh-CN"/>
              </w:rPr>
              <w:t>过</w:t>
            </w:r>
            <w:r>
              <w:rPr>
                <w:rFonts w:hint="eastAsia" w:ascii="宋体" w:hAnsi="宋体" w:eastAsia="宋体" w:cs="宋体"/>
                <w:color w:val="auto"/>
                <w:szCs w:val="21"/>
                <w:highlight w:val="none"/>
              </w:rPr>
              <w:t>1个</w:t>
            </w:r>
            <w:r>
              <w:rPr>
                <w:rFonts w:hint="eastAsia" w:ascii="宋体" w:hAnsi="宋体" w:eastAsia="宋体" w:cs="宋体"/>
                <w:color w:val="auto"/>
                <w:szCs w:val="21"/>
                <w:highlight w:val="none"/>
                <w:u w:val="single"/>
                <w:lang w:eastAsia="zh-CN"/>
              </w:rPr>
              <w:t xml:space="preserve"> </w:t>
            </w:r>
            <w:r>
              <w:rPr>
                <w:rFonts w:hint="eastAsia" w:ascii="宋体" w:hAnsi="宋体" w:cs="宋体"/>
                <w:color w:val="auto"/>
                <w:szCs w:val="21"/>
                <w:highlight w:val="none"/>
                <w:u w:val="single"/>
                <w:lang w:val="en-US" w:eastAsia="zh-CN"/>
              </w:rPr>
              <w:t>单项合同金额达到150万元及以上的全国重点文物保护单位或世界文化遗产的文物保护工程</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施工</w:t>
            </w:r>
            <w:r>
              <w:rPr>
                <w:rFonts w:hint="eastAsia" w:ascii="宋体" w:hAnsi="宋体" w:eastAsia="宋体" w:cs="宋体"/>
                <w:color w:val="auto"/>
                <w:szCs w:val="21"/>
                <w:highlight w:val="none"/>
              </w:rPr>
              <w:t>业绩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并在该业绩中担任</w:t>
            </w:r>
            <w:r>
              <w:rPr>
                <w:rFonts w:hint="eastAsia" w:ascii="宋体" w:hAnsi="宋体" w:eastAsia="宋体" w:cs="宋体"/>
                <w:color w:val="auto"/>
                <w:szCs w:val="21"/>
                <w:highlight w:val="none"/>
                <w:u w:val="single"/>
                <w:lang w:val="en-US" w:eastAsia="zh-CN"/>
              </w:rPr>
              <w:t xml:space="preserve"> 项目经理 </w:t>
            </w:r>
            <w:r>
              <w:rPr>
                <w:rFonts w:hint="eastAsia" w:ascii="宋体" w:hAnsi="宋体" w:eastAsia="宋体" w:cs="宋体"/>
                <w:color w:val="auto"/>
                <w:szCs w:val="21"/>
                <w:highlight w:val="none"/>
              </w:rPr>
              <w:t>。</w:t>
            </w:r>
          </w:p>
          <w:p w14:paraId="36B8D771">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szCs w:val="21"/>
              </w:rPr>
            </w:pP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该业绩的合同协议书和工程竣工验</w:t>
            </w:r>
            <w:r>
              <w:rPr>
                <w:rFonts w:hint="eastAsia" w:ascii="宋体" w:hAnsi="宋体" w:eastAsia="宋体" w:cs="宋体"/>
                <w:szCs w:val="21"/>
              </w:rPr>
              <w:t>收合格的证明材料。若</w:t>
            </w:r>
            <w:r>
              <w:rPr>
                <w:rFonts w:hint="eastAsia" w:ascii="宋体" w:hAnsi="宋体" w:eastAsia="宋体" w:cs="宋体"/>
                <w:szCs w:val="21"/>
                <w:lang w:val="en-US" w:eastAsia="zh-CN"/>
              </w:rPr>
              <w:t>提供的业绩证明材料不能</w:t>
            </w:r>
            <w:r>
              <w:rPr>
                <w:rFonts w:hint="eastAsia" w:ascii="宋体" w:hAnsi="宋体" w:eastAsia="宋体" w:cs="宋体"/>
                <w:szCs w:val="21"/>
              </w:rPr>
              <w:t>体现</w:t>
            </w:r>
            <w:r>
              <w:rPr>
                <w:rFonts w:hint="eastAsia" w:ascii="宋体" w:hAnsi="宋体" w:eastAsia="宋体" w:cs="宋体"/>
                <w:szCs w:val="21"/>
                <w:lang w:val="en-US" w:eastAsia="zh-CN"/>
              </w:rPr>
              <w:t>上述业绩指标</w:t>
            </w:r>
            <w:r>
              <w:rPr>
                <w:rFonts w:hint="eastAsia" w:ascii="宋体" w:hAnsi="宋体" w:eastAsia="宋体" w:cs="宋体"/>
                <w:szCs w:val="21"/>
              </w:rPr>
              <w:t>的，应补充提供</w:t>
            </w:r>
            <w:r>
              <w:rPr>
                <w:rFonts w:hint="eastAsia" w:ascii="宋体" w:hAnsi="宋体" w:eastAsia="宋体" w:cs="宋体"/>
                <w:szCs w:val="21"/>
                <w:highlight w:val="none"/>
                <w:u w:val="none"/>
                <w:lang w:eastAsia="zh-CN"/>
              </w:rPr>
              <w:t>业主证明</w:t>
            </w:r>
            <w:r>
              <w:rPr>
                <w:rFonts w:hint="eastAsia" w:ascii="宋体" w:hAnsi="宋体" w:eastAsia="宋体" w:cs="宋体"/>
                <w:szCs w:val="21"/>
              </w:rPr>
              <w:t>。</w:t>
            </w:r>
          </w:p>
          <w:p w14:paraId="507CA37A">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szCs w:val="21"/>
              </w:rPr>
            </w:pPr>
            <w:r>
              <w:rPr>
                <w:rFonts w:hint="eastAsia" w:ascii="宋体" w:hAnsi="宋体" w:eastAsia="宋体" w:cs="宋体"/>
                <w:szCs w:val="21"/>
              </w:rPr>
              <w:t>注：当上述</w:t>
            </w:r>
            <w:r>
              <w:rPr>
                <w:rFonts w:hint="eastAsia" w:ascii="宋体" w:hAnsi="宋体" w:eastAsia="宋体" w:cs="宋体"/>
                <w:szCs w:val="21"/>
                <w:lang w:val="en-US" w:eastAsia="zh-CN"/>
              </w:rPr>
              <w:t>业绩证明材料</w:t>
            </w:r>
            <w:r>
              <w:rPr>
                <w:rFonts w:hint="eastAsia" w:ascii="宋体" w:hAnsi="宋体" w:eastAsia="宋体" w:cs="宋体"/>
                <w:szCs w:val="21"/>
              </w:rPr>
              <w:t>中针对同一指标存在不一致时，以工程竣工验收合格的证明材料为准。</w:t>
            </w:r>
          </w:p>
          <w:p w14:paraId="620F1E8E">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b/>
                <w:szCs w:val="21"/>
              </w:rPr>
            </w:pPr>
            <w:r>
              <w:rPr>
                <w:rFonts w:hint="eastAsia" w:ascii="宋体" w:hAnsi="宋体" w:eastAsia="宋体" w:cs="宋体"/>
                <w:b/>
                <w:szCs w:val="21"/>
              </w:rPr>
              <w:t>6.其他要求</w:t>
            </w:r>
          </w:p>
          <w:p w14:paraId="0E673F58">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kern w:val="0"/>
                <w:szCs w:val="21"/>
              </w:rPr>
              <w:t>（1）</w:t>
            </w:r>
            <w:r>
              <w:rPr>
                <w:rFonts w:hint="eastAsia" w:ascii="宋体" w:hAnsi="宋体" w:eastAsia="宋体" w:cs="宋体"/>
                <w:color w:val="auto"/>
                <w:szCs w:val="21"/>
              </w:rPr>
              <w:t>项目技术负责人：</w:t>
            </w:r>
          </w:p>
          <w:p w14:paraId="23026FE9">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投标人拟派的技术负责人须是投标单位人员，具备</w:t>
            </w:r>
            <w:r>
              <w:rPr>
                <w:rFonts w:hint="eastAsia" w:ascii="宋体" w:hAnsi="宋体" w:cs="宋体"/>
                <w:color w:val="auto"/>
                <w:szCs w:val="21"/>
                <w:u w:val="single"/>
                <w:lang w:val="en-US" w:eastAsia="zh-CN"/>
              </w:rPr>
              <w:t xml:space="preserve"> 文物保护工程责任工程师执业资格（古建筑）</w:t>
            </w:r>
            <w:r>
              <w:rPr>
                <w:rFonts w:hint="eastAsia" w:ascii="宋体" w:hAnsi="宋体" w:eastAsia="宋体" w:cs="宋体"/>
                <w:color w:val="auto"/>
                <w:szCs w:val="21"/>
              </w:rPr>
              <w:t>职称</w:t>
            </w:r>
            <w:r>
              <w:rPr>
                <w:rFonts w:hint="eastAsia" w:ascii="宋体" w:hAnsi="宋体" w:eastAsia="宋体" w:cs="宋体"/>
                <w:color w:val="auto"/>
                <w:szCs w:val="21"/>
                <w:lang w:eastAsia="zh-CN"/>
              </w:rPr>
              <w:t>。</w:t>
            </w:r>
          </w:p>
          <w:p w14:paraId="47F70B04">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提供</w:t>
            </w:r>
            <w:r>
              <w:rPr>
                <w:rFonts w:hint="eastAsia" w:ascii="宋体" w:hAnsi="宋体" w:eastAsia="宋体" w:cs="宋体"/>
                <w:kern w:val="0"/>
                <w:szCs w:val="21"/>
                <w:lang w:eastAsia="zh-CN"/>
              </w:rPr>
              <w:t>：</w:t>
            </w:r>
            <w:r>
              <w:rPr>
                <w:rFonts w:hint="eastAsia" w:ascii="宋体" w:hAnsi="宋体" w:eastAsia="宋体" w:cs="宋体"/>
                <w:kern w:val="0"/>
                <w:szCs w:val="21"/>
              </w:rPr>
              <w:t>拟派技术负责人</w:t>
            </w:r>
            <w:r>
              <w:rPr>
                <w:rFonts w:hint="eastAsia" w:ascii="宋体" w:hAnsi="宋体" w:eastAsia="宋体" w:cs="宋体"/>
                <w:kern w:val="0"/>
                <w:szCs w:val="21"/>
                <w:lang w:val="en-US" w:eastAsia="zh-CN"/>
              </w:rPr>
              <w:t>有效的</w:t>
            </w:r>
            <w:r>
              <w:rPr>
                <w:rFonts w:hint="eastAsia" w:ascii="宋体" w:hAnsi="宋体" w:eastAsia="宋体" w:cs="宋体"/>
                <w:kern w:val="0"/>
                <w:szCs w:val="21"/>
              </w:rPr>
              <w:t>身份证、职称证及投标人本单位为其缴纳的养老保险证明材料。</w:t>
            </w:r>
          </w:p>
          <w:p w14:paraId="25A54D0A">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kern w:val="0"/>
                <w:szCs w:val="21"/>
              </w:rPr>
              <w:t>（2）</w:t>
            </w:r>
            <w:r>
              <w:rPr>
                <w:rFonts w:hint="eastAsia" w:ascii="宋体" w:hAnsi="宋体" w:eastAsia="宋体" w:cs="宋体"/>
                <w:szCs w:val="21"/>
              </w:rPr>
              <w:t>主要管理人员：</w:t>
            </w:r>
          </w:p>
          <w:p w14:paraId="717E1E4B">
            <w:pPr>
              <w:keepNext w:val="0"/>
              <w:keepLines w:val="0"/>
              <w:pageBreakBefore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szCs w:val="21"/>
                <w:lang w:val="en-US" w:eastAsia="zh-CN"/>
              </w:rPr>
              <w:t>在</w:t>
            </w:r>
            <w:r>
              <w:rPr>
                <w:rFonts w:hint="eastAsia" w:ascii="宋体" w:hAnsi="宋体" w:eastAsia="宋体" w:cs="宋体"/>
                <w:szCs w:val="21"/>
              </w:rPr>
              <w:t>中标后签订合同之前，须按照建设行政主管部门的要求组建施工项目部，配置项目管理班子，出具任命文件。任命文件应当明确施工项目部的职责、岗位设置、人员配备，并书面通知</w:t>
            </w:r>
            <w:r>
              <w:rPr>
                <w:rFonts w:hint="eastAsia" w:ascii="宋体" w:hAnsi="宋体" w:eastAsia="宋体" w:cs="宋体"/>
                <w:szCs w:val="21"/>
                <w:lang w:val="en-US" w:eastAsia="zh-CN"/>
              </w:rPr>
              <w:t>招标人</w:t>
            </w:r>
            <w:r>
              <w:rPr>
                <w:rFonts w:hint="eastAsia" w:ascii="宋体" w:hAnsi="宋体" w:eastAsia="宋体" w:cs="宋体"/>
                <w:szCs w:val="21"/>
              </w:rPr>
              <w:t>。相关岗位管理人员应持有建设行政主管部门要求的岗位证书，并提供投标人为其缴纳的养老保险证明材料。中标后不能满足该要求的，招标人可取消</w:t>
            </w:r>
            <w:r>
              <w:rPr>
                <w:rFonts w:hint="eastAsia" w:ascii="宋体" w:hAnsi="宋体" w:eastAsia="宋体" w:cs="宋体"/>
                <w:szCs w:val="21"/>
                <w:lang w:val="en-US" w:eastAsia="zh-CN"/>
              </w:rPr>
              <w:t>投标人</w:t>
            </w:r>
            <w:r>
              <w:rPr>
                <w:rFonts w:hint="eastAsia" w:ascii="宋体" w:hAnsi="宋体" w:eastAsia="宋体" w:cs="宋体"/>
                <w:szCs w:val="21"/>
              </w:rPr>
              <w:t>中标资格</w:t>
            </w:r>
            <w:r>
              <w:rPr>
                <w:rFonts w:hint="eastAsia" w:ascii="宋体" w:hAnsi="宋体" w:eastAsia="宋体" w:cs="宋体"/>
                <w:color w:val="auto"/>
                <w:szCs w:val="21"/>
                <w:highlight w:val="none"/>
              </w:rPr>
              <w:t>；签订合同后不满足该要求的，</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按合同相关条款</w:t>
            </w:r>
            <w:r>
              <w:rPr>
                <w:rFonts w:hint="eastAsia" w:ascii="宋体" w:hAnsi="宋体" w:eastAsia="宋体" w:cs="宋体"/>
                <w:color w:val="auto"/>
                <w:szCs w:val="21"/>
                <w:highlight w:val="none"/>
                <w:lang w:val="en-US" w:eastAsia="zh-CN"/>
              </w:rPr>
              <w:t>要求投标人承担责任</w:t>
            </w:r>
            <w:r>
              <w:rPr>
                <w:rFonts w:hint="eastAsia" w:ascii="宋体" w:hAnsi="宋体" w:eastAsia="宋体" w:cs="宋体"/>
                <w:color w:val="auto"/>
                <w:szCs w:val="21"/>
                <w:highlight w:val="none"/>
              </w:rPr>
              <w:t>并上报行政主管部门；</w:t>
            </w:r>
            <w:r>
              <w:rPr>
                <w:rFonts w:hint="eastAsia" w:ascii="宋体" w:hAnsi="宋体" w:eastAsia="宋体" w:cs="宋体"/>
                <w:szCs w:val="21"/>
              </w:rPr>
              <w:t>给招标人造成损失的，投标人依法承担赔偿责任</w:t>
            </w:r>
            <w:r>
              <w:rPr>
                <w:rFonts w:hint="eastAsia" w:ascii="宋体" w:hAnsi="宋体" w:eastAsia="宋体" w:cs="宋体"/>
                <w:szCs w:val="21"/>
                <w:lang w:val="en-US" w:eastAsia="zh-CN"/>
              </w:rPr>
              <w:t>或违约责任</w:t>
            </w:r>
            <w:r>
              <w:rPr>
                <w:rFonts w:hint="eastAsia" w:ascii="宋体" w:hAnsi="宋体" w:eastAsia="宋体" w:cs="宋体"/>
                <w:szCs w:val="21"/>
              </w:rPr>
              <w:t>。</w:t>
            </w:r>
          </w:p>
          <w:p w14:paraId="1FF4E1B8">
            <w:pPr>
              <w:keepNext w:val="0"/>
              <w:keepLines w:val="0"/>
              <w:pageBreakBefore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提供</w:t>
            </w:r>
            <w:r>
              <w:rPr>
                <w:rFonts w:hint="eastAsia" w:ascii="宋体" w:hAnsi="宋体" w:eastAsia="宋体" w:cs="宋体"/>
                <w:szCs w:val="21"/>
                <w:lang w:eastAsia="zh-CN"/>
              </w:rPr>
              <w:t>：</w:t>
            </w:r>
            <w:r>
              <w:rPr>
                <w:rFonts w:hint="eastAsia" w:ascii="宋体" w:hAnsi="宋体" w:eastAsia="宋体" w:cs="宋体"/>
                <w:szCs w:val="21"/>
              </w:rPr>
              <w:t>承诺（格式见第八章投标文件格式）。</w:t>
            </w:r>
          </w:p>
          <w:p w14:paraId="3D28599C">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cs="宋体"/>
                <w:kern w:val="0"/>
                <w:szCs w:val="21"/>
                <w:lang w:val="en-US" w:eastAsia="zh-CN"/>
              </w:rPr>
              <w:t>法定代表人或</w:t>
            </w:r>
            <w:r>
              <w:rPr>
                <w:rFonts w:hint="eastAsia" w:ascii="宋体" w:hAnsi="宋体" w:eastAsia="宋体" w:cs="宋体"/>
                <w:kern w:val="0"/>
                <w:szCs w:val="21"/>
              </w:rPr>
              <w:t>委托代理人：</w:t>
            </w:r>
          </w:p>
          <w:p w14:paraId="0D0B9C56">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法定代表人或</w:t>
            </w:r>
            <w:r>
              <w:rPr>
                <w:rFonts w:hint="eastAsia" w:ascii="宋体" w:hAnsi="宋体" w:eastAsia="宋体" w:cs="宋体"/>
                <w:i w:val="0"/>
                <w:iCs/>
                <w:color w:val="auto"/>
                <w:kern w:val="0"/>
                <w:szCs w:val="21"/>
                <w:highlight w:val="none"/>
              </w:rPr>
              <w:t>委托代理人</w:t>
            </w:r>
            <w:r>
              <w:rPr>
                <w:rFonts w:hint="eastAsia" w:ascii="宋体" w:hAnsi="宋体" w:eastAsia="宋体" w:cs="宋体"/>
                <w:i w:val="0"/>
                <w:iCs/>
                <w:color w:val="auto"/>
                <w:kern w:val="0"/>
                <w:szCs w:val="21"/>
                <w:highlight w:val="none"/>
                <w:lang w:val="en-US" w:eastAsia="zh-CN"/>
              </w:rPr>
              <w:t>代表</w:t>
            </w:r>
            <w:r>
              <w:rPr>
                <w:rFonts w:hint="eastAsia" w:ascii="宋体" w:hAnsi="宋体" w:eastAsia="宋体" w:cs="宋体"/>
                <w:i w:val="0"/>
                <w:iCs/>
                <w:color w:val="auto"/>
                <w:kern w:val="0"/>
                <w:szCs w:val="21"/>
                <w:highlight w:val="none"/>
              </w:rPr>
              <w:t>投标人签署、澄清、说明、补正、递交、撤回、修改本项目投标文件、签订合同和处理有关事宜，其法律后果由投标人承担。</w:t>
            </w:r>
            <w:r>
              <w:rPr>
                <w:rFonts w:hint="eastAsia" w:ascii="宋体" w:hAnsi="宋体" w:eastAsia="宋体" w:cs="宋体"/>
                <w:kern w:val="0"/>
                <w:szCs w:val="21"/>
              </w:rPr>
              <w:t>委托代理人</w:t>
            </w:r>
            <w:r>
              <w:rPr>
                <w:rFonts w:hint="eastAsia" w:ascii="宋体" w:hAnsi="宋体" w:eastAsia="宋体" w:cs="宋体"/>
                <w:kern w:val="0"/>
                <w:szCs w:val="21"/>
                <w:lang w:val="en-US" w:eastAsia="zh-CN"/>
              </w:rPr>
              <w:t>须是</w:t>
            </w:r>
            <w:r>
              <w:rPr>
                <w:rFonts w:hint="eastAsia" w:ascii="宋体" w:hAnsi="宋体" w:eastAsia="宋体" w:cs="宋体"/>
                <w:kern w:val="0"/>
                <w:szCs w:val="21"/>
              </w:rPr>
              <w:t>投标单位人员</w:t>
            </w:r>
            <w:r>
              <w:rPr>
                <w:rFonts w:hint="eastAsia" w:ascii="宋体" w:hAnsi="宋体" w:eastAsia="宋体" w:cs="宋体"/>
                <w:kern w:val="0"/>
                <w:szCs w:val="21"/>
                <w:lang w:eastAsia="zh-CN"/>
              </w:rPr>
              <w:t>。</w:t>
            </w:r>
          </w:p>
          <w:p w14:paraId="253E515C">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highlight w:val="none"/>
                <w:lang w:val="en-US" w:eastAsia="zh-CN"/>
              </w:rPr>
              <w:t>提供：</w:t>
            </w:r>
            <w:r>
              <w:rPr>
                <w:rFonts w:hint="eastAsia" w:ascii="宋体" w:hAnsi="宋体" w:eastAsia="宋体" w:cs="宋体"/>
                <w:kern w:val="0"/>
                <w:szCs w:val="21"/>
                <w:highlight w:val="none"/>
              </w:rPr>
              <w:t>法定代表人身份证明</w:t>
            </w:r>
            <w:r>
              <w:rPr>
                <w:rFonts w:hint="eastAsia" w:ascii="宋体" w:hAnsi="宋体" w:eastAsia="宋体" w:cs="宋体"/>
                <w:szCs w:val="21"/>
                <w:highlight w:val="none"/>
              </w:rPr>
              <w:t>（格式见第八章投标文件格式）</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法定代表人委托代理人投标的，还须提供</w:t>
            </w:r>
            <w:r>
              <w:rPr>
                <w:rFonts w:hint="eastAsia" w:ascii="宋体" w:hAnsi="宋体" w:eastAsia="宋体" w:cs="宋体"/>
                <w:kern w:val="0"/>
                <w:szCs w:val="21"/>
                <w:highlight w:val="none"/>
              </w:rPr>
              <w:t>授权委托书</w:t>
            </w:r>
            <w:r>
              <w:rPr>
                <w:rFonts w:hint="eastAsia" w:ascii="宋体" w:hAnsi="宋体" w:eastAsia="宋体" w:cs="宋体"/>
                <w:szCs w:val="21"/>
                <w:highlight w:val="none"/>
              </w:rPr>
              <w:t>（格式见第八章投标文件格式）</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投标人为该委托代理人缴纳的养老保险证明</w:t>
            </w:r>
            <w:r>
              <w:rPr>
                <w:rFonts w:hint="eastAsia" w:ascii="宋体" w:hAnsi="宋体" w:eastAsia="宋体" w:cs="宋体"/>
                <w:kern w:val="0"/>
                <w:szCs w:val="21"/>
              </w:rPr>
              <w:t>。</w:t>
            </w:r>
          </w:p>
          <w:p w14:paraId="223889C7">
            <w:pPr>
              <w:keepNext w:val="0"/>
              <w:keepLines w:val="0"/>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kern w:val="0"/>
                <w:szCs w:val="21"/>
                <w:highlight w:val="none"/>
                <w:lang w:val="en-US" w:eastAsia="zh-CN"/>
              </w:rPr>
            </w:pPr>
            <w:r>
              <w:rPr>
                <w:rFonts w:hint="eastAsia" w:ascii="宋体" w:hAnsi="宋体" w:cs="宋体"/>
                <w:snapToGrid w:val="0"/>
                <w:kern w:val="0"/>
                <w:szCs w:val="21"/>
                <w:highlight w:val="none"/>
                <w:lang w:eastAsia="zh-CN"/>
              </w:rPr>
              <w:t>□</w:t>
            </w:r>
            <w:r>
              <w:rPr>
                <w:rFonts w:hint="eastAsia" w:ascii="宋体" w:hAnsi="宋体" w:eastAsia="宋体" w:cs="宋体"/>
                <w:snapToGrid w:val="0"/>
                <w:kern w:val="0"/>
                <w:szCs w:val="21"/>
                <w:highlight w:val="none"/>
                <w:lang w:eastAsia="zh-CN"/>
              </w:rPr>
              <w:t>（</w:t>
            </w:r>
            <w:r>
              <w:rPr>
                <w:rFonts w:hint="eastAsia" w:ascii="宋体" w:hAnsi="宋体" w:eastAsia="宋体" w:cs="宋体"/>
                <w:snapToGrid w:val="0"/>
                <w:kern w:val="0"/>
                <w:szCs w:val="21"/>
                <w:highlight w:val="none"/>
                <w:lang w:val="en-US" w:eastAsia="zh-CN"/>
              </w:rPr>
              <w:t>4</w:t>
            </w:r>
            <w:r>
              <w:rPr>
                <w:rFonts w:hint="eastAsia" w:ascii="宋体" w:hAnsi="宋体" w:eastAsia="宋体" w:cs="宋体"/>
                <w:snapToGrid w:val="0"/>
                <w:kern w:val="0"/>
                <w:szCs w:val="21"/>
                <w:highlight w:val="none"/>
                <w:lang w:eastAsia="zh-CN"/>
              </w:rPr>
              <w:t>）</w:t>
            </w:r>
            <w:r>
              <w:rPr>
                <w:rFonts w:hint="eastAsia" w:ascii="宋体" w:hAnsi="宋体" w:eastAsia="宋体" w:cs="宋体"/>
                <w:lang w:val="en-US" w:eastAsia="zh-CN"/>
              </w:rPr>
              <w:t>本项目专门面向</w:t>
            </w:r>
            <w:r>
              <w:rPr>
                <w:rFonts w:hint="eastAsia" w:ascii="宋体" w:hAnsi="宋体" w:eastAsia="宋体" w:cs="宋体"/>
              </w:rPr>
              <w:t>《关于印发中小企业划型标准规定的通知》</w:t>
            </w:r>
            <w:r>
              <w:rPr>
                <w:rFonts w:hint="eastAsia" w:ascii="宋体" w:hAnsi="宋体" w:eastAsia="宋体" w:cs="宋体"/>
                <w:lang w:eastAsia="zh-CN"/>
              </w:rPr>
              <w:t>（</w:t>
            </w:r>
            <w:r>
              <w:rPr>
                <w:rFonts w:hint="eastAsia" w:ascii="宋体" w:hAnsi="宋体" w:eastAsia="宋体" w:cs="宋体"/>
              </w:rPr>
              <w:t>工信部联企业〔2011〕300号</w:t>
            </w:r>
            <w:r>
              <w:rPr>
                <w:rFonts w:hint="eastAsia" w:ascii="宋体" w:hAnsi="宋体" w:eastAsia="宋体" w:cs="宋体"/>
                <w:lang w:eastAsia="zh-CN"/>
              </w:rPr>
              <w:t>）</w:t>
            </w:r>
            <w:r>
              <w:rPr>
                <w:rFonts w:hint="eastAsia" w:ascii="宋体" w:hAnsi="宋体" w:eastAsia="宋体" w:cs="宋体"/>
              </w:rPr>
              <w:t>规定的</w:t>
            </w:r>
            <w:r>
              <w:rPr>
                <w:rFonts w:hint="eastAsia" w:ascii="宋体" w:hAnsi="宋体" w:eastAsia="宋体" w:cs="宋体"/>
                <w:u w:val="single"/>
              </w:rPr>
              <w:t xml:space="preserve"> </w:t>
            </w:r>
            <w:r>
              <w:rPr>
                <w:rFonts w:hint="eastAsia" w:ascii="宋体" w:hAnsi="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行业</w:t>
            </w:r>
            <w:r>
              <w:rPr>
                <w:rFonts w:hint="eastAsia" w:ascii="宋体" w:hAnsi="宋体" w:eastAsia="宋体" w:cs="宋体"/>
                <w:lang w:val="en-US" w:eastAsia="zh-CN"/>
              </w:rPr>
              <w:t>的中小企业预留</w:t>
            </w:r>
            <w:r>
              <w:rPr>
                <w:rFonts w:hint="eastAsia" w:ascii="宋体" w:hAnsi="宋体" w:eastAsia="宋体" w:cs="宋体"/>
                <w:lang w:eastAsia="zh-CN"/>
              </w:rPr>
              <w:t>，</w:t>
            </w:r>
            <w:r>
              <w:rPr>
                <w:rFonts w:hint="eastAsia" w:ascii="宋体" w:hAnsi="宋体" w:eastAsia="宋体" w:cs="宋体"/>
                <w:snapToGrid w:val="0"/>
                <w:kern w:val="0"/>
                <w:szCs w:val="21"/>
                <w:highlight w:val="none"/>
              </w:rPr>
              <w:t>实施方式：</w:t>
            </w:r>
          </w:p>
          <w:p w14:paraId="06C83AB6">
            <w:pPr>
              <w:keepNext w:val="0"/>
              <w:keepLines w:val="0"/>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kern w:val="0"/>
                <w:szCs w:val="21"/>
                <w:highlight w:val="none"/>
                <w:lang w:eastAsia="zh-CN"/>
              </w:rPr>
            </w:pPr>
            <w:r>
              <w:rPr>
                <w:rFonts w:hint="eastAsia" w:ascii="宋体" w:hAnsi="宋体" w:cs="宋体"/>
                <w:snapToGrid w:val="0"/>
                <w:kern w:val="0"/>
                <w:szCs w:val="21"/>
                <w:highlight w:val="none"/>
                <w:lang w:eastAsia="zh-CN"/>
              </w:rPr>
              <w:t>□</w:t>
            </w:r>
            <w:r>
              <w:rPr>
                <w:rFonts w:hint="eastAsia" w:ascii="宋体" w:hAnsi="宋体" w:eastAsia="宋体" w:cs="宋体"/>
                <w:snapToGrid w:val="0"/>
                <w:kern w:val="0"/>
                <w:szCs w:val="21"/>
                <w:highlight w:val="none"/>
                <w:lang w:val="en-US" w:eastAsia="zh-CN"/>
              </w:rPr>
              <w:t>方式一：</w:t>
            </w:r>
            <w:r>
              <w:rPr>
                <w:rFonts w:hint="eastAsia" w:ascii="宋体" w:hAnsi="宋体" w:eastAsia="宋体" w:cs="宋体"/>
                <w:snapToGrid w:val="0"/>
                <w:kern w:val="0"/>
                <w:szCs w:val="21"/>
                <w:highlight w:val="none"/>
              </w:rPr>
              <w:t>本项目整体面向中小企业</w:t>
            </w:r>
            <w:r>
              <w:rPr>
                <w:rFonts w:hint="eastAsia" w:ascii="宋体" w:hAnsi="宋体" w:eastAsia="宋体" w:cs="宋体"/>
                <w:snapToGrid w:val="0"/>
                <w:kern w:val="0"/>
                <w:szCs w:val="21"/>
                <w:highlight w:val="none"/>
                <w:lang w:eastAsia="zh-CN"/>
              </w:rPr>
              <w:t>。</w:t>
            </w:r>
          </w:p>
          <w:p w14:paraId="29861FC6">
            <w:pPr>
              <w:keepNext w:val="0"/>
              <w:keepLines w:val="0"/>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kern w:val="0"/>
                <w:szCs w:val="21"/>
                <w:highlight w:val="none"/>
                <w:lang w:eastAsia="zh-CN"/>
              </w:rPr>
            </w:pPr>
            <w:r>
              <w:rPr>
                <w:rFonts w:hint="eastAsia" w:ascii="宋体" w:hAnsi="宋体" w:eastAsia="宋体" w:cs="宋体"/>
                <w:snapToGrid w:val="0"/>
                <w:kern w:val="0"/>
                <w:szCs w:val="21"/>
                <w:highlight w:val="none"/>
                <w:lang w:val="en-US" w:eastAsia="zh-CN"/>
              </w:rPr>
              <w:t>提供：</w:t>
            </w:r>
            <w:r>
              <w:rPr>
                <w:rFonts w:hint="eastAsia" w:ascii="宋体" w:hAnsi="宋体" w:eastAsia="宋体" w:cs="宋体"/>
                <w:snapToGrid w:val="0"/>
                <w:kern w:val="0"/>
                <w:szCs w:val="21"/>
                <w:highlight w:val="none"/>
              </w:rPr>
              <w:t>《</w:t>
            </w:r>
            <w:r>
              <w:rPr>
                <w:rFonts w:hint="eastAsia" w:ascii="宋体" w:hAnsi="宋体" w:eastAsia="宋体" w:cs="宋体"/>
                <w:snapToGrid w:val="0"/>
                <w:kern w:val="0"/>
                <w:szCs w:val="21"/>
                <w:highlight w:val="none"/>
                <w:lang w:eastAsia="zh-CN"/>
              </w:rPr>
              <w:t>中小企业声明函</w:t>
            </w:r>
            <w:r>
              <w:rPr>
                <w:rFonts w:hint="eastAsia" w:ascii="宋体" w:hAnsi="宋体" w:eastAsia="宋体" w:cs="宋体"/>
                <w:snapToGrid w:val="0"/>
                <w:kern w:val="0"/>
                <w:szCs w:val="21"/>
                <w:highlight w:val="none"/>
              </w:rPr>
              <w:t>》</w:t>
            </w:r>
            <w:r>
              <w:rPr>
                <w:rFonts w:hint="eastAsia" w:ascii="宋体" w:hAnsi="宋体" w:eastAsia="宋体" w:cs="宋体"/>
                <w:snapToGrid w:val="0"/>
                <w:kern w:val="0"/>
                <w:szCs w:val="21"/>
                <w:highlight w:val="none"/>
                <w:lang w:eastAsia="zh-CN"/>
              </w:rPr>
              <w:t>（</w:t>
            </w:r>
            <w:r>
              <w:rPr>
                <w:rFonts w:hint="eastAsia" w:ascii="宋体" w:hAnsi="宋体" w:eastAsia="宋体" w:cs="宋体"/>
                <w:szCs w:val="21"/>
                <w:highlight w:val="none"/>
              </w:rPr>
              <w:t>格式见第八章投标文件格式）</w:t>
            </w:r>
            <w:r>
              <w:rPr>
                <w:rFonts w:hint="eastAsia" w:ascii="宋体" w:hAnsi="宋体" w:eastAsia="宋体" w:cs="宋体"/>
                <w:snapToGrid w:val="0"/>
                <w:kern w:val="0"/>
                <w:szCs w:val="21"/>
                <w:highlight w:val="none"/>
                <w:lang w:eastAsia="zh-CN"/>
              </w:rPr>
              <w:t>。</w:t>
            </w:r>
          </w:p>
          <w:p w14:paraId="445AB463">
            <w:pPr>
              <w:keepNext w:val="0"/>
              <w:keepLines w:val="0"/>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rPr>
              <w:t>□</w:t>
            </w:r>
            <w:r>
              <w:rPr>
                <w:rFonts w:hint="eastAsia" w:ascii="宋体" w:hAnsi="宋体" w:eastAsia="宋体" w:cs="宋体"/>
                <w:snapToGrid w:val="0"/>
                <w:kern w:val="0"/>
                <w:szCs w:val="21"/>
                <w:highlight w:val="none"/>
                <w:lang w:val="en-US" w:eastAsia="zh-CN"/>
              </w:rPr>
              <w:t>方式二：</w:t>
            </w:r>
            <w:r>
              <w:rPr>
                <w:rFonts w:hint="eastAsia" w:ascii="宋体" w:hAnsi="宋体" w:eastAsia="宋体" w:cs="宋体"/>
                <w:snapToGrid w:val="0"/>
                <w:kern w:val="0"/>
                <w:szCs w:val="21"/>
                <w:highlight w:val="none"/>
              </w:rPr>
              <w:t>本项目以联合体形式面向中小企业，以联合体形式参加本次投标的，联合体中中小企业承担的合同份额需达到</w:t>
            </w:r>
            <w:r>
              <w:rPr>
                <w:rFonts w:hint="eastAsia" w:ascii="宋体" w:hAnsi="宋体" w:eastAsia="宋体" w:cs="宋体"/>
                <w:snapToGrid w:val="0"/>
                <w:kern w:val="0"/>
                <w:szCs w:val="21"/>
                <w:highlight w:val="none"/>
                <w:u w:val="single"/>
                <w:lang w:val="en-US" w:eastAsia="zh-CN"/>
              </w:rPr>
              <w:t xml:space="preserve">    %</w:t>
            </w:r>
            <w:r>
              <w:rPr>
                <w:rFonts w:hint="eastAsia" w:ascii="宋体" w:hAnsi="宋体" w:eastAsia="宋体" w:cs="宋体"/>
                <w:snapToGrid w:val="0"/>
                <w:kern w:val="0"/>
                <w:szCs w:val="21"/>
                <w:highlight w:val="none"/>
              </w:rPr>
              <w:t>以上</w:t>
            </w:r>
            <w:r>
              <w:rPr>
                <w:rFonts w:hint="eastAsia" w:ascii="宋体" w:hAnsi="宋体" w:eastAsia="宋体" w:cs="宋体"/>
                <w:snapToGrid w:val="0"/>
                <w:kern w:val="0"/>
                <w:szCs w:val="21"/>
                <w:highlight w:val="none"/>
                <w:lang w:val="en-US" w:eastAsia="zh-CN"/>
              </w:rPr>
              <w:t>。</w:t>
            </w:r>
          </w:p>
          <w:p w14:paraId="077EF7F4">
            <w:pPr>
              <w:keepNext w:val="0"/>
              <w:keepLines w:val="0"/>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lang w:val="en-US" w:eastAsia="zh-CN"/>
              </w:rPr>
              <w:t>提供：</w:t>
            </w:r>
            <w:r>
              <w:rPr>
                <w:rFonts w:hint="eastAsia" w:ascii="宋体" w:hAnsi="宋体" w:eastAsia="宋体" w:cs="宋体"/>
                <w:snapToGrid w:val="0"/>
                <w:kern w:val="0"/>
                <w:szCs w:val="21"/>
                <w:highlight w:val="none"/>
              </w:rPr>
              <w:t>联合体中的中小企业</w:t>
            </w:r>
            <w:r>
              <w:rPr>
                <w:rFonts w:hint="eastAsia" w:ascii="宋体" w:hAnsi="宋体" w:eastAsia="宋体" w:cs="宋体"/>
                <w:snapToGrid w:val="0"/>
                <w:kern w:val="0"/>
                <w:szCs w:val="21"/>
                <w:highlight w:val="none"/>
                <w:lang w:val="en-US" w:eastAsia="zh-CN"/>
              </w:rPr>
              <w:t>出具的</w:t>
            </w:r>
            <w:r>
              <w:rPr>
                <w:rFonts w:hint="eastAsia" w:ascii="宋体" w:hAnsi="宋体" w:eastAsia="宋体" w:cs="宋体"/>
                <w:snapToGrid w:val="0"/>
                <w:kern w:val="0"/>
                <w:szCs w:val="21"/>
                <w:highlight w:val="none"/>
              </w:rPr>
              <w:t>《</w:t>
            </w:r>
            <w:r>
              <w:rPr>
                <w:rFonts w:hint="eastAsia" w:ascii="宋体" w:hAnsi="宋体" w:eastAsia="宋体" w:cs="宋体"/>
                <w:snapToGrid w:val="0"/>
                <w:kern w:val="0"/>
                <w:szCs w:val="21"/>
                <w:highlight w:val="none"/>
                <w:lang w:eastAsia="zh-CN"/>
              </w:rPr>
              <w:t>中小企业声明函</w:t>
            </w:r>
            <w:r>
              <w:rPr>
                <w:rFonts w:hint="eastAsia" w:ascii="宋体" w:hAnsi="宋体" w:eastAsia="宋体" w:cs="宋体"/>
                <w:snapToGrid w:val="0"/>
                <w:kern w:val="0"/>
                <w:szCs w:val="21"/>
                <w:highlight w:val="none"/>
              </w:rPr>
              <w:t>》</w:t>
            </w:r>
            <w:r>
              <w:rPr>
                <w:rFonts w:hint="eastAsia" w:ascii="宋体" w:hAnsi="宋体" w:eastAsia="宋体" w:cs="宋体"/>
                <w:snapToGrid w:val="0"/>
                <w:kern w:val="0"/>
                <w:szCs w:val="21"/>
                <w:highlight w:val="none"/>
                <w:lang w:eastAsia="zh-CN"/>
              </w:rPr>
              <w:t>，</w:t>
            </w:r>
            <w:r>
              <w:rPr>
                <w:rFonts w:hint="eastAsia" w:ascii="宋体" w:hAnsi="宋体" w:eastAsia="宋体" w:cs="宋体"/>
                <w:snapToGrid w:val="0"/>
                <w:kern w:val="0"/>
                <w:szCs w:val="21"/>
                <w:highlight w:val="none"/>
                <w:lang w:val="en-US" w:eastAsia="zh-CN"/>
              </w:rPr>
              <w:t>以及联合体牵头人出具的</w:t>
            </w:r>
            <w:r>
              <w:rPr>
                <w:rFonts w:hint="eastAsia" w:ascii="宋体" w:hAnsi="宋体" w:eastAsia="宋体" w:cs="宋体"/>
                <w:snapToGrid w:val="0"/>
                <w:kern w:val="0"/>
                <w:szCs w:val="21"/>
                <w:highlight w:val="none"/>
                <w:lang w:eastAsia="zh-CN"/>
              </w:rPr>
              <w:t>《</w:t>
            </w:r>
            <w:r>
              <w:rPr>
                <w:rFonts w:hint="eastAsia" w:ascii="宋体" w:hAnsi="宋体" w:eastAsia="宋体" w:cs="宋体"/>
                <w:snapToGrid w:val="0"/>
                <w:kern w:val="0"/>
                <w:szCs w:val="21"/>
                <w:highlight w:val="none"/>
              </w:rPr>
              <w:t>中小企业承担合同份额承诺函</w:t>
            </w:r>
            <w:r>
              <w:rPr>
                <w:rFonts w:hint="eastAsia" w:ascii="宋体" w:hAnsi="宋体" w:eastAsia="宋体" w:cs="宋体"/>
                <w:snapToGrid w:val="0"/>
                <w:kern w:val="0"/>
                <w:szCs w:val="21"/>
                <w:highlight w:val="none"/>
                <w:lang w:eastAsia="zh-CN"/>
              </w:rPr>
              <w:t>》（</w:t>
            </w:r>
            <w:r>
              <w:rPr>
                <w:rFonts w:hint="eastAsia" w:ascii="宋体" w:hAnsi="宋体" w:eastAsia="宋体" w:cs="宋体"/>
                <w:szCs w:val="21"/>
                <w:highlight w:val="none"/>
              </w:rPr>
              <w:t>格式见第八章投标文件格式）</w:t>
            </w:r>
            <w:r>
              <w:rPr>
                <w:rFonts w:hint="eastAsia" w:ascii="宋体" w:hAnsi="宋体" w:eastAsia="宋体" w:cs="宋体"/>
                <w:snapToGrid w:val="0"/>
                <w:kern w:val="0"/>
                <w:szCs w:val="21"/>
                <w:highlight w:val="none"/>
              </w:rPr>
              <w:t>。</w:t>
            </w:r>
          </w:p>
          <w:p w14:paraId="1F4146B4">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rPr>
              <w:t>□</w:t>
            </w:r>
            <w:r>
              <w:rPr>
                <w:rFonts w:hint="eastAsia" w:ascii="宋体" w:hAnsi="宋体" w:eastAsia="宋体" w:cs="宋体"/>
                <w:snapToGrid w:val="0"/>
                <w:kern w:val="0"/>
                <w:szCs w:val="21"/>
                <w:highlight w:val="none"/>
                <w:lang w:val="en-US" w:eastAsia="zh-CN"/>
              </w:rPr>
              <w:t>方式三：</w:t>
            </w:r>
            <w:r>
              <w:rPr>
                <w:rFonts w:hint="eastAsia" w:ascii="宋体" w:hAnsi="宋体" w:eastAsia="宋体" w:cs="宋体"/>
                <w:snapToGrid w:val="0"/>
                <w:kern w:val="0"/>
                <w:szCs w:val="21"/>
                <w:highlight w:val="none"/>
              </w:rPr>
              <w:t>本项目以合同分包形式面向中小企业</w:t>
            </w:r>
            <w:r>
              <w:rPr>
                <w:rFonts w:hint="eastAsia" w:ascii="宋体" w:hAnsi="宋体" w:eastAsia="宋体" w:cs="宋体"/>
                <w:snapToGrid w:val="0"/>
                <w:kern w:val="0"/>
                <w:szCs w:val="21"/>
                <w:highlight w:val="none"/>
                <w:lang w:eastAsia="zh-CN"/>
              </w:rPr>
              <w:t>，</w:t>
            </w:r>
            <w:r>
              <w:rPr>
                <w:rFonts w:hint="eastAsia" w:ascii="宋体" w:hAnsi="宋体" w:eastAsia="宋体" w:cs="宋体"/>
                <w:snapToGrid w:val="0"/>
                <w:kern w:val="0"/>
                <w:szCs w:val="21"/>
                <w:highlight w:val="none"/>
              </w:rPr>
              <w:t>分包给中小企业的合同份额需达到</w:t>
            </w:r>
            <w:r>
              <w:rPr>
                <w:rFonts w:hint="eastAsia" w:ascii="宋体" w:hAnsi="宋体" w:eastAsia="宋体" w:cs="宋体"/>
                <w:snapToGrid w:val="0"/>
                <w:kern w:val="0"/>
                <w:szCs w:val="21"/>
                <w:highlight w:val="none"/>
                <w:u w:val="single"/>
                <w:lang w:val="en-US" w:eastAsia="zh-CN"/>
              </w:rPr>
              <w:t xml:space="preserve">    %</w:t>
            </w:r>
            <w:r>
              <w:rPr>
                <w:rFonts w:hint="eastAsia" w:ascii="宋体" w:hAnsi="宋体" w:eastAsia="宋体" w:cs="宋体"/>
                <w:snapToGrid w:val="0"/>
                <w:kern w:val="0"/>
                <w:szCs w:val="21"/>
                <w:highlight w:val="none"/>
              </w:rPr>
              <w:t>以上</w:t>
            </w:r>
            <w:r>
              <w:rPr>
                <w:rFonts w:hint="eastAsia" w:ascii="宋体" w:hAnsi="宋体" w:eastAsia="宋体" w:cs="宋体"/>
                <w:snapToGrid w:val="0"/>
                <w:kern w:val="0"/>
                <w:szCs w:val="21"/>
                <w:highlight w:val="none"/>
                <w:lang w:val="en-US" w:eastAsia="zh-CN"/>
              </w:rPr>
              <w:t>。</w:t>
            </w:r>
          </w:p>
          <w:p w14:paraId="605ECEDD">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lang w:val="en-US" w:eastAsia="zh-CN"/>
              </w:rPr>
              <w:t>投标人不是中小企业的，应提供《</w:t>
            </w:r>
            <w:r>
              <w:rPr>
                <w:rFonts w:hint="eastAsia" w:ascii="宋体" w:hAnsi="宋体" w:eastAsia="宋体" w:cs="宋体"/>
                <w:snapToGrid w:val="0"/>
                <w:kern w:val="0"/>
                <w:szCs w:val="21"/>
                <w:highlight w:val="none"/>
              </w:rPr>
              <w:t>中小企业承担合同份额</w:t>
            </w:r>
            <w:r>
              <w:rPr>
                <w:rFonts w:hint="eastAsia" w:ascii="宋体" w:hAnsi="宋体" w:eastAsia="宋体" w:cs="宋体"/>
                <w:snapToGrid w:val="0"/>
                <w:kern w:val="0"/>
                <w:szCs w:val="21"/>
                <w:highlight w:val="none"/>
                <w:lang w:val="en-US" w:eastAsia="zh-CN"/>
              </w:rPr>
              <w:t>承诺函》；投标人是中小企业的，应提供《中小企业声明函》</w:t>
            </w:r>
            <w:r>
              <w:rPr>
                <w:rFonts w:hint="eastAsia" w:ascii="宋体" w:hAnsi="宋体" w:eastAsia="宋体" w:cs="宋体"/>
                <w:snapToGrid w:val="0"/>
                <w:kern w:val="0"/>
                <w:szCs w:val="21"/>
                <w:highlight w:val="none"/>
                <w:lang w:eastAsia="zh-CN"/>
              </w:rPr>
              <w:t>（</w:t>
            </w:r>
            <w:r>
              <w:rPr>
                <w:rFonts w:hint="eastAsia" w:ascii="宋体" w:hAnsi="宋体" w:eastAsia="宋体" w:cs="宋体"/>
                <w:szCs w:val="21"/>
                <w:highlight w:val="none"/>
              </w:rPr>
              <w:t>格式见第八章投标文件格式）</w:t>
            </w:r>
            <w:r>
              <w:rPr>
                <w:rFonts w:hint="eastAsia" w:ascii="宋体" w:hAnsi="宋体" w:eastAsia="宋体" w:cs="宋体"/>
                <w:snapToGrid w:val="0"/>
                <w:kern w:val="0"/>
                <w:szCs w:val="21"/>
                <w:highlight w:val="none"/>
                <w:lang w:val="en-US" w:eastAsia="zh-CN"/>
              </w:rPr>
              <w:t>。</w:t>
            </w:r>
          </w:p>
          <w:p w14:paraId="703B8B76">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5</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投标文件真实性：</w:t>
            </w:r>
          </w:p>
          <w:p w14:paraId="3C80817D">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投标文件中的所有内容</w:t>
            </w:r>
            <w:r>
              <w:rPr>
                <w:rFonts w:hint="eastAsia" w:ascii="宋体" w:hAnsi="宋体" w:eastAsia="宋体" w:cs="宋体"/>
                <w:color w:val="auto"/>
                <w:kern w:val="0"/>
                <w:szCs w:val="21"/>
                <w:highlight w:val="none"/>
                <w:lang w:val="en-US" w:eastAsia="zh-CN"/>
              </w:rPr>
              <w:t>须</w:t>
            </w:r>
            <w:r>
              <w:rPr>
                <w:rFonts w:hint="eastAsia" w:ascii="宋体" w:hAnsi="宋体" w:eastAsia="宋体" w:cs="宋体"/>
                <w:color w:val="auto"/>
                <w:kern w:val="0"/>
                <w:szCs w:val="21"/>
                <w:highlight w:val="none"/>
              </w:rPr>
              <w:t>真实有效，不存在弄虚作假情形。</w:t>
            </w:r>
          </w:p>
          <w:p w14:paraId="6F31F047">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承诺（</w:t>
            </w:r>
            <w:r>
              <w:rPr>
                <w:rFonts w:hint="eastAsia" w:ascii="宋体" w:hAnsi="宋体" w:eastAsia="宋体" w:cs="宋体"/>
                <w:color w:val="auto"/>
                <w:szCs w:val="21"/>
                <w:highlight w:val="none"/>
              </w:rPr>
              <w:t>格式见第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章投标文件格式</w:t>
            </w:r>
            <w:r>
              <w:rPr>
                <w:rFonts w:hint="eastAsia" w:ascii="宋体" w:hAnsi="宋体" w:eastAsia="宋体" w:cs="宋体"/>
                <w:color w:val="auto"/>
                <w:kern w:val="0"/>
                <w:szCs w:val="21"/>
                <w:highlight w:val="none"/>
              </w:rPr>
              <w:t>）。</w:t>
            </w:r>
          </w:p>
          <w:p w14:paraId="5495DFDA">
            <w:pPr>
              <w:keepNext w:val="0"/>
              <w:keepLines w:val="0"/>
              <w:pageBreakBefore w:val="0"/>
              <w:kinsoku/>
              <w:wordWrap/>
              <w:overflowPunct/>
              <w:topLinePunct w:val="0"/>
              <w:autoSpaceDE w:val="0"/>
              <w:autoSpaceDN w:val="0"/>
              <w:bidi w:val="0"/>
              <w:adjustRightInd w:val="0"/>
              <w:snapToGrid w:val="0"/>
              <w:spacing w:line="400" w:lineRule="exact"/>
              <w:ind w:firstLine="417" w:firstLineChars="198"/>
              <w:textAlignment w:val="auto"/>
              <w:rPr>
                <w:rFonts w:hint="eastAsia" w:ascii="宋体" w:hAnsi="宋体" w:eastAsia="宋体" w:cs="宋体"/>
                <w:b/>
                <w:szCs w:val="21"/>
              </w:rPr>
            </w:pPr>
            <w:r>
              <w:rPr>
                <w:rFonts w:hint="eastAsia" w:ascii="宋体" w:hAnsi="宋体" w:eastAsia="宋体" w:cs="宋体"/>
                <w:b/>
                <w:szCs w:val="21"/>
              </w:rPr>
              <w:t>特别说明：</w:t>
            </w:r>
          </w:p>
          <w:p w14:paraId="21E1ED82">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kern w:val="0"/>
                <w:szCs w:val="21"/>
              </w:rPr>
            </w:pPr>
            <w:r>
              <w:rPr>
                <w:rFonts w:hint="eastAsia" w:ascii="宋体" w:hAnsi="宋体" w:eastAsia="宋体" w:cs="宋体"/>
                <w:szCs w:val="21"/>
              </w:rPr>
              <w:t>（1）上述要求须</w:t>
            </w:r>
            <w:r>
              <w:rPr>
                <w:rFonts w:hint="eastAsia" w:ascii="宋体" w:hAnsi="宋体" w:eastAsia="宋体" w:cs="宋体"/>
                <w:szCs w:val="21"/>
                <w:lang w:val="en-US" w:eastAsia="zh-CN"/>
              </w:rPr>
              <w:t>提供</w:t>
            </w:r>
            <w:r>
              <w:rPr>
                <w:rFonts w:hint="eastAsia" w:ascii="宋体" w:hAnsi="宋体" w:eastAsia="宋体" w:cs="宋体"/>
                <w:szCs w:val="21"/>
              </w:rPr>
              <w:t>的相关证明材料均为扫描件（原件或复印件的扫描件均可），扫描件须清晰可辨，</w:t>
            </w:r>
            <w:r>
              <w:rPr>
                <w:rFonts w:hint="eastAsia" w:ascii="宋体" w:hAnsi="宋体" w:eastAsia="宋体" w:cs="宋体"/>
                <w:kern w:val="0"/>
                <w:szCs w:val="21"/>
              </w:rPr>
              <w:t>有一条不满足，则投标文件由评标委员会</w:t>
            </w:r>
            <w:r>
              <w:rPr>
                <w:rFonts w:hint="eastAsia" w:ascii="宋体" w:hAnsi="宋体" w:eastAsia="宋体" w:cs="宋体"/>
                <w:szCs w:val="21"/>
              </w:rPr>
              <w:t>作否决投标处理</w:t>
            </w:r>
            <w:r>
              <w:rPr>
                <w:rFonts w:hint="eastAsia" w:ascii="宋体" w:hAnsi="宋体" w:eastAsia="宋体" w:cs="宋体"/>
                <w:kern w:val="0"/>
                <w:szCs w:val="21"/>
              </w:rPr>
              <w:t>。</w:t>
            </w:r>
          </w:p>
          <w:p w14:paraId="1DD200BF">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u w:val="none"/>
              </w:rPr>
              <w:t>招标人有权对投标人提供的资料进行核实，若发现弄虚作假，</w:t>
            </w:r>
            <w:r>
              <w:rPr>
                <w:rFonts w:hint="eastAsia" w:ascii="宋体" w:hAnsi="宋体" w:eastAsia="宋体" w:cs="宋体"/>
                <w:color w:val="auto"/>
                <w:szCs w:val="21"/>
                <w:highlight w:val="none"/>
                <w:u w:val="none"/>
                <w:lang w:val="en-US" w:eastAsia="zh-CN"/>
              </w:rPr>
              <w:t>按相关规定</w:t>
            </w:r>
            <w:r>
              <w:rPr>
                <w:rFonts w:hint="eastAsia" w:ascii="宋体" w:hAnsi="宋体" w:eastAsia="宋体" w:cs="宋体"/>
                <w:szCs w:val="21"/>
                <w:u w:val="none"/>
              </w:rPr>
              <w:t>取消其中标资格，并按相关法律法规报招标投标监督部门，其投标保证金</w:t>
            </w:r>
            <w:r>
              <w:rPr>
                <w:rFonts w:hint="eastAsia" w:ascii="宋体" w:hAnsi="宋体" w:eastAsia="宋体" w:cs="宋体"/>
                <w:color w:val="auto"/>
                <w:szCs w:val="21"/>
                <w:highlight w:val="none"/>
                <w:u w:val="none"/>
                <w:lang w:val="en-US" w:eastAsia="zh-CN"/>
              </w:rPr>
              <w:t>以现金形式交纳的</w:t>
            </w:r>
            <w:r>
              <w:rPr>
                <w:rFonts w:hint="eastAsia" w:ascii="宋体" w:hAnsi="宋体" w:eastAsia="宋体" w:cs="宋体"/>
                <w:szCs w:val="21"/>
                <w:u w:val="none"/>
              </w:rPr>
              <w:t>不予退还</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以保函形式交纳的由保函开立人支付保函担保的与投标保证金等额的款项</w:t>
            </w:r>
            <w:r>
              <w:rPr>
                <w:rFonts w:hint="eastAsia" w:ascii="宋体" w:hAnsi="宋体" w:eastAsia="宋体" w:cs="宋体"/>
                <w:szCs w:val="21"/>
                <w:u w:val="none"/>
              </w:rPr>
              <w:t>，投标人承担因此造成的相关责任并赔偿相应损失</w:t>
            </w:r>
            <w:r>
              <w:rPr>
                <w:rFonts w:hint="eastAsia" w:ascii="宋体" w:hAnsi="宋体" w:eastAsia="宋体" w:cs="宋体"/>
                <w:szCs w:val="21"/>
              </w:rPr>
              <w:t>。</w:t>
            </w:r>
          </w:p>
          <w:p w14:paraId="1BC021C6">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（3）本招标文件中所要求的人员养老保险证明要求如下：</w:t>
            </w:r>
          </w:p>
          <w:p w14:paraId="14F4EE89">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①</w:t>
            </w:r>
            <w:r>
              <w:rPr>
                <w:rFonts w:hint="eastAsia" w:ascii="宋体" w:hAnsi="宋体" w:eastAsia="宋体" w:cs="宋体"/>
                <w:bCs/>
                <w:kern w:val="0"/>
                <w:szCs w:val="21"/>
                <w:lang w:val="en-US" w:eastAsia="zh-CN"/>
              </w:rPr>
              <w:t>企业</w:t>
            </w:r>
            <w:r>
              <w:rPr>
                <w:rFonts w:hint="eastAsia" w:ascii="宋体" w:hAnsi="宋体" w:eastAsia="宋体" w:cs="宋体"/>
                <w:bCs/>
                <w:kern w:val="0"/>
                <w:szCs w:val="21"/>
              </w:rPr>
              <w:t>提供养老保险证明，事业单位提供养老保险证明或行政主管部门在编证明。</w:t>
            </w:r>
          </w:p>
          <w:p w14:paraId="7C236039">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Cs/>
                <w:snapToGrid w:val="0"/>
                <w:kern w:val="0"/>
                <w:szCs w:val="21"/>
              </w:rPr>
            </w:pPr>
            <w:r>
              <w:rPr>
                <w:rFonts w:hint="eastAsia" w:ascii="宋体" w:hAnsi="宋体" w:eastAsia="宋体" w:cs="宋体"/>
                <w:bCs/>
                <w:kern w:val="0"/>
                <w:szCs w:val="21"/>
              </w:rPr>
              <w:t>②</w:t>
            </w:r>
            <w:r>
              <w:rPr>
                <w:rFonts w:hint="eastAsia" w:ascii="宋体" w:hAnsi="宋体" w:eastAsia="宋体" w:cs="宋体"/>
                <w:bCs/>
                <w:snapToGrid w:val="0"/>
                <w:kern w:val="0"/>
                <w:szCs w:val="21"/>
                <w:highlight w:val="none"/>
                <w:lang w:val="en-US" w:eastAsia="zh-CN"/>
              </w:rPr>
              <w:t>拟派人员在投标单位</w:t>
            </w:r>
            <w:r>
              <w:rPr>
                <w:rFonts w:hint="eastAsia" w:ascii="宋体" w:hAnsi="宋体" w:eastAsia="宋体" w:cs="宋体"/>
                <w:bCs/>
                <w:snapToGrid w:val="0"/>
                <w:kern w:val="0"/>
                <w:szCs w:val="21"/>
              </w:rPr>
              <w:t>的连续养老保险证明期限</w:t>
            </w:r>
            <w:r>
              <w:rPr>
                <w:rFonts w:hint="eastAsia" w:ascii="宋体" w:hAnsi="宋体" w:eastAsia="宋体" w:cs="宋体"/>
                <w:bCs/>
                <w:snapToGrid w:val="0"/>
                <w:kern w:val="0"/>
                <w:szCs w:val="21"/>
                <w:lang w:val="en-US" w:eastAsia="zh-CN"/>
              </w:rPr>
              <w:t>须包含</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val="en-US" w:eastAsia="zh-CN"/>
              </w:rPr>
              <w:t>2025</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rPr>
              <w:t>年</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val="en-US" w:eastAsia="zh-CN"/>
              </w:rPr>
              <w:t>12</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rPr>
              <w:t>月至</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val="en-US" w:eastAsia="zh-CN"/>
              </w:rPr>
              <w:t>2026</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rPr>
              <w:t>年</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val="en-US" w:eastAsia="zh-CN"/>
              </w:rPr>
              <w:t>5</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rPr>
              <w:t>月</w:t>
            </w:r>
            <w:r>
              <w:rPr>
                <w:rFonts w:hint="eastAsia" w:ascii="宋体" w:hAnsi="宋体" w:eastAsia="宋体" w:cs="宋体"/>
                <w:bCs/>
                <w:szCs w:val="21"/>
              </w:rPr>
              <w:t>。提供的养老保险参保证明须体现</w:t>
            </w:r>
            <w:r>
              <w:rPr>
                <w:rFonts w:hint="eastAsia" w:ascii="宋体" w:hAnsi="宋体" w:eastAsia="宋体" w:cs="宋体"/>
                <w:bCs/>
                <w:szCs w:val="21"/>
                <w:lang w:val="en-US" w:eastAsia="zh-CN"/>
              </w:rPr>
              <w:t>拟派</w:t>
            </w:r>
            <w:r>
              <w:rPr>
                <w:rFonts w:hint="eastAsia" w:ascii="宋体" w:hAnsi="宋体" w:eastAsia="宋体" w:cs="宋体"/>
                <w:bCs/>
                <w:szCs w:val="21"/>
              </w:rPr>
              <w:t>人员的姓名、身份证号（或社保号）、单位名称、</w:t>
            </w:r>
            <w:r>
              <w:rPr>
                <w:rFonts w:hint="eastAsia" w:ascii="宋体" w:hAnsi="宋体" w:eastAsia="宋体" w:cs="宋体"/>
                <w:bCs/>
                <w:szCs w:val="21"/>
                <w:highlight w:val="none"/>
                <w:lang w:val="en-US" w:eastAsia="zh-CN"/>
              </w:rPr>
              <w:t>在</w:t>
            </w:r>
            <w:r>
              <w:rPr>
                <w:rFonts w:hint="eastAsia" w:ascii="宋体" w:hAnsi="宋体" w:eastAsia="宋体" w:cs="宋体"/>
                <w:bCs/>
                <w:szCs w:val="21"/>
                <w:lang w:val="en-US" w:eastAsia="zh-CN"/>
              </w:rPr>
              <w:t>投标单位</w:t>
            </w:r>
            <w:r>
              <w:rPr>
                <w:rFonts w:hint="eastAsia" w:ascii="宋体" w:hAnsi="宋体" w:eastAsia="宋体" w:cs="宋体"/>
                <w:bCs/>
                <w:szCs w:val="21"/>
              </w:rPr>
              <w:t>参保时间（或起始参保时间），并带有社保部门公章或社保部门的有效电子印章。</w:t>
            </w:r>
          </w:p>
        </w:tc>
      </w:tr>
      <w:tr w14:paraId="4748F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248E7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1.4.2</w:t>
            </w:r>
          </w:p>
        </w:tc>
        <w:tc>
          <w:tcPr>
            <w:tcW w:w="1644" w:type="dxa"/>
            <w:vAlign w:val="center"/>
          </w:tcPr>
          <w:p w14:paraId="7104041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是否接受联合体投标</w:t>
            </w:r>
          </w:p>
        </w:tc>
        <w:tc>
          <w:tcPr>
            <w:tcW w:w="6490" w:type="dxa"/>
            <w:vAlign w:val="center"/>
          </w:tcPr>
          <w:p w14:paraId="39008B94">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不接受</w:t>
            </w:r>
          </w:p>
          <w:p w14:paraId="3CE1F695">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□接受，应满足下列要求：</w:t>
            </w:r>
          </w:p>
        </w:tc>
      </w:tr>
      <w:tr w14:paraId="7E6AC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24512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1.9.1</w:t>
            </w:r>
          </w:p>
        </w:tc>
        <w:tc>
          <w:tcPr>
            <w:tcW w:w="1644" w:type="dxa"/>
            <w:vAlign w:val="center"/>
          </w:tcPr>
          <w:p w14:paraId="6FDDCF5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踏勘现场</w:t>
            </w:r>
          </w:p>
        </w:tc>
        <w:tc>
          <w:tcPr>
            <w:tcW w:w="6490" w:type="dxa"/>
            <w:vAlign w:val="center"/>
          </w:tcPr>
          <w:p w14:paraId="20CFA3FF">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不组织</w:t>
            </w:r>
          </w:p>
          <w:p w14:paraId="1D1B43ED">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□组织，集中踏勘时间：</w:t>
            </w:r>
          </w:p>
          <w:p w14:paraId="44E8A30C">
            <w:pPr>
              <w:keepNext w:val="0"/>
              <w:keepLines w:val="0"/>
              <w:pageBreakBefore w:val="0"/>
              <w:kinsoku/>
              <w:wordWrap/>
              <w:overflowPunct/>
              <w:topLinePunct w:val="0"/>
              <w:bidi w:val="0"/>
              <w:snapToGrid w:val="0"/>
              <w:spacing w:line="400" w:lineRule="exact"/>
              <w:ind w:firstLine="1260" w:firstLineChars="600"/>
              <w:textAlignment w:val="auto"/>
              <w:rPr>
                <w:rFonts w:hint="eastAsia" w:ascii="宋体" w:hAnsi="宋体" w:eastAsia="宋体" w:cs="宋体"/>
                <w:kern w:val="0"/>
                <w:szCs w:val="21"/>
              </w:rPr>
            </w:pPr>
            <w:r>
              <w:rPr>
                <w:rFonts w:hint="eastAsia" w:ascii="宋体" w:hAnsi="宋体" w:eastAsia="宋体" w:cs="宋体"/>
                <w:kern w:val="0"/>
                <w:szCs w:val="21"/>
              </w:rPr>
              <w:t>集中踏勘地点：</w:t>
            </w:r>
          </w:p>
        </w:tc>
      </w:tr>
      <w:tr w14:paraId="3CC09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09EB69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1.10.1</w:t>
            </w:r>
          </w:p>
        </w:tc>
        <w:tc>
          <w:tcPr>
            <w:tcW w:w="1644" w:type="dxa"/>
            <w:vAlign w:val="center"/>
          </w:tcPr>
          <w:p w14:paraId="575E5C7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投标预备会</w:t>
            </w:r>
          </w:p>
        </w:tc>
        <w:tc>
          <w:tcPr>
            <w:tcW w:w="6490" w:type="dxa"/>
            <w:vAlign w:val="center"/>
          </w:tcPr>
          <w:p w14:paraId="6072EBE5">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不召开</w:t>
            </w:r>
          </w:p>
          <w:p w14:paraId="561FFF14">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□召开，召开时间：</w:t>
            </w:r>
          </w:p>
          <w:p w14:paraId="0E4D1366">
            <w:pPr>
              <w:keepNext w:val="0"/>
              <w:keepLines w:val="0"/>
              <w:pageBreakBefore w:val="0"/>
              <w:kinsoku/>
              <w:wordWrap/>
              <w:overflowPunct/>
              <w:topLinePunct w:val="0"/>
              <w:bidi w:val="0"/>
              <w:snapToGrid w:val="0"/>
              <w:spacing w:line="400" w:lineRule="exact"/>
              <w:ind w:firstLine="1260" w:firstLineChars="600"/>
              <w:textAlignment w:val="auto"/>
              <w:rPr>
                <w:rFonts w:hint="eastAsia" w:ascii="宋体" w:hAnsi="宋体" w:eastAsia="宋体" w:cs="宋体"/>
                <w:kern w:val="0"/>
                <w:szCs w:val="21"/>
              </w:rPr>
            </w:pPr>
            <w:r>
              <w:rPr>
                <w:rFonts w:hint="eastAsia" w:ascii="宋体" w:hAnsi="宋体" w:eastAsia="宋体" w:cs="宋体"/>
                <w:kern w:val="0"/>
                <w:szCs w:val="21"/>
              </w:rPr>
              <w:t>召开地点：</w:t>
            </w:r>
          </w:p>
        </w:tc>
      </w:tr>
      <w:tr w14:paraId="69CFF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4AF6C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1.11</w:t>
            </w:r>
          </w:p>
        </w:tc>
        <w:tc>
          <w:tcPr>
            <w:tcW w:w="1644" w:type="dxa"/>
            <w:vAlign w:val="center"/>
          </w:tcPr>
          <w:p w14:paraId="400AB0D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分包</w:t>
            </w:r>
          </w:p>
        </w:tc>
        <w:tc>
          <w:tcPr>
            <w:tcW w:w="6490" w:type="dxa"/>
            <w:vAlign w:val="center"/>
          </w:tcPr>
          <w:p w14:paraId="03329A4A">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不允许</w:t>
            </w:r>
          </w:p>
          <w:p w14:paraId="391668CE">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□允许，分包内容要求：</w:t>
            </w:r>
          </w:p>
          <w:p w14:paraId="24C04799">
            <w:pPr>
              <w:keepNext w:val="0"/>
              <w:keepLines w:val="0"/>
              <w:pageBreakBefore w:val="0"/>
              <w:kinsoku/>
              <w:wordWrap/>
              <w:overflowPunct/>
              <w:topLinePunct w:val="0"/>
              <w:bidi w:val="0"/>
              <w:snapToGrid w:val="0"/>
              <w:spacing w:line="400" w:lineRule="exact"/>
              <w:ind w:firstLine="1260" w:firstLineChars="600"/>
              <w:textAlignment w:val="auto"/>
              <w:rPr>
                <w:rFonts w:hint="eastAsia" w:ascii="宋体" w:hAnsi="宋体" w:eastAsia="宋体" w:cs="宋体"/>
              </w:rPr>
            </w:pPr>
            <w:r>
              <w:rPr>
                <w:rFonts w:hint="eastAsia" w:ascii="宋体" w:hAnsi="宋体" w:eastAsia="宋体" w:cs="宋体"/>
              </w:rPr>
              <w:t>分包金额要求：</w:t>
            </w:r>
          </w:p>
          <w:p w14:paraId="14E9725F">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rPr>
            </w:pPr>
            <w:r>
              <w:rPr>
                <w:rFonts w:hint="eastAsia" w:ascii="宋体" w:hAnsi="宋体" w:eastAsia="宋体" w:cs="宋体"/>
              </w:rPr>
              <w:t>接受分包的第三人资质要求：</w:t>
            </w:r>
          </w:p>
          <w:p w14:paraId="2F319A29">
            <w:pPr>
              <w:pStyle w:val="2"/>
              <w:keepNext w:val="0"/>
              <w:keepLines w:val="0"/>
              <w:pageBreakBefore w:val="0"/>
              <w:kinsoku/>
              <w:wordWrap/>
              <w:overflowPunct/>
              <w:topLinePunct w:val="0"/>
              <w:bidi w:val="0"/>
              <w:spacing w:after="0" w:line="400" w:lineRule="exact"/>
              <w:textAlignment w:val="auto"/>
              <w:rPr>
                <w:rFonts w:hint="eastAsia" w:ascii="宋体" w:hAnsi="宋体" w:eastAsia="宋体" w:cs="宋体"/>
              </w:rPr>
            </w:pPr>
            <w:r>
              <w:rPr>
                <w:rFonts w:hint="eastAsia" w:ascii="宋体" w:hAnsi="宋体" w:eastAsia="宋体" w:cs="宋体"/>
              </w:rPr>
              <w:t>注：分包应按照相关法律法规及规范性文件执行，不得违法分包。</w:t>
            </w:r>
          </w:p>
        </w:tc>
      </w:tr>
      <w:tr w14:paraId="3F41C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6A119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2.1</w:t>
            </w:r>
          </w:p>
        </w:tc>
        <w:tc>
          <w:tcPr>
            <w:tcW w:w="1644" w:type="dxa"/>
            <w:vAlign w:val="center"/>
          </w:tcPr>
          <w:p w14:paraId="26776C1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构成招标文件的其他材料</w:t>
            </w:r>
          </w:p>
        </w:tc>
        <w:tc>
          <w:tcPr>
            <w:tcW w:w="6490" w:type="dxa"/>
            <w:vAlign w:val="center"/>
          </w:tcPr>
          <w:p w14:paraId="3A0D8962">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招标人发出的澄清及修改</w:t>
            </w:r>
          </w:p>
        </w:tc>
      </w:tr>
      <w:tr w14:paraId="5B7F2E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35ABF0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2.2.1</w:t>
            </w:r>
          </w:p>
        </w:tc>
        <w:tc>
          <w:tcPr>
            <w:tcW w:w="1644" w:type="dxa"/>
            <w:tcBorders>
              <w:bottom w:val="single" w:color="auto" w:sz="4" w:space="0"/>
            </w:tcBorders>
            <w:vAlign w:val="center"/>
          </w:tcPr>
          <w:p w14:paraId="3A99A35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投标人对招标文件提出疑问的截止时间</w:t>
            </w:r>
          </w:p>
        </w:tc>
        <w:tc>
          <w:tcPr>
            <w:tcW w:w="6490" w:type="dxa"/>
            <w:vAlign w:val="center"/>
          </w:tcPr>
          <w:p w14:paraId="5B36EA98">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投标人应仔细阅读招标文件及附件的所有内容，如有文字表述不清，图纸尺寸标注不明以及存在错、漏、缺、概念模糊和有可能出现歧义或理解上的偏差的内容等应在招标公告规定的时间前在本项目招标公告网页下方“我要提问”栏提交。</w:t>
            </w:r>
          </w:p>
        </w:tc>
      </w:tr>
      <w:tr w14:paraId="18EDE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5" w:type="dxa"/>
            <w:vMerge w:val="restart"/>
            <w:vAlign w:val="center"/>
          </w:tcPr>
          <w:p w14:paraId="4658DF3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2.2.2</w:t>
            </w:r>
          </w:p>
        </w:tc>
        <w:tc>
          <w:tcPr>
            <w:tcW w:w="1644" w:type="dxa"/>
            <w:tcBorders>
              <w:top w:val="single" w:color="auto" w:sz="4" w:space="0"/>
            </w:tcBorders>
            <w:vAlign w:val="center"/>
          </w:tcPr>
          <w:p w14:paraId="690B2A8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招标人对招标文件澄清的截止时间</w:t>
            </w:r>
          </w:p>
        </w:tc>
        <w:tc>
          <w:tcPr>
            <w:tcW w:w="6490" w:type="dxa"/>
            <w:vAlign w:val="center"/>
          </w:tcPr>
          <w:p w14:paraId="4281A78B">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napToGrid w:val="0"/>
                <w:kern w:val="0"/>
                <w:szCs w:val="21"/>
              </w:rPr>
            </w:pPr>
            <w:r>
              <w:rPr>
                <w:rFonts w:hint="eastAsia" w:ascii="宋体" w:hAnsi="宋体" w:eastAsia="宋体" w:cs="宋体"/>
                <w:szCs w:val="21"/>
              </w:rPr>
              <w:t>招标人应在招标公告规定的时间前，</w:t>
            </w:r>
            <w:r>
              <w:rPr>
                <w:rFonts w:hint="eastAsia" w:ascii="宋体" w:hAnsi="宋体" w:eastAsia="宋体" w:cs="宋体"/>
                <w:kern w:val="0"/>
                <w:szCs w:val="21"/>
              </w:rPr>
              <w:t>在</w:t>
            </w:r>
            <w:r>
              <w:rPr>
                <w:rFonts w:hint="eastAsia" w:ascii="宋体" w:hAnsi="宋体" w:eastAsia="宋体" w:cs="宋体"/>
                <w:kern w:val="0"/>
                <w:szCs w:val="21"/>
                <w:u w:val="single"/>
                <w:lang w:eastAsia="zh-CN"/>
              </w:rPr>
              <w:t xml:space="preserve"> 重庆市公共资源交易网（大足区）（www.cqggzy.com/dazuweb/） </w:t>
            </w:r>
            <w:r>
              <w:rPr>
                <w:rFonts w:hint="eastAsia" w:ascii="宋体" w:hAnsi="宋体" w:eastAsia="宋体" w:cs="宋体"/>
                <w:kern w:val="0"/>
                <w:szCs w:val="21"/>
              </w:rPr>
              <w:t>发布澄清。</w:t>
            </w:r>
          </w:p>
        </w:tc>
      </w:tr>
      <w:tr w14:paraId="0923F3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5" w:type="dxa"/>
            <w:vMerge w:val="continue"/>
            <w:vAlign w:val="center"/>
          </w:tcPr>
          <w:p w14:paraId="4A6A2C7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tc>
        <w:tc>
          <w:tcPr>
            <w:tcW w:w="1644" w:type="dxa"/>
            <w:vAlign w:val="center"/>
          </w:tcPr>
          <w:p w14:paraId="2FA0C0E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投标截止时间</w:t>
            </w:r>
          </w:p>
        </w:tc>
        <w:tc>
          <w:tcPr>
            <w:tcW w:w="6490" w:type="dxa"/>
            <w:vAlign w:val="center"/>
          </w:tcPr>
          <w:p w14:paraId="24FC3FAB">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u w:val="single"/>
              </w:rPr>
            </w:pPr>
            <w:r>
              <w:rPr>
                <w:rFonts w:hint="eastAsia" w:ascii="宋体" w:hAnsi="宋体" w:eastAsia="宋体" w:cs="宋体"/>
                <w:szCs w:val="21"/>
              </w:rPr>
              <w:t>详见招标公告规定的投标截止时间。</w:t>
            </w:r>
          </w:p>
        </w:tc>
      </w:tr>
      <w:tr w14:paraId="036D2C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13226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2.2.3</w:t>
            </w:r>
          </w:p>
        </w:tc>
        <w:tc>
          <w:tcPr>
            <w:tcW w:w="1644" w:type="dxa"/>
            <w:vAlign w:val="center"/>
          </w:tcPr>
          <w:p w14:paraId="229E85F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招标人对招标文件进行修改的时间</w:t>
            </w:r>
          </w:p>
        </w:tc>
        <w:tc>
          <w:tcPr>
            <w:tcW w:w="6490" w:type="dxa"/>
            <w:vAlign w:val="center"/>
          </w:tcPr>
          <w:p w14:paraId="030F223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napToGrid w:val="0"/>
                <w:kern w:val="0"/>
                <w:szCs w:val="21"/>
              </w:rPr>
              <w:t>修改内容可能影响投标文件编制的，须在投标截止时间15日前发布，发布时间至投标截止时间不足15日的，须相应延后投标截止时间。</w:t>
            </w:r>
          </w:p>
        </w:tc>
      </w:tr>
      <w:tr w14:paraId="68599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C5CEF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2.2.4</w:t>
            </w:r>
          </w:p>
        </w:tc>
        <w:tc>
          <w:tcPr>
            <w:tcW w:w="1644" w:type="dxa"/>
            <w:vAlign w:val="center"/>
          </w:tcPr>
          <w:p w14:paraId="534236B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投标人对招标文件及澄清修改提出异议的截止时间</w:t>
            </w:r>
          </w:p>
        </w:tc>
        <w:tc>
          <w:tcPr>
            <w:tcW w:w="6490" w:type="dxa"/>
            <w:vAlign w:val="center"/>
          </w:tcPr>
          <w:p w14:paraId="2C64D8D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投标人对招标文件和澄清修改有异议的，应当在投标截止时间10日前，</w:t>
            </w:r>
            <w:bookmarkStart w:id="103" w:name="OLE_LINK7"/>
            <w:r>
              <w:rPr>
                <w:rFonts w:hint="eastAsia" w:ascii="宋体" w:hAnsi="宋体" w:eastAsia="宋体" w:cs="宋体"/>
                <w:snapToGrid w:val="0"/>
                <w:kern w:val="0"/>
                <w:szCs w:val="21"/>
              </w:rPr>
              <w:t>以书面形式</w:t>
            </w:r>
            <w:r>
              <w:rPr>
                <w:rFonts w:hint="eastAsia" w:ascii="宋体" w:hAnsi="宋体" w:eastAsia="宋体" w:cs="宋体"/>
                <w:snapToGrid w:val="0"/>
                <w:kern w:val="0"/>
                <w:szCs w:val="21"/>
                <w:lang w:val="en-US" w:eastAsia="zh-CN"/>
              </w:rPr>
              <w:t>向</w:t>
            </w:r>
            <w:r>
              <w:rPr>
                <w:rFonts w:hint="eastAsia" w:ascii="宋体" w:hAnsi="宋体" w:eastAsia="宋体" w:cs="宋体"/>
                <w:snapToGrid w:val="0"/>
                <w:kern w:val="0"/>
                <w:szCs w:val="21"/>
              </w:rPr>
              <w:t>招标人或招标代理机构</w:t>
            </w:r>
            <w:r>
              <w:rPr>
                <w:rFonts w:hint="eastAsia" w:ascii="宋体" w:hAnsi="宋体" w:eastAsia="宋体" w:cs="宋体"/>
                <w:snapToGrid w:val="0"/>
                <w:kern w:val="0"/>
                <w:szCs w:val="21"/>
                <w:lang w:val="en-US" w:eastAsia="zh-CN"/>
              </w:rPr>
              <w:t>提出</w:t>
            </w:r>
            <w:bookmarkEnd w:id="103"/>
            <w:r>
              <w:rPr>
                <w:rFonts w:hint="eastAsia" w:ascii="宋体" w:hAnsi="宋体" w:eastAsia="宋体" w:cs="宋体"/>
                <w:snapToGrid w:val="0"/>
                <w:kern w:val="0"/>
                <w:szCs w:val="21"/>
              </w:rPr>
              <w:t>。招标人应当自收到异议之日起3日内做出答复，答复内容可能影响投标文件编制的，将以修改的形式于投标截止时间15日前在</w:t>
            </w:r>
            <w:r>
              <w:rPr>
                <w:rFonts w:hint="eastAsia" w:ascii="宋体" w:hAnsi="宋体" w:eastAsia="宋体" w:cs="宋体"/>
                <w:snapToGrid w:val="0"/>
                <w:kern w:val="0"/>
                <w:szCs w:val="21"/>
                <w:u w:val="single"/>
                <w:lang w:eastAsia="zh-CN"/>
              </w:rPr>
              <w:t xml:space="preserve"> 重庆市公共资源交易网（大足区）（www.cqggzy.com/dazuweb/） </w:t>
            </w:r>
            <w:r>
              <w:rPr>
                <w:rFonts w:hint="eastAsia" w:ascii="宋体" w:hAnsi="宋体" w:eastAsia="宋体" w:cs="宋体"/>
                <w:snapToGrid w:val="0"/>
                <w:kern w:val="0"/>
                <w:szCs w:val="21"/>
              </w:rPr>
              <w:t>澄清修改区发布，发布时间至投标截止时间不足15日的，须相应延后投标截止时间。</w:t>
            </w:r>
          </w:p>
        </w:tc>
      </w:tr>
      <w:tr w14:paraId="3B26A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1E274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3.1.1</w:t>
            </w:r>
          </w:p>
        </w:tc>
        <w:tc>
          <w:tcPr>
            <w:tcW w:w="1644" w:type="dxa"/>
            <w:vAlign w:val="center"/>
          </w:tcPr>
          <w:p w14:paraId="331912E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构成投标文件的其他材料</w:t>
            </w:r>
          </w:p>
        </w:tc>
        <w:tc>
          <w:tcPr>
            <w:tcW w:w="6490" w:type="dxa"/>
            <w:vAlign w:val="center"/>
          </w:tcPr>
          <w:p w14:paraId="6979CD2D">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投标人的书面澄清、说明和补正（但不得改变投标文件的实质性内容）</w:t>
            </w:r>
          </w:p>
        </w:tc>
      </w:tr>
      <w:tr w14:paraId="1A7BD1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B9380C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3.2</w:t>
            </w:r>
          </w:p>
        </w:tc>
        <w:tc>
          <w:tcPr>
            <w:tcW w:w="1644" w:type="dxa"/>
            <w:vAlign w:val="center"/>
          </w:tcPr>
          <w:p w14:paraId="74111C6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投标报价</w:t>
            </w:r>
          </w:p>
        </w:tc>
        <w:tc>
          <w:tcPr>
            <w:tcW w:w="6490" w:type="dxa"/>
            <w:vAlign w:val="center"/>
          </w:tcPr>
          <w:p w14:paraId="2FA5F672">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1.使用</w:t>
            </w:r>
            <w:r>
              <w:rPr>
                <w:rFonts w:hint="eastAsia" w:ascii="宋体" w:hAnsi="宋体" w:eastAsia="宋体" w:cs="宋体"/>
                <w:szCs w:val="21"/>
                <w:lang w:val="en-US" w:eastAsia="zh-CN"/>
              </w:rPr>
              <w:t>财政资金或</w:t>
            </w:r>
            <w:r>
              <w:rPr>
                <w:rFonts w:hint="eastAsia" w:ascii="宋体" w:hAnsi="宋体" w:eastAsia="宋体" w:cs="宋体"/>
                <w:szCs w:val="21"/>
              </w:rPr>
              <w:t>国有资金投资的建设工程，</w:t>
            </w:r>
            <w:r>
              <w:rPr>
                <w:rFonts w:hint="eastAsia" w:ascii="宋体" w:hAnsi="宋体" w:eastAsia="宋体" w:cs="宋体"/>
                <w:szCs w:val="21"/>
                <w:lang w:val="en-US" w:eastAsia="zh-CN"/>
              </w:rPr>
              <w:t>应按国家及行业工程量计算标准编制工程量清单</w:t>
            </w:r>
            <w:r>
              <w:rPr>
                <w:rFonts w:hint="eastAsia" w:ascii="宋体" w:hAnsi="宋体" w:eastAsia="宋体" w:cs="宋体"/>
                <w:szCs w:val="21"/>
                <w:lang w:eastAsia="zh-CN"/>
              </w:rPr>
              <w:t>，</w:t>
            </w:r>
            <w:r>
              <w:rPr>
                <w:rFonts w:hint="eastAsia" w:ascii="宋体" w:hAnsi="宋体" w:eastAsia="宋体" w:cs="宋体"/>
                <w:szCs w:val="21"/>
                <w:lang w:val="en-US" w:eastAsia="zh-CN"/>
              </w:rPr>
              <w:t>采用工程量清单计价</w:t>
            </w:r>
            <w:r>
              <w:rPr>
                <w:rFonts w:hint="eastAsia" w:ascii="宋体" w:hAnsi="宋体" w:eastAsia="宋体" w:cs="宋体"/>
                <w:szCs w:val="21"/>
              </w:rPr>
              <w:t>。</w:t>
            </w:r>
          </w:p>
          <w:p w14:paraId="7564BBA9">
            <w:pPr>
              <w:pStyle w:val="2"/>
              <w:keepNext w:val="0"/>
              <w:keepLines w:val="0"/>
              <w:pageBreakBefore w:val="0"/>
              <w:tabs>
                <w:tab w:val="left" w:pos="546"/>
                <w:tab w:val="left" w:pos="711"/>
              </w:tabs>
              <w:kinsoku/>
              <w:wordWrap/>
              <w:overflowPunct/>
              <w:topLinePunct w:val="0"/>
              <w:bidi w:val="0"/>
              <w:snapToGrid w:val="0"/>
              <w:spacing w:after="0" w:line="400" w:lineRule="exact"/>
              <w:ind w:left="6" w:leftChars="3" w:firstLine="420" w:firstLineChars="200"/>
              <w:textAlignment w:val="auto"/>
              <w:rPr>
                <w:rFonts w:hint="eastAsia" w:ascii="宋体" w:hAnsi="宋体" w:eastAsia="宋体" w:cs="宋体"/>
                <w:szCs w:val="21"/>
              </w:rPr>
            </w:pPr>
            <w:r>
              <w:rPr>
                <w:rFonts w:hint="eastAsia" w:ascii="宋体" w:hAnsi="宋体" w:eastAsia="宋体" w:cs="宋体"/>
                <w:szCs w:val="21"/>
              </w:rPr>
              <w:t>2.投标人应按</w:t>
            </w:r>
            <w:r>
              <w:rPr>
                <w:rFonts w:hint="eastAsia" w:ascii="宋体" w:hAnsi="宋体" w:eastAsia="宋体" w:cs="宋体"/>
                <w:szCs w:val="21"/>
                <w:lang w:val="en-US" w:eastAsia="zh-CN"/>
              </w:rPr>
              <w:t>照住房城乡建设行业主管部门相关规定</w:t>
            </w:r>
            <w:r>
              <w:rPr>
                <w:rFonts w:hint="eastAsia" w:ascii="宋体" w:hAnsi="宋体" w:eastAsia="宋体" w:cs="宋体"/>
                <w:szCs w:val="21"/>
              </w:rPr>
              <w:t>和第五章“工程量清单”的要求填写相应清单表格。投标人的投标报价应是本章投标人须知前附表第1.3.1项中所述的本工程合同段招标范围内的全部工程的投标报价，并以投标人在工程量清单中提出的单价或总价为依据。</w:t>
            </w:r>
          </w:p>
          <w:p w14:paraId="4E5B02A2">
            <w:pPr>
              <w:keepNext w:val="0"/>
              <w:keepLines w:val="0"/>
              <w:pageBreakBefore w:val="0"/>
              <w:tabs>
                <w:tab w:val="left" w:pos="546"/>
                <w:tab w:val="left" w:pos="711"/>
              </w:tabs>
              <w:kinsoku/>
              <w:wordWrap/>
              <w:overflowPunct/>
              <w:topLinePunct w:val="0"/>
              <w:bidi w:val="0"/>
              <w:snapToGrid w:val="0"/>
              <w:spacing w:line="400" w:lineRule="exact"/>
              <w:ind w:left="6" w:leftChars="3" w:firstLine="420" w:firstLineChars="200"/>
              <w:textAlignment w:val="auto"/>
              <w:rPr>
                <w:rFonts w:hint="eastAsia" w:ascii="宋体" w:hAnsi="宋体" w:eastAsia="宋体" w:cs="宋体"/>
                <w:szCs w:val="21"/>
              </w:rPr>
            </w:pPr>
            <w:r>
              <w:rPr>
                <w:rFonts w:hint="eastAsia" w:ascii="宋体" w:hAnsi="宋体" w:eastAsia="宋体" w:cs="宋体"/>
                <w:szCs w:val="21"/>
              </w:rPr>
              <w:t>3.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由评标委员会作否决投标处理。</w:t>
            </w:r>
          </w:p>
          <w:p w14:paraId="4ABCF4C6">
            <w:pPr>
              <w:keepNext w:val="0"/>
              <w:keepLines w:val="0"/>
              <w:pageBreakBefore w:val="0"/>
              <w:tabs>
                <w:tab w:val="left" w:pos="546"/>
                <w:tab w:val="left" w:pos="711"/>
              </w:tabs>
              <w:kinsoku/>
              <w:wordWrap/>
              <w:overflowPunct/>
              <w:topLinePunct w:val="0"/>
              <w:bidi w:val="0"/>
              <w:snapToGrid w:val="0"/>
              <w:spacing w:line="400" w:lineRule="exact"/>
              <w:ind w:left="6" w:leftChars="3" w:firstLine="420" w:firstLineChars="200"/>
              <w:textAlignment w:val="auto"/>
              <w:rPr>
                <w:rFonts w:hint="eastAsia" w:ascii="宋体" w:hAnsi="宋体" w:eastAsia="宋体" w:cs="宋体"/>
                <w:szCs w:val="21"/>
              </w:rPr>
            </w:pPr>
            <w:r>
              <w:rPr>
                <w:rFonts w:hint="eastAsia" w:ascii="宋体" w:hAnsi="宋体" w:eastAsia="宋体" w:cs="宋体"/>
                <w:szCs w:val="21"/>
              </w:rPr>
              <w:t>注：评标过程中，评标委员会可以运用评标系统辅助工具对投标人投标工程量清单进行清标。当清标结果显红时，评标委员会应深入了解显红的原因后，对照招标文件否决投标情况一览表的规定，对确实不满足招标文件相关要求的，方可作否决投标处理。</w:t>
            </w:r>
          </w:p>
          <w:p w14:paraId="60033AD7">
            <w:pPr>
              <w:keepNext w:val="0"/>
              <w:keepLines w:val="0"/>
              <w:pageBreakBefore w:val="0"/>
              <w:tabs>
                <w:tab w:val="left" w:pos="546"/>
                <w:tab w:val="left" w:pos="711"/>
              </w:tabs>
              <w:kinsoku/>
              <w:wordWrap/>
              <w:overflowPunct/>
              <w:topLinePunct w:val="0"/>
              <w:bidi w:val="0"/>
              <w:snapToGrid w:val="0"/>
              <w:spacing w:line="400" w:lineRule="exact"/>
              <w:ind w:left="6" w:leftChars="3" w:firstLine="420" w:firstLineChars="200"/>
              <w:textAlignment w:val="auto"/>
              <w:rPr>
                <w:rFonts w:hint="eastAsia" w:ascii="宋体" w:hAnsi="宋体" w:eastAsia="宋体" w:cs="宋体"/>
                <w:szCs w:val="21"/>
              </w:rPr>
            </w:pPr>
            <w:r>
              <w:rPr>
                <w:rFonts w:hint="eastAsia" w:ascii="宋体" w:hAnsi="宋体" w:eastAsia="宋体" w:cs="宋体"/>
                <w:szCs w:val="21"/>
              </w:rPr>
              <w:t>4.投标函中的总报价与已标价工程量清单总报价</w:t>
            </w:r>
            <w:r>
              <w:rPr>
                <w:rFonts w:hint="eastAsia" w:ascii="宋体" w:hAnsi="宋体" w:eastAsia="宋体" w:cs="宋体"/>
                <w:szCs w:val="21"/>
                <w:lang w:val="en-US" w:eastAsia="zh-CN"/>
              </w:rPr>
              <w:t>不</w:t>
            </w:r>
            <w:r>
              <w:rPr>
                <w:rFonts w:hint="eastAsia" w:ascii="宋体" w:hAnsi="宋体" w:eastAsia="宋体" w:cs="宋体"/>
                <w:szCs w:val="21"/>
              </w:rPr>
              <w:t>一致</w:t>
            </w:r>
            <w:r>
              <w:rPr>
                <w:rFonts w:hint="eastAsia" w:ascii="宋体" w:hAnsi="宋体" w:eastAsia="宋体" w:cs="宋体"/>
                <w:szCs w:val="21"/>
                <w:lang w:eastAsia="zh-CN"/>
              </w:rPr>
              <w:t>，</w:t>
            </w:r>
            <w:r>
              <w:rPr>
                <w:rFonts w:hint="eastAsia" w:ascii="宋体" w:hAnsi="宋体" w:eastAsia="宋体" w:cs="宋体"/>
                <w:szCs w:val="21"/>
                <w:lang w:val="en-US" w:eastAsia="zh-CN"/>
              </w:rPr>
              <w:t>或</w:t>
            </w:r>
            <w:r>
              <w:rPr>
                <w:rFonts w:hint="eastAsia" w:ascii="宋体" w:hAnsi="宋体" w:eastAsia="宋体" w:cs="宋体"/>
                <w:szCs w:val="21"/>
              </w:rPr>
              <w:t>工程量清单总报价与依据单价、工程数量、分部分项工程合价计算出的结果</w:t>
            </w:r>
            <w:r>
              <w:rPr>
                <w:rFonts w:hint="eastAsia" w:ascii="宋体" w:hAnsi="宋体" w:eastAsia="宋体" w:cs="宋体"/>
                <w:szCs w:val="21"/>
                <w:lang w:val="en-US" w:eastAsia="zh-CN"/>
              </w:rPr>
              <w:t>不</w:t>
            </w:r>
            <w:r>
              <w:rPr>
                <w:rFonts w:hint="eastAsia" w:ascii="宋体" w:hAnsi="宋体" w:eastAsia="宋体" w:cs="宋体"/>
                <w:szCs w:val="21"/>
              </w:rPr>
              <w:t>一致，由评标委员会作否决投标处理</w:t>
            </w:r>
            <w:r>
              <w:rPr>
                <w:rFonts w:hint="eastAsia" w:ascii="宋体" w:hAnsi="宋体" w:eastAsia="宋体" w:cs="宋体"/>
                <w:szCs w:val="21"/>
                <w:lang w:eastAsia="zh-CN"/>
              </w:rPr>
              <w:t>（</w:t>
            </w:r>
            <w:r>
              <w:rPr>
                <w:rFonts w:hint="eastAsia" w:ascii="宋体" w:hAnsi="宋体" w:eastAsia="宋体" w:cs="宋体"/>
                <w:szCs w:val="21"/>
                <w:lang w:val="en-US" w:eastAsia="zh-CN"/>
              </w:rPr>
              <w:t>如有</w:t>
            </w:r>
            <w:r>
              <w:rPr>
                <w:rFonts w:hint="eastAsia" w:ascii="宋体" w:hAnsi="宋体" w:eastAsia="宋体" w:cs="宋体"/>
                <w:szCs w:val="21"/>
                <w:lang w:eastAsia="zh-CN"/>
              </w:rPr>
              <w:t>）</w:t>
            </w:r>
            <w:r>
              <w:rPr>
                <w:rFonts w:hint="eastAsia" w:ascii="宋体" w:hAnsi="宋体" w:eastAsia="宋体" w:cs="宋体"/>
                <w:szCs w:val="21"/>
              </w:rPr>
              <w:t>。</w:t>
            </w:r>
          </w:p>
          <w:p w14:paraId="14F65495">
            <w:pPr>
              <w:pStyle w:val="2"/>
              <w:keepNext w:val="0"/>
              <w:keepLines w:val="0"/>
              <w:pageBreakBefore w:val="0"/>
              <w:tabs>
                <w:tab w:val="left" w:pos="546"/>
                <w:tab w:val="left" w:pos="711"/>
              </w:tabs>
              <w:kinsoku/>
              <w:wordWrap/>
              <w:overflowPunct/>
              <w:topLinePunct w:val="0"/>
              <w:bidi w:val="0"/>
              <w:snapToGrid w:val="0"/>
              <w:spacing w:after="0" w:line="400" w:lineRule="exact"/>
              <w:ind w:left="6" w:leftChars="3" w:firstLine="420" w:firstLineChars="200"/>
              <w:textAlignment w:val="auto"/>
              <w:rPr>
                <w:rFonts w:hint="eastAsia" w:ascii="宋体" w:hAnsi="宋体" w:eastAsia="宋体" w:cs="宋体"/>
                <w:szCs w:val="21"/>
              </w:rPr>
            </w:pPr>
            <w:r>
              <w:rPr>
                <w:rFonts w:hint="eastAsia" w:ascii="宋体" w:hAnsi="宋体" w:eastAsia="宋体" w:cs="宋体"/>
                <w:szCs w:val="21"/>
              </w:rPr>
              <w:t>5.</w:t>
            </w:r>
            <w:r>
              <w:rPr>
                <w:rFonts w:hint="eastAsia" w:ascii="宋体" w:hAnsi="宋体" w:eastAsia="宋体" w:cs="宋体"/>
                <w:szCs w:val="21"/>
                <w:u w:val="single"/>
              </w:rPr>
              <w:t>（1）在合同实施期间，单价和总价按专用合同条款第11条的规定可调整。</w:t>
            </w:r>
          </w:p>
          <w:p w14:paraId="36835E12">
            <w:pPr>
              <w:pStyle w:val="2"/>
              <w:keepNext w:val="0"/>
              <w:keepLines w:val="0"/>
              <w:pageBreakBefore w:val="0"/>
              <w:tabs>
                <w:tab w:val="left" w:pos="546"/>
                <w:tab w:val="left" w:pos="711"/>
              </w:tabs>
              <w:kinsoku/>
              <w:wordWrap/>
              <w:overflowPunct/>
              <w:topLinePunct w:val="0"/>
              <w:bidi w:val="0"/>
              <w:snapToGrid w:val="0"/>
              <w:spacing w:after="0" w:line="400" w:lineRule="exact"/>
              <w:ind w:left="6" w:leftChars="3" w:firstLine="420" w:firstLineChars="200"/>
              <w:textAlignment w:val="auto"/>
              <w:rPr>
                <w:rFonts w:hint="eastAsia" w:ascii="宋体" w:hAnsi="宋体" w:eastAsia="宋体" w:cs="宋体"/>
                <w:szCs w:val="21"/>
              </w:rPr>
            </w:pPr>
            <w:r>
              <w:rPr>
                <w:rFonts w:hint="eastAsia" w:ascii="宋体" w:hAnsi="宋体" w:eastAsia="宋体" w:cs="宋体"/>
                <w:szCs w:val="21"/>
              </w:rPr>
              <w:t>（2）增值税计税方法由招标人依据国家税法规定选择：</w:t>
            </w:r>
          </w:p>
          <w:p w14:paraId="13AD1C3D">
            <w:pPr>
              <w:pStyle w:val="2"/>
              <w:keepNext w:val="0"/>
              <w:keepLines w:val="0"/>
              <w:pageBreakBefore w:val="0"/>
              <w:tabs>
                <w:tab w:val="left" w:pos="546"/>
                <w:tab w:val="left" w:pos="711"/>
              </w:tabs>
              <w:kinsoku/>
              <w:wordWrap/>
              <w:overflowPunct/>
              <w:topLinePunct w:val="0"/>
              <w:bidi w:val="0"/>
              <w:snapToGrid w:val="0"/>
              <w:spacing w:after="0" w:line="400" w:lineRule="exact"/>
              <w:ind w:left="6" w:leftChars="3" w:firstLine="420" w:firstLineChars="200"/>
              <w:textAlignment w:val="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一般计税法</w:t>
            </w:r>
          </w:p>
          <w:p w14:paraId="2B539536">
            <w:pPr>
              <w:pStyle w:val="2"/>
              <w:keepNext w:val="0"/>
              <w:keepLines w:val="0"/>
              <w:pageBreakBefore w:val="0"/>
              <w:tabs>
                <w:tab w:val="left" w:pos="546"/>
                <w:tab w:val="left" w:pos="711"/>
              </w:tabs>
              <w:kinsoku/>
              <w:wordWrap/>
              <w:overflowPunct/>
              <w:topLinePunct w:val="0"/>
              <w:bidi w:val="0"/>
              <w:snapToGrid w:val="0"/>
              <w:spacing w:after="0" w:line="400" w:lineRule="exact"/>
              <w:ind w:left="6" w:leftChars="3" w:firstLine="420" w:firstLineChars="200"/>
              <w:textAlignment w:val="auto"/>
              <w:rPr>
                <w:rFonts w:hint="eastAsia" w:ascii="宋体" w:hAnsi="宋体" w:eastAsia="宋体" w:cs="宋体"/>
                <w:szCs w:val="21"/>
              </w:rPr>
            </w:pPr>
            <w:r>
              <w:rPr>
                <w:rFonts w:hint="eastAsia" w:ascii="宋体" w:hAnsi="宋体" w:eastAsia="宋体" w:cs="宋体"/>
                <w:szCs w:val="21"/>
              </w:rPr>
              <w:t>□简易计税法</w:t>
            </w:r>
          </w:p>
          <w:p w14:paraId="76BB8CDC">
            <w:pPr>
              <w:pStyle w:val="2"/>
              <w:keepNext w:val="0"/>
              <w:keepLines w:val="0"/>
              <w:pageBreakBefore w:val="0"/>
              <w:tabs>
                <w:tab w:val="left" w:pos="546"/>
                <w:tab w:val="left" w:pos="711"/>
              </w:tabs>
              <w:kinsoku/>
              <w:wordWrap/>
              <w:overflowPunct/>
              <w:topLinePunct w:val="0"/>
              <w:bidi w:val="0"/>
              <w:snapToGrid w:val="0"/>
              <w:spacing w:after="0" w:line="400" w:lineRule="exact"/>
              <w:ind w:left="6" w:leftChars="3" w:firstLine="420" w:firstLineChars="200"/>
              <w:textAlignment w:val="auto"/>
              <w:rPr>
                <w:rFonts w:hint="eastAsia" w:ascii="宋体" w:hAnsi="宋体" w:eastAsia="宋体" w:cs="宋体"/>
                <w:szCs w:val="21"/>
              </w:rPr>
            </w:pPr>
            <w:r>
              <w:rPr>
                <w:rFonts w:hint="eastAsia" w:ascii="宋体" w:hAnsi="宋体" w:eastAsia="宋体" w:cs="宋体"/>
                <w:szCs w:val="21"/>
              </w:rPr>
              <w:t>6.如发现工程量清单中的数量与图纸中数量不一致，应于本须知第2.2.1项中规定的时间前书面通知招标人核查，除非招标人以修改的形式予以更正，否则，应以工程量清单中列出的数量为准。</w:t>
            </w:r>
          </w:p>
          <w:p w14:paraId="3FDAD4EE">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7.招标人在工程量清单中所列出的暂列金额、暂估价等暂定金额，投标人不得修改，否则由评标委员会作否决投标处理。</w:t>
            </w:r>
          </w:p>
          <w:p w14:paraId="2175CA1E">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8.本工程招标将设置投标总报价最高限价，投标总报价最高限价</w:t>
            </w:r>
            <w:r>
              <w:rPr>
                <w:rFonts w:hint="eastAsia" w:ascii="宋体" w:hAnsi="宋体" w:eastAsia="宋体" w:cs="宋体"/>
                <w:szCs w:val="21"/>
                <w:u w:val="single"/>
              </w:rPr>
              <w:t>最迟应于投标截止日15日前</w:t>
            </w:r>
            <w:r>
              <w:rPr>
                <w:rFonts w:hint="eastAsia" w:ascii="宋体" w:hAnsi="宋体" w:eastAsia="宋体" w:cs="宋体"/>
                <w:szCs w:val="21"/>
              </w:rPr>
              <w:t>发布，投标人的投标总报价不得超过投标总报价最高限价，否则由评标委员会作否决投标处理。</w:t>
            </w:r>
          </w:p>
          <w:p w14:paraId="2CDE56B0">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本工程招标将设置全部清单综合单价最高限价，全部清单综合单价最高限价</w:t>
            </w:r>
            <w:r>
              <w:rPr>
                <w:rFonts w:hint="eastAsia" w:ascii="宋体" w:hAnsi="宋体" w:eastAsia="宋体" w:cs="宋体"/>
                <w:szCs w:val="21"/>
                <w:u w:val="single"/>
              </w:rPr>
              <w:t>最迟应于投标截止日15日前</w:t>
            </w:r>
            <w:r>
              <w:rPr>
                <w:rFonts w:hint="eastAsia" w:ascii="宋体" w:hAnsi="宋体" w:eastAsia="宋体" w:cs="宋体"/>
                <w:szCs w:val="21"/>
              </w:rPr>
              <w:t>发布，投标人的每项清单综合单价报价不得超过每项清单综合单价最高限价，否则由评标委员会作否决投标处理。</w:t>
            </w:r>
          </w:p>
          <w:p w14:paraId="7A752C2F">
            <w:pPr>
              <w:pStyle w:val="2"/>
              <w:keepNext w:val="0"/>
              <w:keepLines w:val="0"/>
              <w:pageBreakBefore w:val="0"/>
              <w:kinsoku/>
              <w:wordWrap/>
              <w:overflowPunct/>
              <w:topLinePunct w:val="0"/>
              <w:bidi w:val="0"/>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9.安全文明施工费：</w:t>
            </w:r>
          </w:p>
          <w:p w14:paraId="113DD49B">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9.1根据</w:t>
            </w:r>
            <w:r>
              <w:rPr>
                <w:rFonts w:hint="eastAsia" w:ascii="宋体" w:hAnsi="宋体" w:eastAsia="宋体" w:cs="宋体"/>
                <w:szCs w:val="21"/>
                <w:lang w:val="en-US" w:eastAsia="zh-CN"/>
              </w:rPr>
              <w:t>住房城乡建设行业主管部门相关</w:t>
            </w:r>
            <w:r>
              <w:rPr>
                <w:rFonts w:hint="eastAsia" w:ascii="宋体" w:hAnsi="宋体" w:eastAsia="宋体" w:cs="宋体"/>
                <w:szCs w:val="21"/>
              </w:rPr>
              <w:t>规定，安全文明施工费由安全施工费、文明施工费、环境保护费及临时设施费组成。</w:t>
            </w:r>
          </w:p>
          <w:p w14:paraId="5A97E724">
            <w:pPr>
              <w:pStyle w:val="84"/>
              <w:keepNext w:val="0"/>
              <w:keepLines w:val="0"/>
              <w:pageBreakBefore w:val="0"/>
              <w:kinsoku/>
              <w:wordWrap/>
              <w:overflowPunct/>
              <w:topLinePunct w:val="0"/>
              <w:bidi w:val="0"/>
              <w:spacing w:line="400" w:lineRule="exact"/>
              <w:ind w:firstLineChars="200"/>
              <w:textAlignment w:val="auto"/>
              <w:rPr>
                <w:rFonts w:hint="eastAsia" w:ascii="宋体" w:hAnsi="宋体" w:eastAsia="宋体" w:cs="宋体"/>
                <w:sz w:val="21"/>
                <w:szCs w:val="21"/>
              </w:rPr>
            </w:pPr>
            <w:r>
              <w:rPr>
                <w:rFonts w:hint="eastAsia" w:ascii="宋体" w:hAnsi="宋体" w:eastAsia="宋体" w:cs="宋体"/>
                <w:sz w:val="21"/>
                <w:szCs w:val="21"/>
              </w:rPr>
              <w:t>9.2本工程安全文明施工费由招标人根据住房城乡建设行业主管部门相关规定和费用标准单列计算，安全文明施工费为暂定金额，与最高限价一起公布。《投标函》中的安全文明施工费</w:t>
            </w:r>
            <w:r>
              <w:rPr>
                <w:rFonts w:hint="eastAsia" w:ascii="宋体" w:hAnsi="宋体" w:eastAsia="宋体" w:cs="宋体"/>
                <w:sz w:val="21"/>
                <w:szCs w:val="21"/>
                <w:lang w:val="en-US" w:eastAsia="zh-CN"/>
              </w:rPr>
              <w:t>金额或工程量清单中安全文明施工费的汇总金额未</w:t>
            </w:r>
            <w:r>
              <w:rPr>
                <w:rFonts w:hint="eastAsia" w:ascii="宋体" w:hAnsi="宋体" w:eastAsia="宋体" w:cs="宋体"/>
                <w:sz w:val="21"/>
                <w:szCs w:val="21"/>
              </w:rPr>
              <w:t>按照招标人给出的暂定金额填报</w:t>
            </w:r>
            <w:r>
              <w:rPr>
                <w:rFonts w:hint="eastAsia" w:ascii="宋体" w:hAnsi="宋体" w:eastAsia="宋体" w:cs="宋体"/>
                <w:sz w:val="21"/>
                <w:szCs w:val="21"/>
                <w:lang w:val="en-US" w:eastAsia="zh-CN"/>
              </w:rPr>
              <w:t>的</w:t>
            </w:r>
            <w:r>
              <w:rPr>
                <w:rFonts w:hint="eastAsia" w:ascii="宋体" w:hAnsi="宋体" w:eastAsia="宋体" w:cs="宋体"/>
                <w:sz w:val="21"/>
                <w:szCs w:val="21"/>
              </w:rPr>
              <w:t>，视为对招标文件不作实质性响应，其投标文件由评标委员会作否决投标处理。注：采用全费用清单计价的项目，安全文明施工费仅针对《投标函》中的安全文明施工费进行评审。</w:t>
            </w:r>
          </w:p>
          <w:p w14:paraId="6008C565">
            <w:pPr>
              <w:keepNext w:val="0"/>
              <w:keepLines w:val="0"/>
              <w:pageBreakBefore w:val="0"/>
              <w:tabs>
                <w:tab w:val="left" w:pos="546"/>
                <w:tab w:val="left" w:pos="711"/>
              </w:tabs>
              <w:kinsoku/>
              <w:wordWrap/>
              <w:overflowPunct/>
              <w:topLinePunct w:val="0"/>
              <w:bidi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10.本工程所需材料（含设备）价格由投标人参照工程造价管理机构发布的工程造价信息（造价信息引用时限为招标公告发布日期前一期），并结合市场行情及自身实力进行自主报价。</w:t>
            </w:r>
          </w:p>
          <w:p w14:paraId="6ECB3681">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szCs w:val="21"/>
                <w:u w:val="single"/>
              </w:rPr>
            </w:pPr>
            <w:r>
              <w:rPr>
                <w:rFonts w:hint="eastAsia" w:ascii="宋体" w:hAnsi="宋体" w:eastAsia="宋体" w:cs="宋体"/>
                <w:szCs w:val="21"/>
              </w:rPr>
              <w:t>11.本项目建筑安装材料价格风险按照住房城乡建设行业主管部门相关</w:t>
            </w:r>
            <w:r>
              <w:rPr>
                <w:rFonts w:hint="eastAsia" w:ascii="宋体" w:hAnsi="宋体" w:eastAsia="宋体" w:cs="宋体"/>
                <w:szCs w:val="21"/>
                <w:lang w:val="en-US" w:eastAsia="zh-CN"/>
              </w:rPr>
              <w:t>规定</w:t>
            </w:r>
            <w:r>
              <w:rPr>
                <w:rFonts w:hint="eastAsia" w:ascii="宋体" w:hAnsi="宋体" w:eastAsia="宋体" w:cs="宋体"/>
                <w:szCs w:val="21"/>
              </w:rPr>
              <w:t>执行。本项目主要材料及设备价格风险内容、范围及调整方法为：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不调整</w:t>
            </w:r>
            <w:r>
              <w:rPr>
                <w:rFonts w:hint="eastAsia" w:ascii="宋体" w:hAnsi="宋体" w:eastAsia="宋体" w:cs="宋体"/>
                <w:szCs w:val="21"/>
                <w:u w:val="single"/>
              </w:rPr>
              <w:t xml:space="preserve"> </w:t>
            </w:r>
          </w:p>
          <w:p w14:paraId="717BEC30">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12.本项目所采用技术、工艺和产品等按照住房城乡建设行业主管部门相关</w:t>
            </w:r>
            <w:r>
              <w:rPr>
                <w:rFonts w:hint="eastAsia" w:ascii="宋体" w:hAnsi="宋体" w:eastAsia="宋体" w:cs="宋体"/>
                <w:szCs w:val="21"/>
                <w:lang w:val="en-US" w:eastAsia="zh-CN"/>
              </w:rPr>
              <w:t>规定</w:t>
            </w:r>
            <w:r>
              <w:rPr>
                <w:rFonts w:hint="eastAsia" w:ascii="宋体" w:hAnsi="宋体" w:eastAsia="宋体" w:cs="宋体"/>
                <w:szCs w:val="21"/>
              </w:rPr>
              <w:t>执行。</w:t>
            </w:r>
          </w:p>
          <w:p w14:paraId="636CB31D">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13.本工程主体结构若需混凝土，则必须使用商品混凝土，不得自建搅拌站。</w:t>
            </w:r>
          </w:p>
          <w:p w14:paraId="0F1BE03B">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i w:val="0"/>
                <w:iCs w:val="0"/>
                <w:szCs w:val="21"/>
                <w:u w:val="none"/>
                <w:lang w:val="en-US" w:eastAsia="zh-CN"/>
              </w:rPr>
            </w:pPr>
            <w:r>
              <w:rPr>
                <w:rFonts w:hint="eastAsia" w:ascii="宋体" w:hAnsi="宋体" w:eastAsia="宋体" w:cs="宋体"/>
                <w:szCs w:val="21"/>
                <w:lang w:val="en-US" w:eastAsia="zh-CN"/>
              </w:rPr>
              <w:t>☑14.异常低价警戒线要求</w:t>
            </w:r>
          </w:p>
          <w:p w14:paraId="71B6B919">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本项目</w:t>
            </w:r>
            <w:r>
              <w:rPr>
                <w:rFonts w:hint="eastAsia" w:ascii="宋体" w:hAnsi="宋体" w:cs="宋体"/>
                <w:szCs w:val="21"/>
                <w:lang w:val="en-US" w:eastAsia="zh-CN"/>
              </w:rPr>
              <w:t>异常低价警戒线要求：</w:t>
            </w:r>
            <w:r>
              <w:rPr>
                <w:rFonts w:hint="eastAsia" w:ascii="宋体" w:hAnsi="宋体" w:cs="宋体"/>
                <w:szCs w:val="21"/>
                <w:u w:val="single"/>
                <w:lang w:val="en-US" w:eastAsia="zh-CN"/>
              </w:rPr>
              <w:t xml:space="preserve"> 最高限价的85% </w:t>
            </w:r>
            <w:r>
              <w:rPr>
                <w:rFonts w:hint="eastAsia" w:ascii="宋体" w:hAnsi="宋体" w:cs="宋体"/>
                <w:szCs w:val="21"/>
                <w:lang w:eastAsia="zh-CN"/>
              </w:rPr>
              <w:t>。</w:t>
            </w:r>
          </w:p>
          <w:p w14:paraId="370506B2">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cs="宋体"/>
                <w:i w:val="0"/>
                <w:iCs w:val="0"/>
                <w:szCs w:val="21"/>
                <w:u w:val="none"/>
                <w:lang w:val="en-US" w:eastAsia="zh-CN"/>
              </w:rPr>
            </w:pPr>
            <w:r>
              <w:rPr>
                <w:rFonts w:hint="eastAsia" w:ascii="宋体" w:hAnsi="宋体" w:cs="宋体"/>
                <w:i w:val="0"/>
                <w:iCs w:val="0"/>
                <w:szCs w:val="21"/>
                <w:u w:val="none"/>
                <w:lang w:val="en-US" w:eastAsia="zh-CN"/>
              </w:rPr>
              <w:t>投标人投标总报价或者部分单项报价低于招标文件规定的对应的异常低价警戒线的，应提供报价合理性说明，</w:t>
            </w:r>
            <w:r>
              <w:rPr>
                <w:rFonts w:hint="eastAsia" w:ascii="宋体" w:hAnsi="宋体" w:cs="宋体"/>
                <w:szCs w:val="21"/>
              </w:rPr>
              <w:t>并提供必要的证明材料</w:t>
            </w:r>
            <w:r>
              <w:rPr>
                <w:rFonts w:hint="eastAsia" w:ascii="宋体" w:hAnsi="宋体" w:cs="宋体"/>
                <w:i w:val="0"/>
                <w:iCs w:val="0"/>
                <w:szCs w:val="21"/>
                <w:u w:val="none"/>
                <w:lang w:val="en-US" w:eastAsia="zh-CN"/>
              </w:rPr>
              <w:t>。投标人提供的说明不得降低或者改变原设计方案、技术工艺、施工标准，不得影响项目的质量、安全、工期、结算等正常履约。</w:t>
            </w:r>
          </w:p>
          <w:p w14:paraId="55C7D1BB">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szCs w:val="21"/>
              </w:rPr>
            </w:pPr>
            <w:r>
              <w:rPr>
                <w:rFonts w:hint="eastAsia" w:ascii="宋体" w:hAnsi="宋体" w:cs="宋体"/>
                <w:i w:val="0"/>
                <w:iCs w:val="0"/>
                <w:szCs w:val="21"/>
                <w:u w:val="none"/>
                <w:lang w:val="en-US" w:eastAsia="zh-CN"/>
              </w:rPr>
              <w:t>投标人投标总报价或者部分单项报价</w:t>
            </w:r>
            <w:r>
              <w:rPr>
                <w:rFonts w:hint="eastAsia" w:ascii="宋体" w:hAnsi="宋体" w:cs="宋体"/>
                <w:szCs w:val="21"/>
              </w:rPr>
              <w:t>低于招标文件</w:t>
            </w:r>
            <w:r>
              <w:rPr>
                <w:rFonts w:hint="eastAsia" w:ascii="宋体" w:hAnsi="宋体" w:cs="宋体"/>
                <w:i w:val="0"/>
                <w:iCs w:val="0"/>
                <w:szCs w:val="21"/>
                <w:u w:val="none"/>
                <w:lang w:val="en-US" w:eastAsia="zh-CN"/>
              </w:rPr>
              <w:t>规定的对应的异常低价警戒线的</w:t>
            </w:r>
            <w:r>
              <w:rPr>
                <w:rFonts w:hint="eastAsia" w:ascii="宋体" w:hAnsi="宋体" w:cs="宋体"/>
                <w:szCs w:val="21"/>
              </w:rPr>
              <w:t>，投标人未提供</w:t>
            </w:r>
            <w:r>
              <w:rPr>
                <w:rFonts w:hint="eastAsia" w:ascii="宋体" w:hAnsi="宋体" w:cs="宋体"/>
                <w:szCs w:val="21"/>
                <w:lang w:val="en-US" w:eastAsia="zh-CN"/>
              </w:rPr>
              <w:t>报价合理性</w:t>
            </w:r>
            <w:r>
              <w:rPr>
                <w:rFonts w:hint="eastAsia" w:ascii="宋体" w:hAnsi="宋体" w:cs="宋体"/>
                <w:szCs w:val="21"/>
              </w:rPr>
              <w:t>说明或者提供的说明不能证明其报价合理性的，</w:t>
            </w:r>
            <w:r>
              <w:rPr>
                <w:rFonts w:hint="eastAsia"/>
              </w:rPr>
              <w:t>由评标委员会作否决投标处理</w:t>
            </w:r>
            <w:r>
              <w:rPr>
                <w:rFonts w:hint="eastAsia" w:ascii="宋体" w:hAnsi="宋体" w:cs="宋体"/>
                <w:szCs w:val="21"/>
              </w:rPr>
              <w:t>。</w:t>
            </w:r>
          </w:p>
          <w:p w14:paraId="4C31A76C">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lang w:eastAsia="zh-CN"/>
              </w:rPr>
            </w:pPr>
            <w:bookmarkStart w:id="104" w:name="OLE_LINK6"/>
            <w:r>
              <w:rPr>
                <w:rFonts w:hint="eastAsia" w:ascii="宋体" w:hAnsi="宋体" w:eastAsia="宋体" w:cs="宋体"/>
                <w:szCs w:val="21"/>
                <w:lang w:eastAsia="zh-CN"/>
              </w:rPr>
              <w:t>☑</w:t>
            </w:r>
            <w:r>
              <w:rPr>
                <w:rFonts w:hint="eastAsia" w:ascii="宋体" w:hAnsi="宋体" w:eastAsia="宋体" w:cs="宋体"/>
                <w:szCs w:val="21"/>
                <w:lang w:val="en-US" w:eastAsia="zh-CN"/>
              </w:rPr>
              <w:t>15.</w:t>
            </w:r>
            <w:r>
              <w:rPr>
                <w:rFonts w:hint="eastAsia" w:ascii="宋体" w:hAnsi="宋体" w:eastAsia="宋体" w:cs="宋体"/>
                <w:kern w:val="0"/>
                <w:szCs w:val="21"/>
                <w:u w:val="none"/>
              </w:rPr>
              <w:t>投标人的</w:t>
            </w:r>
            <w:r>
              <w:rPr>
                <w:rFonts w:hint="eastAsia" w:ascii="宋体" w:hAnsi="宋体" w:eastAsia="宋体" w:cs="宋体"/>
                <w:kern w:val="0"/>
                <w:szCs w:val="21"/>
                <w:u w:val="none"/>
                <w:lang w:val="en-US" w:eastAsia="zh-CN"/>
              </w:rPr>
              <w:t>工程量清单单项报价</w:t>
            </w:r>
            <w:r>
              <w:rPr>
                <w:rFonts w:hint="eastAsia" w:ascii="宋体" w:hAnsi="宋体" w:eastAsia="宋体" w:cs="宋体"/>
                <w:kern w:val="0"/>
                <w:szCs w:val="21"/>
                <w:u w:val="none"/>
              </w:rPr>
              <w:t>不得</w:t>
            </w:r>
            <w:r>
              <w:rPr>
                <w:rFonts w:hint="eastAsia" w:ascii="宋体" w:hAnsi="宋体" w:eastAsia="宋体" w:cs="宋体"/>
                <w:kern w:val="0"/>
                <w:szCs w:val="21"/>
                <w:u w:val="none"/>
                <w:lang w:val="en-US" w:eastAsia="zh-CN"/>
              </w:rPr>
              <w:t>为零报价（招标人提供的工程量清单单项最高限价中金额为零的除外）或者负数报价，否则</w:t>
            </w:r>
            <w:r>
              <w:rPr>
                <w:rFonts w:hint="eastAsia" w:ascii="宋体" w:hAnsi="宋体" w:eastAsia="宋体" w:cs="宋体"/>
              </w:rPr>
              <w:t>由评标委员会作否决投标处理</w:t>
            </w:r>
            <w:r>
              <w:rPr>
                <w:rFonts w:hint="eastAsia" w:ascii="宋体" w:hAnsi="宋体" w:eastAsia="宋体" w:cs="宋体"/>
                <w:lang w:eastAsia="zh-CN"/>
              </w:rPr>
              <w:t>。</w:t>
            </w:r>
            <w:bookmarkEnd w:id="104"/>
          </w:p>
          <w:p w14:paraId="03BEE655">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rPr>
            </w:pPr>
            <w:r>
              <w:rPr>
                <w:rFonts w:hint="eastAsia" w:ascii="宋体" w:hAnsi="宋体" w:eastAsia="宋体" w:cs="宋体"/>
              </w:rPr>
              <w:t>招标人在发出中标通知书前将对中标人的各项报价进行复核，若发现中标人各项报价中存在</w:t>
            </w:r>
            <w:r>
              <w:rPr>
                <w:rFonts w:hint="eastAsia" w:ascii="宋体" w:hAnsi="宋体" w:eastAsia="宋体" w:cs="宋体"/>
                <w:lang w:val="en-US" w:eastAsia="zh-CN"/>
              </w:rPr>
              <w:t>零报价或</w:t>
            </w:r>
            <w:r>
              <w:rPr>
                <w:rFonts w:hint="eastAsia" w:ascii="宋体" w:hAnsi="宋体" w:eastAsia="宋体" w:cs="宋体"/>
              </w:rPr>
              <w:t>负数报价的情形，招标人按相关规定取消其中标资格，其投标保证金不予退还，中标人承担因此造成的相关责任并赔偿相应损失。</w:t>
            </w:r>
          </w:p>
          <w:p w14:paraId="01BC1B8F">
            <w:pPr>
              <w:pStyle w:val="2"/>
              <w:keepNext w:val="0"/>
              <w:keepLines w:val="0"/>
              <w:pageBreakBefore w:val="0"/>
              <w:tabs>
                <w:tab w:val="left" w:pos="546"/>
                <w:tab w:val="left" w:pos="711"/>
              </w:tabs>
              <w:kinsoku/>
              <w:wordWrap/>
              <w:overflowPunct/>
              <w:topLinePunct w:val="0"/>
              <w:bidi w:val="0"/>
              <w:snapToGrid w:val="0"/>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lang w:eastAsia="zh-CN"/>
              </w:rPr>
              <w:t>☑</w:t>
            </w:r>
            <w:r>
              <w:rPr>
                <w:rFonts w:hint="eastAsia" w:ascii="宋体" w:hAnsi="宋体" w:eastAsia="宋体" w:cs="宋体"/>
              </w:rPr>
              <w:t>16.不平衡报价：</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 xml:space="preserve">在本项目投标工程量清单中，实行分部分项报价按最高限价均衡下浮，任意分部分项单价下浮率不得超过投标总报价下浮率【（最高限价-投标总报价）/最高限价】的±5%。招标人在发出中标候选人公示期间将对拟中标人的分部分项工程量清单综合单价报价进行复核，若发现中标人的分部分项工程量清单综合单价报价存在不平衡报价的情形，招标人有权要求拟中标人进行修正，若中标人不按招标人要求修正，取消拟中标人中标资格，其投标保证金不予退还，拟中标人承担因此造成的相关责任并赔偿相应损失，招标人可以按照评标委员会提出的中标候选人名单排序依次确定其他中标候选人为中标人，也可以重新招标 </w:t>
            </w:r>
            <w:r>
              <w:rPr>
                <w:rFonts w:hint="eastAsia" w:ascii="宋体" w:hAnsi="宋体" w:eastAsia="宋体" w:cs="宋体"/>
              </w:rPr>
              <w:t>。</w:t>
            </w:r>
          </w:p>
        </w:tc>
      </w:tr>
      <w:tr w14:paraId="0F1A04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0581E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3.3.1</w:t>
            </w:r>
          </w:p>
        </w:tc>
        <w:tc>
          <w:tcPr>
            <w:tcW w:w="1644" w:type="dxa"/>
            <w:vAlign w:val="center"/>
          </w:tcPr>
          <w:p w14:paraId="33FE480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投标有效期</w:t>
            </w:r>
          </w:p>
        </w:tc>
        <w:tc>
          <w:tcPr>
            <w:tcW w:w="6490" w:type="dxa"/>
            <w:vAlign w:val="center"/>
          </w:tcPr>
          <w:p w14:paraId="1A214A82">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90</w:t>
            </w:r>
            <w:r>
              <w:rPr>
                <w:rFonts w:hint="eastAsia" w:ascii="宋体" w:hAnsi="宋体" w:eastAsia="宋体" w:cs="宋体"/>
                <w:szCs w:val="21"/>
                <w:u w:val="single"/>
              </w:rPr>
              <w:t xml:space="preserve"> </w:t>
            </w:r>
            <w:r>
              <w:rPr>
                <w:rFonts w:hint="eastAsia" w:ascii="宋体" w:hAnsi="宋体" w:eastAsia="宋体" w:cs="宋体"/>
                <w:szCs w:val="21"/>
              </w:rPr>
              <w:t>日历天（从提交投标文件截止日起计算）</w:t>
            </w:r>
          </w:p>
        </w:tc>
      </w:tr>
      <w:tr w14:paraId="7740C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4A15CB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3.4</w:t>
            </w:r>
          </w:p>
        </w:tc>
        <w:tc>
          <w:tcPr>
            <w:tcW w:w="1644" w:type="dxa"/>
            <w:vAlign w:val="center"/>
          </w:tcPr>
          <w:p w14:paraId="2E64B02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投标保证金</w:t>
            </w:r>
          </w:p>
        </w:tc>
        <w:tc>
          <w:tcPr>
            <w:tcW w:w="6490" w:type="dxa"/>
            <w:vAlign w:val="center"/>
          </w:tcPr>
          <w:p w14:paraId="578486F9">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投标保证金的交纳方式：投标人可选择以下三种方式之一。</w:t>
            </w:r>
          </w:p>
          <w:p w14:paraId="47426458">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方式一</w:t>
            </w:r>
          </w:p>
          <w:p w14:paraId="3B4888ED">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一、以电子投标保函形式交纳投标保证金</w:t>
            </w:r>
          </w:p>
          <w:p w14:paraId="32593D6B">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1. 电子投标保函交纳形式及要求：投标人在投标截止时间前通过重庆市公共资源交易金融服务平台电子投标保函系统向金融机构申请开具电子投标保函，电子投标保函应至少体现如下内容：①担保项目必须为本项目；②受益人必须为本项目招标人；③保函担保金额必须满足本项目要求；④保函生效时间必须在投标截止时间前，有效期限必须至少包含整个投标有效期；⑤保函须不可撤销且见索即付。</w:t>
            </w:r>
          </w:p>
          <w:p w14:paraId="6D97D27A">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若投标截止时间延期，则电子投标保函提交的截止时间和投标截止时间应当保持一致。</w:t>
            </w:r>
          </w:p>
          <w:p w14:paraId="472817C0">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kern w:val="0"/>
                <w:szCs w:val="21"/>
              </w:rPr>
              <w:t>不满足上述要求的电子投标保函</w:t>
            </w:r>
            <w:r>
              <w:rPr>
                <w:rFonts w:hint="eastAsia" w:ascii="宋体" w:hAnsi="宋体" w:eastAsia="宋体" w:cs="宋体"/>
                <w:kern w:val="0"/>
                <w:szCs w:val="21"/>
                <w:lang w:eastAsia="zh-CN"/>
              </w:rPr>
              <w:t>视为</w:t>
            </w:r>
            <w:r>
              <w:rPr>
                <w:rFonts w:hint="eastAsia" w:ascii="宋体" w:hAnsi="宋体" w:eastAsia="宋体" w:cs="宋体"/>
                <w:kern w:val="0"/>
                <w:szCs w:val="21"/>
              </w:rPr>
              <w:t>无效。</w:t>
            </w:r>
          </w:p>
          <w:p w14:paraId="5474E4D8">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rPr>
            </w:pPr>
            <w:r>
              <w:rPr>
                <w:rFonts w:hint="eastAsia" w:ascii="宋体" w:hAnsi="宋体" w:eastAsia="宋体" w:cs="宋体"/>
              </w:rPr>
              <w:t>2. 以电子投标保函形式担保的投标保证金的金额：</w:t>
            </w:r>
            <w:r>
              <w:rPr>
                <w:rFonts w:hint="eastAsia" w:ascii="宋体" w:hAnsi="宋体" w:eastAsia="宋体" w:cs="宋体"/>
                <w:u w:val="single"/>
              </w:rPr>
              <w:t xml:space="preserve"> </w:t>
            </w:r>
            <w:r>
              <w:rPr>
                <w:rFonts w:hint="eastAsia" w:ascii="宋体" w:hAnsi="宋体" w:cs="宋体"/>
                <w:u w:val="single"/>
                <w:lang w:val="en-US" w:eastAsia="zh-CN"/>
              </w:rPr>
              <w:t>4</w:t>
            </w:r>
            <w:r>
              <w:rPr>
                <w:rFonts w:hint="eastAsia" w:ascii="宋体" w:hAnsi="宋体" w:eastAsia="宋体" w:cs="宋体"/>
                <w:u w:val="single"/>
              </w:rPr>
              <w:t xml:space="preserve"> </w:t>
            </w:r>
            <w:r>
              <w:rPr>
                <w:rFonts w:hint="eastAsia" w:ascii="宋体" w:hAnsi="宋体" w:eastAsia="宋体" w:cs="宋体"/>
              </w:rPr>
              <w:t>万元整（人民币）。</w:t>
            </w:r>
          </w:p>
          <w:p w14:paraId="5003C303">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3. 电子投标保函</w:t>
            </w:r>
          </w:p>
          <w:p w14:paraId="58BB7163">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以</w:t>
            </w:r>
            <w:r>
              <w:rPr>
                <w:rFonts w:hint="eastAsia" w:ascii="宋体" w:hAnsi="宋体" w:eastAsia="宋体" w:cs="宋体"/>
                <w:u w:val="single"/>
                <w:lang w:eastAsia="zh-CN"/>
              </w:rPr>
              <w:t xml:space="preserve"> 重庆市大足区公共资源综合交易事务中心 </w:t>
            </w:r>
            <w:r>
              <w:rPr>
                <w:rFonts w:hint="eastAsia" w:ascii="宋体" w:hAnsi="宋体" w:eastAsia="宋体" w:cs="宋体"/>
              </w:rPr>
              <w:t>开标现场展示的电子投标保函交纳情况为准，投标人在投标时无须再提供电子投标保函的相关资料。</w:t>
            </w:r>
          </w:p>
          <w:p w14:paraId="7055132A">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二、电子投标保函的注销</w:t>
            </w:r>
          </w:p>
          <w:p w14:paraId="6C75B565">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color w:val="auto"/>
                <w:highlight w:val="none"/>
              </w:rPr>
              <w:t>招标人应当在法定时间内确定中标人。招标人</w:t>
            </w:r>
            <w:r>
              <w:rPr>
                <w:rFonts w:hint="eastAsia" w:ascii="宋体" w:hAnsi="宋体" w:eastAsia="宋体" w:cs="宋体"/>
                <w:color w:val="auto"/>
                <w:highlight w:val="none"/>
                <w:lang w:eastAsia="zh-CN"/>
              </w:rPr>
              <w:t>或者招标投标交易场所运行服务机构</w:t>
            </w:r>
            <w:r>
              <w:rPr>
                <w:rFonts w:hint="eastAsia" w:ascii="宋体" w:hAnsi="宋体" w:eastAsia="宋体" w:cs="宋体"/>
                <w:color w:val="auto"/>
                <w:highlight w:val="none"/>
              </w:rPr>
              <w:t>应当在中标通知书发出后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日内</w:t>
            </w:r>
            <w:r>
              <w:rPr>
                <w:rFonts w:hint="eastAsia" w:ascii="宋体" w:hAnsi="宋体" w:eastAsia="宋体" w:cs="宋体"/>
                <w:color w:val="auto"/>
                <w:highlight w:val="none"/>
                <w:lang w:eastAsia="zh-CN"/>
              </w:rPr>
              <w:t>，向除中标人以外的投标人退还</w:t>
            </w:r>
            <w:r>
              <w:rPr>
                <w:rFonts w:hint="eastAsia" w:ascii="宋体" w:hAnsi="宋体" w:eastAsia="宋体" w:cs="宋体"/>
                <w:color w:val="auto"/>
                <w:highlight w:val="none"/>
              </w:rPr>
              <w:t>电子投标保函</w:t>
            </w:r>
            <w:r>
              <w:rPr>
                <w:rFonts w:hint="eastAsia" w:ascii="宋体" w:hAnsi="宋体" w:eastAsia="宋体" w:cs="宋体"/>
                <w:color w:val="auto"/>
                <w:highlight w:val="none"/>
                <w:lang w:eastAsia="zh-CN"/>
              </w:rPr>
              <w:t>，并书面通知</w:t>
            </w:r>
            <w:r>
              <w:rPr>
                <w:rFonts w:hint="eastAsia" w:ascii="宋体" w:hAnsi="宋体" w:eastAsia="宋体" w:cs="宋体"/>
                <w:color w:val="auto"/>
                <w:highlight w:val="none"/>
              </w:rPr>
              <w:t>保函出具机构</w:t>
            </w:r>
            <w:r>
              <w:rPr>
                <w:rFonts w:hint="eastAsia" w:ascii="宋体" w:hAnsi="宋体" w:eastAsia="宋体" w:cs="宋体"/>
                <w:color w:val="auto"/>
                <w:highlight w:val="none"/>
                <w:lang w:eastAsia="zh-CN"/>
              </w:rPr>
              <w:t>本项目准予</w:t>
            </w:r>
            <w:r>
              <w:rPr>
                <w:rFonts w:hint="eastAsia" w:ascii="宋体" w:hAnsi="宋体" w:eastAsia="宋体" w:cs="宋体"/>
                <w:color w:val="auto"/>
                <w:highlight w:val="none"/>
              </w:rPr>
              <w:t>注销电子投标保函。具体注销事宜由投标人与</w:t>
            </w:r>
            <w:r>
              <w:rPr>
                <w:rFonts w:hint="eastAsia" w:ascii="宋体" w:hAnsi="宋体" w:eastAsia="宋体" w:cs="宋体"/>
                <w:color w:val="auto"/>
                <w:highlight w:val="none"/>
                <w:lang w:eastAsia="zh-CN"/>
              </w:rPr>
              <w:t>保函出具机构</w:t>
            </w:r>
            <w:r>
              <w:rPr>
                <w:rFonts w:hint="eastAsia" w:ascii="宋体" w:hAnsi="宋体" w:eastAsia="宋体" w:cs="宋体"/>
                <w:color w:val="auto"/>
                <w:highlight w:val="none"/>
              </w:rPr>
              <w:t>协商</w:t>
            </w:r>
            <w:r>
              <w:rPr>
                <w:rFonts w:hint="eastAsia" w:ascii="宋体" w:hAnsi="宋体" w:eastAsia="宋体" w:cs="宋体"/>
              </w:rPr>
              <w:t>。</w:t>
            </w:r>
          </w:p>
          <w:p w14:paraId="58941D70">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rPr>
            </w:pPr>
            <w:r>
              <w:rPr>
                <w:rFonts w:hint="eastAsia" w:ascii="宋体" w:hAnsi="宋体" w:eastAsia="宋体" w:cs="宋体"/>
                <w:color w:val="auto"/>
                <w:highlight w:val="none"/>
              </w:rPr>
              <w:t>招标人应当在法定时间内和中标人签订合同。招标人</w:t>
            </w:r>
            <w:r>
              <w:rPr>
                <w:rFonts w:hint="eastAsia" w:ascii="宋体" w:hAnsi="宋体" w:eastAsia="宋体" w:cs="宋体"/>
                <w:color w:val="auto"/>
                <w:highlight w:val="none"/>
                <w:lang w:eastAsia="zh-CN"/>
              </w:rPr>
              <w:t>或者招标投标交易场所运行服务机构</w:t>
            </w:r>
            <w:r>
              <w:rPr>
                <w:rFonts w:hint="eastAsia" w:ascii="宋体" w:hAnsi="宋体" w:eastAsia="宋体" w:cs="宋体"/>
                <w:color w:val="auto"/>
                <w:highlight w:val="none"/>
              </w:rPr>
              <w:t>应当在</w:t>
            </w:r>
            <w:r>
              <w:rPr>
                <w:rFonts w:hint="eastAsia" w:ascii="宋体" w:hAnsi="宋体" w:eastAsia="宋体" w:cs="宋体"/>
                <w:color w:val="auto"/>
                <w:highlight w:val="none"/>
                <w:lang w:eastAsia="zh-CN"/>
              </w:rPr>
              <w:t>招标人与中标人签订</w:t>
            </w:r>
            <w:r>
              <w:rPr>
                <w:rFonts w:hint="eastAsia" w:ascii="宋体" w:hAnsi="宋体" w:eastAsia="宋体" w:cs="宋体"/>
                <w:color w:val="auto"/>
                <w:highlight w:val="none"/>
              </w:rPr>
              <w:t>合同后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日内</w:t>
            </w:r>
            <w:r>
              <w:rPr>
                <w:rFonts w:hint="eastAsia" w:ascii="宋体" w:hAnsi="宋体" w:eastAsia="宋体" w:cs="宋体"/>
                <w:color w:val="auto"/>
                <w:highlight w:val="none"/>
                <w:lang w:eastAsia="zh-CN"/>
              </w:rPr>
              <w:t>，向中标人退还</w:t>
            </w:r>
            <w:r>
              <w:rPr>
                <w:rFonts w:hint="eastAsia" w:ascii="宋体" w:hAnsi="宋体" w:eastAsia="宋体" w:cs="宋体"/>
                <w:color w:val="auto"/>
                <w:highlight w:val="none"/>
              </w:rPr>
              <w:t>电子投标保函</w:t>
            </w:r>
            <w:r>
              <w:rPr>
                <w:rFonts w:hint="eastAsia" w:ascii="宋体" w:hAnsi="宋体" w:eastAsia="宋体" w:cs="宋体"/>
                <w:color w:val="auto"/>
                <w:highlight w:val="none"/>
                <w:lang w:eastAsia="zh-CN"/>
              </w:rPr>
              <w:t>，并书面通知</w:t>
            </w:r>
            <w:r>
              <w:rPr>
                <w:rFonts w:hint="eastAsia" w:ascii="宋体" w:hAnsi="宋体" w:eastAsia="宋体" w:cs="宋体"/>
                <w:color w:val="auto"/>
                <w:highlight w:val="none"/>
              </w:rPr>
              <w:t>保函出具机构</w:t>
            </w:r>
            <w:r>
              <w:rPr>
                <w:rFonts w:hint="eastAsia" w:ascii="宋体" w:hAnsi="宋体" w:eastAsia="宋体" w:cs="宋体"/>
                <w:color w:val="auto"/>
                <w:highlight w:val="none"/>
                <w:lang w:eastAsia="zh-CN"/>
              </w:rPr>
              <w:t>本项目准予</w:t>
            </w:r>
            <w:r>
              <w:rPr>
                <w:rFonts w:hint="eastAsia" w:ascii="宋体" w:hAnsi="宋体" w:eastAsia="宋体" w:cs="宋体"/>
                <w:color w:val="auto"/>
                <w:highlight w:val="none"/>
              </w:rPr>
              <w:t>注销电子投标保函。具体注销事宜由投标人与</w:t>
            </w:r>
            <w:r>
              <w:rPr>
                <w:rFonts w:hint="eastAsia" w:ascii="宋体" w:hAnsi="宋体" w:eastAsia="宋体" w:cs="宋体"/>
                <w:color w:val="auto"/>
                <w:highlight w:val="none"/>
                <w:lang w:eastAsia="zh-CN"/>
              </w:rPr>
              <w:t>保函出具机构</w:t>
            </w:r>
            <w:r>
              <w:rPr>
                <w:rFonts w:hint="eastAsia" w:ascii="宋体" w:hAnsi="宋体" w:eastAsia="宋体" w:cs="宋体"/>
                <w:color w:val="auto"/>
                <w:highlight w:val="none"/>
              </w:rPr>
              <w:t>协商</w:t>
            </w:r>
            <w:r>
              <w:rPr>
                <w:rFonts w:hint="eastAsia" w:ascii="宋体" w:hAnsi="宋体" w:eastAsia="宋体" w:cs="宋体"/>
              </w:rPr>
              <w:t>。</w:t>
            </w:r>
          </w:p>
          <w:p w14:paraId="352B0313">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p>
          <w:p w14:paraId="7E2B49F1">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方式二</w:t>
            </w:r>
          </w:p>
          <w:p w14:paraId="2999F4D5">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一、以转账支票或电汇形式交纳投标保证金</w:t>
            </w:r>
          </w:p>
          <w:p w14:paraId="38CCF76A">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 xml:space="preserve">. </w:t>
            </w:r>
            <w:r>
              <w:rPr>
                <w:rFonts w:hint="eastAsia" w:ascii="宋体" w:hAnsi="宋体" w:eastAsia="宋体" w:cs="宋体"/>
              </w:rPr>
              <w:t>投标保证金交款形式及要求：投标人从企业的基本账户（开户行）在投标截止时间前通过转账支票直接划付或以电汇方式直接划付至指定的投标保证金账户。若投标截止时间延期，则投标保证金提交的截止时间和投标截止时间应当保持一致。</w:t>
            </w:r>
            <w:r>
              <w:rPr>
                <w:rFonts w:hint="eastAsia" w:ascii="宋体" w:hAnsi="宋体" w:eastAsia="宋体" w:cs="宋体"/>
                <w:kern w:val="0"/>
                <w:szCs w:val="21"/>
              </w:rPr>
              <w:t>不满足上述要求的投标保证金</w:t>
            </w:r>
            <w:r>
              <w:rPr>
                <w:rFonts w:hint="eastAsia" w:ascii="宋体" w:hAnsi="宋体" w:eastAsia="宋体" w:cs="宋体"/>
                <w:kern w:val="0"/>
                <w:szCs w:val="21"/>
                <w:lang w:eastAsia="zh-CN"/>
              </w:rPr>
              <w:t>视为</w:t>
            </w:r>
            <w:r>
              <w:rPr>
                <w:rFonts w:hint="eastAsia" w:ascii="宋体" w:hAnsi="宋体" w:eastAsia="宋体" w:cs="宋体"/>
                <w:kern w:val="0"/>
                <w:szCs w:val="21"/>
              </w:rPr>
              <w:t>无效。</w:t>
            </w:r>
          </w:p>
          <w:p w14:paraId="7663948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投标人自行考虑汇入时间风险，如同城汇入、异地汇入、跨行汇入的时间要求。</w:t>
            </w:r>
          </w:p>
          <w:p w14:paraId="50577C4B">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i/>
                <w:iCs/>
              </w:rPr>
            </w:pPr>
            <w:r>
              <w:rPr>
                <w:rFonts w:hint="eastAsia" w:ascii="宋体" w:hAnsi="宋体" w:eastAsia="宋体" w:cs="宋体"/>
              </w:rPr>
              <w:t>2</w:t>
            </w:r>
            <w:r>
              <w:rPr>
                <w:rFonts w:hint="eastAsia" w:ascii="宋体" w:hAnsi="宋体" w:eastAsia="宋体" w:cs="宋体"/>
                <w:lang w:val="en-US" w:eastAsia="zh-CN"/>
              </w:rPr>
              <w:t xml:space="preserve">. </w:t>
            </w:r>
            <w:r>
              <w:rPr>
                <w:rFonts w:hint="eastAsia" w:ascii="宋体" w:hAnsi="宋体" w:eastAsia="宋体" w:cs="宋体"/>
              </w:rPr>
              <w:t>以转账支票或电汇形式提交投标保证金的金额：</w:t>
            </w:r>
            <w:r>
              <w:rPr>
                <w:rFonts w:hint="eastAsia" w:ascii="宋体" w:hAnsi="宋体" w:eastAsia="宋体" w:cs="宋体"/>
                <w:u w:val="single"/>
              </w:rPr>
              <w:t xml:space="preserve"> </w:t>
            </w:r>
            <w:r>
              <w:rPr>
                <w:rFonts w:hint="eastAsia" w:ascii="宋体" w:hAnsi="宋体" w:cs="宋体"/>
                <w:u w:val="single"/>
                <w:lang w:val="en-US" w:eastAsia="zh-CN"/>
              </w:rPr>
              <w:t>4</w:t>
            </w:r>
            <w:r>
              <w:rPr>
                <w:rFonts w:hint="eastAsia" w:ascii="宋体" w:hAnsi="宋体" w:eastAsia="宋体" w:cs="宋体"/>
                <w:u w:val="single"/>
              </w:rPr>
              <w:t xml:space="preserve"> </w:t>
            </w:r>
            <w:r>
              <w:rPr>
                <w:rFonts w:hint="eastAsia" w:ascii="宋体" w:hAnsi="宋体" w:eastAsia="宋体" w:cs="宋体"/>
              </w:rPr>
              <w:t>万元整（人民币）。</w:t>
            </w:r>
          </w:p>
          <w:p w14:paraId="6F1AA5AF">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 xml:space="preserve">. </w:t>
            </w:r>
            <w:r>
              <w:rPr>
                <w:rFonts w:hint="eastAsia" w:ascii="宋体" w:hAnsi="宋体" w:eastAsia="宋体" w:cs="宋体"/>
              </w:rPr>
              <w:t>投标保证金账户及账号（任选其一）：</w:t>
            </w:r>
          </w:p>
          <w:p w14:paraId="65D60AA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详见</w:t>
            </w:r>
            <w:r>
              <w:rPr>
                <w:rFonts w:hint="eastAsia" w:ascii="宋体" w:hAnsi="宋体" w:eastAsia="宋体" w:cs="宋体"/>
                <w:u w:val="single"/>
                <w:lang w:eastAsia="zh-CN"/>
              </w:rPr>
              <w:t xml:space="preserve"> 重庆市公共资源交易网（大足区）（www.cqggzy.com/dazuweb/） </w:t>
            </w:r>
            <w:r>
              <w:rPr>
                <w:rFonts w:hint="eastAsia" w:ascii="宋体" w:hAnsi="宋体" w:eastAsia="宋体" w:cs="宋体"/>
              </w:rPr>
              <w:t>对应本项目招标公告信息栏中的保证金信息。</w:t>
            </w:r>
          </w:p>
          <w:p w14:paraId="28890E7F">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投标保证金以</w:t>
            </w:r>
            <w:r>
              <w:rPr>
                <w:rFonts w:hint="eastAsia" w:ascii="宋体" w:hAnsi="宋体" w:eastAsia="宋体" w:cs="宋体"/>
                <w:u w:val="single"/>
                <w:lang w:eastAsia="zh-CN"/>
              </w:rPr>
              <w:t xml:space="preserve"> 重庆市大足区公共资源综合交易事务中心 </w:t>
            </w:r>
            <w:r>
              <w:rPr>
                <w:rFonts w:hint="eastAsia" w:ascii="宋体" w:hAnsi="宋体" w:eastAsia="宋体" w:cs="宋体"/>
              </w:rPr>
              <w:t>开标现场展示的保证金交纳情况为准。投标人须在投标文件资格审查部分</w:t>
            </w:r>
            <w:r>
              <w:rPr>
                <w:rFonts w:hint="eastAsia" w:ascii="宋体" w:hAnsi="宋体" w:eastAsia="宋体" w:cs="宋体"/>
                <w:kern w:val="0"/>
                <w:szCs w:val="21"/>
              </w:rPr>
              <w:t>“其他资料”中</w:t>
            </w:r>
            <w:r>
              <w:rPr>
                <w:rFonts w:hint="eastAsia" w:ascii="宋体" w:hAnsi="宋体" w:eastAsia="宋体" w:cs="宋体"/>
              </w:rPr>
              <w:t>提供企业基本账户开户证明文件。</w:t>
            </w:r>
          </w:p>
          <w:p w14:paraId="3B4C6521">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u w:val="single"/>
              </w:rPr>
            </w:pPr>
            <w:r>
              <w:rPr>
                <w:rFonts w:hint="eastAsia" w:ascii="宋体" w:hAnsi="宋体" w:eastAsia="宋体" w:cs="宋体"/>
              </w:rPr>
              <w:t>4</w:t>
            </w:r>
            <w:r>
              <w:rPr>
                <w:rFonts w:hint="eastAsia" w:ascii="宋体" w:hAnsi="宋体" w:eastAsia="宋体" w:cs="宋体"/>
                <w:lang w:val="en-US" w:eastAsia="zh-CN"/>
              </w:rPr>
              <w:t xml:space="preserve">. </w:t>
            </w:r>
            <w:r>
              <w:rPr>
                <w:rFonts w:hint="eastAsia" w:ascii="宋体" w:hAnsi="宋体" w:eastAsia="宋体" w:cs="宋体"/>
              </w:rPr>
              <w:t>投标人必须在付款凭证备注栏中注明是“</w:t>
            </w:r>
            <w:r>
              <w:rPr>
                <w:rFonts w:hint="eastAsia" w:ascii="宋体" w:hAnsi="宋体" w:eastAsia="宋体" w:cs="宋体"/>
                <w:u w:val="single"/>
              </w:rPr>
              <w:t xml:space="preserve"> </w:t>
            </w:r>
            <w:r>
              <w:rPr>
                <w:rFonts w:hint="eastAsia" w:ascii="宋体" w:hAnsi="宋体" w:cs="宋体"/>
                <w:u w:val="single"/>
                <w:lang w:val="en-US" w:eastAsia="zh-CN"/>
              </w:rPr>
              <w:t>北山摩崖造像之妙高山摩崖造像妙高寺正殿保护修缮工程</w:t>
            </w:r>
            <w:r>
              <w:rPr>
                <w:rFonts w:hint="eastAsia" w:ascii="宋体" w:hAnsi="宋体" w:eastAsia="宋体" w:cs="宋体"/>
                <w:u w:val="single"/>
              </w:rPr>
              <w:t xml:space="preserve"> </w:t>
            </w:r>
            <w:r>
              <w:rPr>
                <w:rFonts w:hint="eastAsia" w:ascii="宋体" w:hAnsi="宋体" w:eastAsia="宋体" w:cs="宋体"/>
              </w:rPr>
              <w:t>项目投标保证金”。项目名称可简写成：</w:t>
            </w:r>
            <w:r>
              <w:rPr>
                <w:rFonts w:hint="eastAsia" w:ascii="宋体" w:hAnsi="宋体" w:eastAsia="宋体" w:cs="宋体"/>
                <w:u w:val="single"/>
              </w:rPr>
              <w:t xml:space="preserve"> </w:t>
            </w:r>
            <w:r>
              <w:rPr>
                <w:rFonts w:hint="eastAsia" w:ascii="宋体" w:hAnsi="宋体" w:eastAsia="宋体" w:cs="宋体"/>
                <w:u w:val="single"/>
                <w:lang w:val="en-US" w:eastAsia="zh-CN"/>
              </w:rPr>
              <w:t>妙高寺正殿保护修缮工程</w:t>
            </w:r>
            <w:r>
              <w:rPr>
                <w:rFonts w:hint="eastAsia" w:ascii="宋体" w:hAnsi="宋体" w:eastAsia="宋体" w:cs="宋体"/>
                <w:u w:val="single"/>
              </w:rPr>
              <w:t xml:space="preserve"> </w:t>
            </w:r>
            <w:r>
              <w:rPr>
                <w:rFonts w:hint="eastAsia" w:ascii="宋体" w:hAnsi="宋体" w:eastAsia="宋体" w:cs="宋体"/>
              </w:rPr>
              <w:t>。</w:t>
            </w:r>
          </w:p>
          <w:p w14:paraId="23621F5D">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 xml:space="preserve">. </w:t>
            </w:r>
            <w:r>
              <w:rPr>
                <w:rFonts w:hint="eastAsia" w:ascii="宋体" w:hAnsi="宋体" w:eastAsia="宋体" w:cs="宋体"/>
              </w:rPr>
              <w:t>投标保证金有效期与投标有效期一致。</w:t>
            </w:r>
          </w:p>
          <w:p w14:paraId="1097E4D1">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u w:val="single"/>
              </w:rPr>
              <w:t>6</w:t>
            </w:r>
            <w:r>
              <w:rPr>
                <w:rFonts w:hint="eastAsia" w:ascii="宋体" w:hAnsi="宋体" w:eastAsia="宋体" w:cs="宋体"/>
                <w:u w:val="single"/>
                <w:lang w:val="en-US" w:eastAsia="zh-CN"/>
              </w:rPr>
              <w:t xml:space="preserve">. </w:t>
            </w:r>
            <w:r>
              <w:rPr>
                <w:rFonts w:hint="eastAsia" w:ascii="宋体" w:hAnsi="宋体" w:eastAsia="宋体" w:cs="宋体"/>
                <w:u w:val="single"/>
              </w:rPr>
              <w:t>根据</w:t>
            </w:r>
            <w:r>
              <w:rPr>
                <w:rFonts w:hint="eastAsia" w:ascii="宋体" w:hAnsi="宋体" w:eastAsia="宋体" w:cs="宋体"/>
                <w:u w:val="single"/>
                <w:lang w:eastAsia="zh-CN"/>
              </w:rPr>
              <w:t xml:space="preserve"> 重庆市大足区公共资源综合交易事务中心 </w:t>
            </w:r>
            <w:r>
              <w:rPr>
                <w:rFonts w:hint="eastAsia" w:ascii="宋体" w:hAnsi="宋体" w:eastAsia="宋体" w:cs="宋体"/>
                <w:u w:val="single"/>
              </w:rPr>
              <w:t>《关于开展公共资源交易市场主体信息登记工作的公告》的要求，投标人在开标前需在</w:t>
            </w:r>
            <w:r>
              <w:rPr>
                <w:rFonts w:hint="eastAsia" w:ascii="宋体" w:hAnsi="宋体" w:eastAsia="宋体" w:cs="宋体"/>
                <w:u w:val="single"/>
                <w:lang w:eastAsia="zh-CN"/>
              </w:rPr>
              <w:t xml:space="preserve"> 重庆市公共资源交易网（大足区）（www.cqggzy.com/dazuweb/） </w:t>
            </w:r>
            <w:r>
              <w:rPr>
                <w:rFonts w:hint="eastAsia" w:ascii="宋体" w:hAnsi="宋体" w:eastAsia="宋体" w:cs="宋体"/>
                <w:u w:val="single"/>
              </w:rPr>
              <w:t>办理市场主体信息登记手续。因故未能提前办理市场主体信息登记或更新的，评标过程中由评标委员会根据投标人在投标文件中提供的企业基本账户开户证明文件核实其投标保证金是否由基本账户转入，未从基本账户转入的，由评标委员会作否决投标处理。</w:t>
            </w:r>
          </w:p>
          <w:p w14:paraId="77D1EB45">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二、投标保证金的退还</w:t>
            </w:r>
          </w:p>
          <w:p w14:paraId="3A4A5629">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color w:val="auto"/>
                <w:highlight w:val="none"/>
              </w:rPr>
              <w:t>招标人应当在法定时间内确定中标人。招标人</w:t>
            </w:r>
            <w:r>
              <w:rPr>
                <w:rFonts w:hint="eastAsia" w:ascii="宋体" w:hAnsi="宋体" w:eastAsia="宋体" w:cs="宋体"/>
                <w:color w:val="auto"/>
                <w:highlight w:val="none"/>
                <w:lang w:eastAsia="zh-CN"/>
              </w:rPr>
              <w:t>或者招标投标交易场所运行服务机构</w:t>
            </w:r>
            <w:r>
              <w:rPr>
                <w:rFonts w:hint="eastAsia" w:ascii="宋体" w:hAnsi="宋体" w:eastAsia="宋体" w:cs="宋体"/>
                <w:color w:val="auto"/>
                <w:highlight w:val="none"/>
              </w:rPr>
              <w:t>应当在中标通知书发出后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日内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向除中标人以外的投标人，退还投标保证金及银行同期活期存款利息</w:t>
            </w:r>
            <w:r>
              <w:rPr>
                <w:rFonts w:hint="eastAsia" w:ascii="宋体" w:hAnsi="宋体" w:eastAsia="宋体" w:cs="宋体"/>
              </w:rPr>
              <w:t>。</w:t>
            </w:r>
          </w:p>
          <w:p w14:paraId="6FA9E715">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color w:val="auto"/>
                <w:highlight w:val="none"/>
              </w:rPr>
              <w:t>招标人应当在法定时间内和中标人签订合同。招标人</w:t>
            </w:r>
            <w:r>
              <w:rPr>
                <w:rFonts w:hint="eastAsia" w:ascii="宋体" w:hAnsi="宋体" w:eastAsia="宋体" w:cs="宋体"/>
                <w:color w:val="auto"/>
                <w:highlight w:val="none"/>
                <w:lang w:eastAsia="zh-CN"/>
              </w:rPr>
              <w:t>或者招标投标交易场所运行服务机构</w:t>
            </w:r>
            <w:r>
              <w:rPr>
                <w:rFonts w:hint="eastAsia" w:ascii="宋体" w:hAnsi="宋体" w:eastAsia="宋体" w:cs="宋体"/>
                <w:color w:val="auto"/>
                <w:highlight w:val="none"/>
              </w:rPr>
              <w:t>应当在</w:t>
            </w:r>
            <w:r>
              <w:rPr>
                <w:rFonts w:hint="eastAsia" w:ascii="宋体" w:hAnsi="宋体" w:eastAsia="宋体" w:cs="宋体"/>
                <w:color w:val="auto"/>
                <w:highlight w:val="none"/>
                <w:lang w:eastAsia="zh-CN"/>
              </w:rPr>
              <w:t>招标人与中标人签订</w:t>
            </w:r>
            <w:r>
              <w:rPr>
                <w:rFonts w:hint="eastAsia" w:ascii="宋体" w:hAnsi="宋体" w:eastAsia="宋体" w:cs="宋体"/>
                <w:color w:val="auto"/>
                <w:highlight w:val="none"/>
              </w:rPr>
              <w:t>合同后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日内，向中标人退还投标保证金及银行同期活期存款利息</w:t>
            </w:r>
            <w:r>
              <w:rPr>
                <w:rFonts w:hint="eastAsia" w:ascii="宋体" w:hAnsi="宋体" w:eastAsia="宋体" w:cs="宋体"/>
              </w:rPr>
              <w:t>。</w:t>
            </w:r>
          </w:p>
          <w:p w14:paraId="6D650EFA">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rPr>
            </w:pPr>
            <w:r>
              <w:rPr>
                <w:rFonts w:hint="eastAsia" w:ascii="宋体" w:hAnsi="宋体" w:eastAsia="宋体" w:cs="宋体"/>
              </w:rPr>
              <w:t>投标保证金专用账户由</w:t>
            </w:r>
            <w:r>
              <w:rPr>
                <w:rFonts w:hint="eastAsia" w:ascii="宋体" w:hAnsi="宋体" w:eastAsia="宋体" w:cs="宋体"/>
                <w:u w:val="single"/>
                <w:lang w:eastAsia="zh-CN"/>
              </w:rPr>
              <w:t xml:space="preserve"> 重庆市大足区公共资源综合交易事务中心 </w:t>
            </w:r>
            <w:r>
              <w:rPr>
                <w:rFonts w:hint="eastAsia" w:ascii="宋体" w:hAnsi="宋体" w:eastAsia="宋体" w:cs="宋体"/>
                <w:lang w:val="en-US" w:eastAsia="zh-CN"/>
              </w:rPr>
              <w:t>指定</w:t>
            </w:r>
            <w:r>
              <w:rPr>
                <w:rFonts w:hint="eastAsia" w:ascii="宋体" w:hAnsi="宋体" w:eastAsia="宋体" w:cs="宋体"/>
              </w:rPr>
              <w:t>，关于保证金相关情况的问题请咨询</w:t>
            </w:r>
            <w:r>
              <w:rPr>
                <w:rFonts w:hint="eastAsia" w:ascii="宋体" w:hAnsi="宋体" w:eastAsia="宋体" w:cs="宋体"/>
                <w:u w:val="single"/>
                <w:lang w:eastAsia="zh-CN"/>
              </w:rPr>
              <w:t xml:space="preserve"> 重庆市大足区公共资源综合交易事务中心 </w:t>
            </w:r>
            <w:r>
              <w:rPr>
                <w:rFonts w:hint="eastAsia" w:ascii="宋体" w:hAnsi="宋体" w:eastAsia="宋体" w:cs="宋体"/>
              </w:rPr>
              <w:t>，联系电话</w:t>
            </w:r>
            <w:r>
              <w:rPr>
                <w:rFonts w:hint="eastAsia" w:ascii="宋体" w:hAnsi="宋体" w:eastAsia="宋体" w:cs="宋体"/>
                <w:u w:val="single"/>
                <w:lang w:val="en-US" w:eastAsia="zh-CN"/>
              </w:rPr>
              <w:t xml:space="preserve"> </w:t>
            </w:r>
            <w:r>
              <w:rPr>
                <w:rFonts w:hint="eastAsia" w:ascii="宋体" w:hAnsi="宋体" w:eastAsia="宋体" w:cs="宋体"/>
                <w:u w:val="single"/>
              </w:rPr>
              <w:t>023-</w:t>
            </w:r>
            <w:r>
              <w:rPr>
                <w:rFonts w:hint="eastAsia" w:ascii="宋体" w:hAnsi="宋体" w:eastAsia="宋体" w:cs="宋体"/>
                <w:color w:val="auto"/>
                <w:highlight w:val="none"/>
                <w:u w:val="single"/>
                <w:lang w:val="en-US" w:eastAsia="zh-CN"/>
              </w:rPr>
              <w:t>43760311</w:t>
            </w:r>
            <w:r>
              <w:rPr>
                <w:rFonts w:hint="eastAsia" w:ascii="宋体" w:hAnsi="宋体" w:eastAsia="宋体" w:cs="宋体"/>
                <w:u w:val="single"/>
              </w:rPr>
              <w:t xml:space="preserve"> </w:t>
            </w:r>
            <w:r>
              <w:rPr>
                <w:rFonts w:hint="eastAsia" w:ascii="宋体" w:hAnsi="宋体" w:eastAsia="宋体" w:cs="宋体"/>
              </w:rPr>
              <w:t>。</w:t>
            </w:r>
          </w:p>
          <w:p w14:paraId="03F14F23">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Cs/>
                <w:kern w:val="0"/>
                <w:szCs w:val="21"/>
              </w:rPr>
            </w:pPr>
          </w:p>
          <w:p w14:paraId="321BA96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Cs/>
                <w:kern w:val="0"/>
                <w:szCs w:val="21"/>
              </w:rPr>
            </w:pPr>
            <w:r>
              <w:rPr>
                <w:rFonts w:hint="eastAsia" w:ascii="宋体" w:hAnsi="宋体" w:eastAsia="宋体" w:cs="宋体"/>
                <w:bCs/>
                <w:kern w:val="0"/>
                <w:szCs w:val="21"/>
              </w:rPr>
              <w:t>方式三</w:t>
            </w:r>
          </w:p>
          <w:p w14:paraId="0510AAE7">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一、以纸质投标保函形式交纳投标保证金</w:t>
            </w:r>
          </w:p>
          <w:p w14:paraId="738D1F9D">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1. 纸质投标保函交纳形式及要求：</w:t>
            </w:r>
          </w:p>
          <w:p w14:paraId="7EE22C0E">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（1）缴纳形式：</w:t>
            </w:r>
            <w:r>
              <w:rPr>
                <w:rFonts w:hint="eastAsia" w:ascii="宋体" w:hAnsi="宋体" w:eastAsia="宋体" w:cs="宋体"/>
                <w:kern w:val="0"/>
                <w:szCs w:val="21"/>
                <w:lang w:val="en-US" w:eastAsia="zh-CN"/>
              </w:rPr>
              <w:t>纸质投标保函</w:t>
            </w:r>
            <w:r>
              <w:rPr>
                <w:rFonts w:hint="eastAsia" w:ascii="宋体" w:hAnsi="宋体" w:eastAsia="宋体" w:cs="宋体"/>
                <w:kern w:val="0"/>
                <w:szCs w:val="21"/>
              </w:rPr>
              <w:t>包括银行保函</w:t>
            </w:r>
            <w:r>
              <w:rPr>
                <w:rFonts w:hint="eastAsia" w:ascii="宋体" w:hAnsi="宋体" w:eastAsia="宋体" w:cs="宋体"/>
                <w:kern w:val="0"/>
                <w:szCs w:val="21"/>
                <w:lang w:eastAsia="zh-CN"/>
              </w:rPr>
              <w:t>、</w:t>
            </w:r>
            <w:r>
              <w:rPr>
                <w:rFonts w:hint="eastAsia" w:ascii="宋体" w:hAnsi="宋体" w:eastAsia="宋体" w:cs="宋体"/>
                <w:kern w:val="0"/>
                <w:szCs w:val="21"/>
              </w:rPr>
              <w:t>保证保险和担保保函</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其示范文本详见第八章投标文件格式。投标人提交的纸质投标保函应</w:t>
            </w:r>
            <w:r>
              <w:rPr>
                <w:rFonts w:hint="eastAsia" w:ascii="宋体" w:hAnsi="宋体" w:eastAsia="宋体" w:cs="宋体"/>
                <w:kern w:val="0"/>
                <w:szCs w:val="21"/>
              </w:rPr>
              <w:t>严格执行</w:t>
            </w:r>
            <w:r>
              <w:rPr>
                <w:rFonts w:hint="eastAsia" w:ascii="宋体" w:hAnsi="宋体" w:eastAsia="宋体" w:cs="宋体"/>
                <w:kern w:val="0"/>
                <w:szCs w:val="21"/>
                <w:lang w:val="en-US" w:eastAsia="zh-CN"/>
              </w:rPr>
              <w:t>其</w:t>
            </w:r>
            <w:r>
              <w:rPr>
                <w:rFonts w:hint="eastAsia" w:ascii="宋体" w:hAnsi="宋体" w:eastAsia="宋体" w:cs="宋体"/>
                <w:kern w:val="0"/>
                <w:szCs w:val="21"/>
              </w:rPr>
              <w:t>示范文本，不得对示范文本中的实质性内容进行修改</w:t>
            </w:r>
            <w:r>
              <w:rPr>
                <w:rFonts w:hint="eastAsia" w:ascii="宋体" w:hAnsi="宋体" w:eastAsia="宋体" w:cs="宋体"/>
                <w:kern w:val="0"/>
                <w:szCs w:val="21"/>
                <w:lang w:eastAsia="zh-CN"/>
              </w:rPr>
              <w:t>。</w:t>
            </w:r>
          </w:p>
          <w:p w14:paraId="6CFD5A73">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lang w:val="en-US" w:eastAsia="zh-CN"/>
              </w:rPr>
            </w:pPr>
            <w:r>
              <w:rPr>
                <w:rFonts w:hint="eastAsia" w:ascii="宋体" w:hAnsi="宋体" w:eastAsia="宋体" w:cs="宋体"/>
                <w:kern w:val="0"/>
                <w:szCs w:val="21"/>
              </w:rPr>
              <w:t>（</w:t>
            </w:r>
            <w:r>
              <w:rPr>
                <w:rFonts w:hint="eastAsia" w:ascii="宋体" w:hAnsi="宋体" w:eastAsia="宋体" w:cs="宋体"/>
                <w:kern w:val="0"/>
                <w:szCs w:val="21"/>
                <w:lang w:val="en-US"/>
              </w:rPr>
              <w:t>2</w:t>
            </w:r>
            <w:r>
              <w:rPr>
                <w:rFonts w:hint="eastAsia" w:ascii="宋体" w:hAnsi="宋体" w:eastAsia="宋体" w:cs="宋体"/>
                <w:kern w:val="0"/>
                <w:szCs w:val="21"/>
              </w:rPr>
              <w:t>）具体要求：</w:t>
            </w:r>
            <w:r>
              <w:rPr>
                <w:rFonts w:hint="eastAsia" w:ascii="宋体" w:hAnsi="宋体" w:eastAsia="宋体" w:cs="宋体"/>
                <w:kern w:val="0"/>
                <w:szCs w:val="21"/>
                <w:lang w:val="en-US" w:eastAsia="zh-CN"/>
              </w:rPr>
              <w:t>纸质投标</w:t>
            </w:r>
            <w:r>
              <w:rPr>
                <w:rFonts w:hint="eastAsia" w:ascii="宋体" w:hAnsi="宋体" w:eastAsia="宋体" w:cs="宋体"/>
                <w:kern w:val="0"/>
                <w:szCs w:val="21"/>
              </w:rPr>
              <w:t>保函的开立人应当是具有相应资格的银行、保险机构、融资担保公司，其信用资质、履约能力、担保能力、赔付流程、安全保密等应符合工程保函业务条件</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纸质投标</w:t>
            </w:r>
            <w:r>
              <w:rPr>
                <w:rFonts w:hint="eastAsia" w:ascii="宋体" w:hAnsi="宋体" w:eastAsia="宋体" w:cs="宋体"/>
                <w:kern w:val="0"/>
                <w:szCs w:val="21"/>
                <w:lang w:eastAsia="zh-CN"/>
              </w:rPr>
              <w:t>保函应合法合规，符合招投标行政监督部门、行业主管部门和金融监管部门的相关规定，满足招标文件约定要求。</w:t>
            </w:r>
            <w:r>
              <w:rPr>
                <w:rFonts w:hint="eastAsia" w:ascii="宋体" w:hAnsi="宋体" w:eastAsia="宋体" w:cs="宋体"/>
                <w:kern w:val="0"/>
                <w:szCs w:val="21"/>
                <w:lang w:val="en-US" w:eastAsia="zh-CN"/>
              </w:rPr>
              <w:t>投标人</w:t>
            </w:r>
            <w:r>
              <w:rPr>
                <w:rFonts w:hint="eastAsia" w:ascii="宋体" w:hAnsi="宋体" w:eastAsia="宋体" w:cs="宋体"/>
                <w:kern w:val="0"/>
                <w:szCs w:val="21"/>
              </w:rPr>
              <w:t>应选择在渝依法设立总部或者设有分支机构的金融机构开具</w:t>
            </w:r>
            <w:r>
              <w:rPr>
                <w:rFonts w:hint="eastAsia" w:ascii="宋体" w:hAnsi="宋体" w:eastAsia="宋体" w:cs="宋体"/>
                <w:kern w:val="0"/>
                <w:szCs w:val="21"/>
                <w:lang w:val="en-US" w:eastAsia="zh-CN"/>
              </w:rPr>
              <w:t>纸质投标</w:t>
            </w:r>
            <w:r>
              <w:rPr>
                <w:rFonts w:hint="eastAsia" w:ascii="宋体" w:hAnsi="宋体" w:eastAsia="宋体" w:cs="宋体"/>
                <w:kern w:val="0"/>
                <w:szCs w:val="21"/>
              </w:rPr>
              <w:t>保函</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投标人对所提交的纸质投标保函的真实性、合法性、有效性负责。</w:t>
            </w:r>
          </w:p>
          <w:p w14:paraId="5F8CD7F1">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投标人须在投标文件资格审查部分“其他资料”中提供纸质投标保函扫描件，纸质投标保函原件应当于投标截止时间前在开标现场递交招标人保管。</w:t>
            </w:r>
          </w:p>
          <w:p w14:paraId="141E465D">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rPr>
              <w:t>若投标截止时间延期，则纸质投标保函递交的截止时间和投标截止时间保持一致。</w:t>
            </w:r>
          </w:p>
          <w:p w14:paraId="5D1A9040">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kern w:val="0"/>
                <w:szCs w:val="21"/>
              </w:rPr>
              <w:t>不满足上述要求的纸质投标保函</w:t>
            </w:r>
            <w:r>
              <w:rPr>
                <w:rFonts w:hint="eastAsia" w:ascii="宋体" w:hAnsi="宋体" w:eastAsia="宋体" w:cs="宋体"/>
                <w:kern w:val="0"/>
                <w:szCs w:val="21"/>
                <w:lang w:eastAsia="zh-CN"/>
              </w:rPr>
              <w:t>视为</w:t>
            </w:r>
            <w:r>
              <w:rPr>
                <w:rFonts w:hint="eastAsia" w:ascii="宋体" w:hAnsi="宋体" w:eastAsia="宋体" w:cs="宋体"/>
                <w:kern w:val="0"/>
                <w:szCs w:val="21"/>
              </w:rPr>
              <w:t>无效。</w:t>
            </w:r>
          </w:p>
          <w:p w14:paraId="2DBCA73B">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rPr>
            </w:pPr>
            <w:r>
              <w:rPr>
                <w:rFonts w:hint="eastAsia" w:ascii="宋体" w:hAnsi="宋体" w:eastAsia="宋体" w:cs="宋体"/>
                <w:kern w:val="0"/>
                <w:szCs w:val="21"/>
              </w:rPr>
              <w:t xml:space="preserve">2. </w:t>
            </w:r>
            <w:r>
              <w:rPr>
                <w:rFonts w:hint="eastAsia" w:ascii="宋体" w:hAnsi="宋体" w:eastAsia="宋体" w:cs="宋体"/>
              </w:rPr>
              <w:t>以纸质投标保函形式担保的投标保证金的金额</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cs="宋体"/>
                <w:kern w:val="0"/>
                <w:szCs w:val="21"/>
                <w:u w:val="single"/>
                <w:lang w:val="en-US" w:eastAsia="zh-CN"/>
              </w:rPr>
              <w:t>4</w:t>
            </w:r>
            <w:r>
              <w:rPr>
                <w:rFonts w:hint="eastAsia" w:ascii="宋体" w:hAnsi="宋体" w:eastAsia="宋体" w:cs="宋体"/>
                <w:kern w:val="0"/>
                <w:szCs w:val="21"/>
                <w:u w:val="single"/>
              </w:rPr>
              <w:t xml:space="preserve"> </w:t>
            </w:r>
            <w:r>
              <w:rPr>
                <w:rFonts w:hint="eastAsia" w:ascii="宋体" w:hAnsi="宋体" w:eastAsia="宋体" w:cs="宋体"/>
                <w:kern w:val="0"/>
                <w:szCs w:val="21"/>
              </w:rPr>
              <w:t>万元整（人民币）</w:t>
            </w:r>
            <w:r>
              <w:rPr>
                <w:rFonts w:hint="eastAsia" w:ascii="宋体" w:hAnsi="宋体" w:eastAsia="宋体" w:cs="宋体"/>
              </w:rPr>
              <w:t>。</w:t>
            </w:r>
          </w:p>
          <w:p w14:paraId="0C948151">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3. 投标人须</w:t>
            </w:r>
            <w:r>
              <w:rPr>
                <w:rFonts w:hint="eastAsia" w:ascii="宋体" w:hAnsi="宋体" w:eastAsia="宋体" w:cs="宋体"/>
              </w:rPr>
              <w:t>在</w:t>
            </w:r>
            <w:r>
              <w:rPr>
                <w:rFonts w:hint="eastAsia" w:ascii="宋体" w:hAnsi="宋体" w:eastAsia="宋体" w:cs="宋体"/>
                <w:kern w:val="0"/>
                <w:szCs w:val="21"/>
              </w:rPr>
              <w:t>纸质投标保函</w:t>
            </w:r>
            <w:r>
              <w:rPr>
                <w:rFonts w:hint="eastAsia" w:ascii="宋体" w:hAnsi="宋体" w:eastAsia="宋体" w:cs="宋体"/>
                <w:kern w:val="0"/>
                <w:szCs w:val="21"/>
                <w:lang w:val="en-US" w:eastAsia="zh-CN"/>
              </w:rPr>
              <w:t>中注明</w:t>
            </w:r>
            <w:r>
              <w:rPr>
                <w:rFonts w:hint="eastAsia" w:ascii="宋体" w:hAnsi="宋体" w:eastAsia="宋体" w:cs="宋体"/>
                <w:kern w:val="0"/>
                <w:szCs w:val="21"/>
              </w:rPr>
              <w:t>在重庆市辖区范围内的核验</w:t>
            </w:r>
            <w:r>
              <w:rPr>
                <w:rFonts w:hint="eastAsia" w:ascii="宋体" w:hAnsi="宋体" w:eastAsia="宋体" w:cs="宋体"/>
                <w:kern w:val="0"/>
                <w:szCs w:val="21"/>
                <w:lang w:val="en-US" w:eastAsia="zh-CN"/>
              </w:rPr>
              <w:t>地址和核验方式，并</w:t>
            </w:r>
            <w:r>
              <w:rPr>
                <w:rFonts w:hint="eastAsia" w:ascii="宋体" w:hAnsi="宋体" w:eastAsia="宋体" w:cs="宋体"/>
                <w:kern w:val="0"/>
                <w:szCs w:val="21"/>
              </w:rPr>
              <w:t>确保其递交的纸质投标保函能在</w:t>
            </w:r>
            <w:r>
              <w:rPr>
                <w:rFonts w:hint="eastAsia" w:ascii="宋体" w:hAnsi="宋体" w:eastAsia="宋体" w:cs="宋体"/>
                <w:kern w:val="0"/>
                <w:szCs w:val="21"/>
                <w:lang w:val="en-US" w:eastAsia="zh-CN"/>
              </w:rPr>
              <w:t>开立人在渝的总部或者分支机构进行</w:t>
            </w:r>
            <w:r>
              <w:rPr>
                <w:rFonts w:hint="eastAsia" w:ascii="宋体" w:hAnsi="宋体" w:eastAsia="宋体" w:cs="宋体"/>
                <w:kern w:val="0"/>
                <w:szCs w:val="21"/>
              </w:rPr>
              <w:t>核验。</w:t>
            </w:r>
          </w:p>
          <w:p w14:paraId="6D1FAEE8">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4. 投标人在开标现场递交的纸质投标保函原件应与投标文件中提供的纸质投标保函扫描件一致，否则由评标委员会作否决投标处理。</w:t>
            </w:r>
          </w:p>
          <w:p w14:paraId="62417E02">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5. 在发出中标通知书前，招标人应当对投标人（至少中标候选人或中标人）</w:t>
            </w:r>
            <w:r>
              <w:rPr>
                <w:rFonts w:hint="eastAsia" w:ascii="宋体" w:hAnsi="宋体" w:eastAsia="宋体" w:cs="宋体"/>
                <w:kern w:val="0"/>
                <w:szCs w:val="21"/>
                <w:lang w:val="en-US" w:eastAsia="zh-CN"/>
              </w:rPr>
              <w:t>递交</w:t>
            </w:r>
            <w:r>
              <w:rPr>
                <w:rFonts w:hint="eastAsia" w:ascii="宋体" w:hAnsi="宋体" w:eastAsia="宋体" w:cs="宋体"/>
                <w:kern w:val="0"/>
                <w:szCs w:val="21"/>
              </w:rPr>
              <w:t>的纸质投标保函</w:t>
            </w:r>
            <w:r>
              <w:rPr>
                <w:rFonts w:hint="eastAsia" w:ascii="宋体" w:hAnsi="宋体" w:eastAsia="宋体" w:cs="宋体"/>
                <w:kern w:val="0"/>
                <w:szCs w:val="21"/>
                <w:lang w:val="en-US" w:eastAsia="zh-CN"/>
              </w:rPr>
              <w:t>的真实性、合法性、有效性进行核验，对核验不合格或无法按纸质投标保函注明的核验地点、核验方式进行核验的，视为投标人未提交纸质投标保函</w:t>
            </w:r>
            <w:r>
              <w:rPr>
                <w:rFonts w:hint="eastAsia" w:ascii="宋体" w:hAnsi="宋体" w:eastAsia="宋体" w:cs="宋体"/>
                <w:kern w:val="0"/>
                <w:szCs w:val="21"/>
              </w:rPr>
              <w:t>，对</w:t>
            </w:r>
            <w:r>
              <w:rPr>
                <w:rFonts w:hint="eastAsia" w:ascii="宋体" w:hAnsi="宋体" w:eastAsia="宋体" w:cs="宋体"/>
                <w:szCs w:val="21"/>
              </w:rPr>
              <w:t>已取得中标候选人资格或中标资格的投标人，</w:t>
            </w:r>
            <w:r>
              <w:rPr>
                <w:rFonts w:hint="eastAsia" w:ascii="宋体" w:hAnsi="宋体" w:eastAsia="宋体" w:cs="宋体"/>
                <w:color w:val="auto"/>
                <w:szCs w:val="21"/>
                <w:highlight w:val="none"/>
                <w:lang w:val="en-US" w:eastAsia="zh-CN"/>
              </w:rPr>
              <w:t>按相关规定</w:t>
            </w:r>
            <w:r>
              <w:rPr>
                <w:rFonts w:hint="eastAsia" w:ascii="宋体" w:hAnsi="宋体" w:eastAsia="宋体" w:cs="宋体"/>
                <w:szCs w:val="21"/>
              </w:rPr>
              <w:t>取消中标候选人资格或中标资格</w:t>
            </w:r>
            <w:r>
              <w:rPr>
                <w:rFonts w:hint="eastAsia" w:ascii="宋体" w:hAnsi="宋体" w:eastAsia="宋体" w:cs="宋体"/>
                <w:kern w:val="0"/>
                <w:szCs w:val="21"/>
              </w:rPr>
              <w:t>，</w:t>
            </w:r>
            <w:r>
              <w:rPr>
                <w:rFonts w:hint="eastAsia" w:ascii="宋体" w:hAnsi="宋体" w:eastAsia="宋体" w:cs="宋体"/>
                <w:szCs w:val="21"/>
              </w:rPr>
              <w:t>给招标人造成损失的，投标人依法承担赔偿责任。</w:t>
            </w:r>
            <w:r>
              <w:rPr>
                <w:rFonts w:hint="eastAsia" w:ascii="宋体" w:hAnsi="宋体" w:eastAsia="宋体" w:cs="宋体"/>
                <w:kern w:val="0"/>
                <w:szCs w:val="21"/>
                <w:lang w:val="en-US" w:eastAsia="zh-CN"/>
              </w:rPr>
              <w:t>投标人提交的纸质投标</w:t>
            </w:r>
            <w:r>
              <w:rPr>
                <w:rFonts w:hint="eastAsia" w:ascii="宋体" w:hAnsi="宋体" w:eastAsia="宋体" w:cs="宋体"/>
                <w:szCs w:val="21"/>
              </w:rPr>
              <w:t>保函涉及弄虚作假或其他违法违规</w:t>
            </w:r>
            <w:r>
              <w:rPr>
                <w:rFonts w:hint="eastAsia" w:ascii="宋体" w:hAnsi="宋体" w:eastAsia="宋体" w:cs="宋体"/>
                <w:szCs w:val="21"/>
                <w:lang w:val="en-US" w:eastAsia="zh-CN"/>
              </w:rPr>
              <w:t>情形</w:t>
            </w:r>
            <w:r>
              <w:rPr>
                <w:rFonts w:hint="eastAsia" w:ascii="宋体" w:hAnsi="宋体" w:eastAsia="宋体" w:cs="宋体"/>
                <w:szCs w:val="21"/>
              </w:rPr>
              <w:t>的，移送相关部门处理</w:t>
            </w:r>
            <w:r>
              <w:rPr>
                <w:rFonts w:hint="eastAsia" w:ascii="宋体" w:hAnsi="宋体" w:eastAsia="宋体" w:cs="宋体"/>
                <w:kern w:val="0"/>
                <w:szCs w:val="21"/>
              </w:rPr>
              <w:t>。</w:t>
            </w:r>
          </w:p>
          <w:p w14:paraId="62CC4459">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二、纸质投标保函的退还、注销</w:t>
            </w:r>
          </w:p>
          <w:p w14:paraId="6AF04F1E">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color w:val="auto"/>
                <w:highlight w:val="none"/>
              </w:rPr>
              <w:t>招标人应当在法定时间内确定中标人。招标人</w:t>
            </w:r>
            <w:r>
              <w:rPr>
                <w:rFonts w:hint="eastAsia" w:ascii="宋体" w:hAnsi="宋体" w:eastAsia="宋体" w:cs="宋体"/>
                <w:color w:val="auto"/>
                <w:highlight w:val="none"/>
                <w:lang w:eastAsia="zh-CN"/>
              </w:rPr>
              <w:t>或者招标投标交易场所运行服务机构</w:t>
            </w:r>
            <w:r>
              <w:rPr>
                <w:rFonts w:hint="eastAsia" w:ascii="宋体" w:hAnsi="宋体" w:eastAsia="宋体" w:cs="宋体"/>
                <w:color w:val="auto"/>
                <w:highlight w:val="none"/>
              </w:rPr>
              <w:t>应当在中标通知书发出后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日内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向除中标人以外的其他投标人退还纸质投标保函正本</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并书面通知相关</w:t>
            </w:r>
            <w:r>
              <w:rPr>
                <w:rFonts w:hint="eastAsia" w:ascii="宋体" w:hAnsi="宋体" w:eastAsia="宋体" w:cs="宋体"/>
                <w:color w:val="auto"/>
                <w:highlight w:val="none"/>
                <w:lang w:val="en-US" w:eastAsia="zh-CN"/>
              </w:rPr>
              <w:t>金融机构</w:t>
            </w:r>
            <w:r>
              <w:rPr>
                <w:rFonts w:hint="eastAsia" w:ascii="宋体" w:hAnsi="宋体" w:eastAsia="宋体" w:cs="宋体"/>
                <w:color w:val="auto"/>
                <w:highlight w:val="none"/>
              </w:rPr>
              <w:t>本项目准予提前注销纸质投标保函。具体注销事宜由投标人与</w:t>
            </w:r>
            <w:r>
              <w:rPr>
                <w:rFonts w:hint="eastAsia" w:ascii="宋体" w:hAnsi="宋体" w:eastAsia="宋体" w:cs="宋体"/>
                <w:color w:val="auto"/>
                <w:highlight w:val="none"/>
                <w:lang w:val="en-US" w:eastAsia="zh-CN"/>
              </w:rPr>
              <w:t>金融机构</w:t>
            </w:r>
            <w:r>
              <w:rPr>
                <w:rFonts w:hint="eastAsia" w:ascii="宋体" w:hAnsi="宋体" w:eastAsia="宋体" w:cs="宋体"/>
                <w:color w:val="auto"/>
                <w:highlight w:val="none"/>
              </w:rPr>
              <w:t>协商。</w:t>
            </w:r>
          </w:p>
          <w:p w14:paraId="123D6736">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color w:val="auto"/>
                <w:highlight w:val="none"/>
              </w:rPr>
              <w:t>招标人应当在法定时间内和中标人签订合同。招标人或者招标投标交易场所运行服务机构应当在招标人与中标人签订合同后5日内，</w:t>
            </w:r>
            <w:r>
              <w:rPr>
                <w:rFonts w:hint="eastAsia" w:ascii="宋体" w:hAnsi="宋体" w:eastAsia="宋体" w:cs="宋体"/>
                <w:color w:val="auto"/>
                <w:highlight w:val="none"/>
                <w:lang w:eastAsia="zh-CN"/>
              </w:rPr>
              <w:t>向</w:t>
            </w:r>
            <w:r>
              <w:rPr>
                <w:rFonts w:hint="eastAsia" w:ascii="宋体" w:hAnsi="宋体" w:eastAsia="宋体" w:cs="宋体"/>
                <w:color w:val="auto"/>
                <w:highlight w:val="none"/>
              </w:rPr>
              <w:t>中标人退还纸质投标保函正本</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并书面通知相关</w:t>
            </w:r>
            <w:r>
              <w:rPr>
                <w:rFonts w:hint="eastAsia" w:ascii="宋体" w:hAnsi="宋体" w:eastAsia="宋体" w:cs="宋体"/>
                <w:color w:val="auto"/>
                <w:highlight w:val="none"/>
                <w:lang w:val="en-US" w:eastAsia="zh-CN"/>
              </w:rPr>
              <w:t>金融机构</w:t>
            </w:r>
            <w:r>
              <w:rPr>
                <w:rFonts w:hint="eastAsia" w:ascii="宋体" w:hAnsi="宋体" w:eastAsia="宋体" w:cs="宋体"/>
                <w:color w:val="auto"/>
                <w:highlight w:val="none"/>
              </w:rPr>
              <w:t>本项目准予提前注销纸质投标保函。具体注销事宜由投标人与</w:t>
            </w:r>
            <w:r>
              <w:rPr>
                <w:rFonts w:hint="eastAsia" w:ascii="宋体" w:hAnsi="宋体" w:eastAsia="宋体" w:cs="宋体"/>
                <w:color w:val="auto"/>
                <w:highlight w:val="none"/>
                <w:lang w:val="en-US" w:eastAsia="zh-CN"/>
              </w:rPr>
              <w:t>金融机构</w:t>
            </w:r>
            <w:r>
              <w:rPr>
                <w:rFonts w:hint="eastAsia" w:ascii="宋体" w:hAnsi="宋体" w:eastAsia="宋体" w:cs="宋体"/>
                <w:color w:val="auto"/>
                <w:highlight w:val="none"/>
              </w:rPr>
              <w:t>协商。</w:t>
            </w:r>
          </w:p>
        </w:tc>
      </w:tr>
      <w:tr w14:paraId="56643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6E74E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3.6</w:t>
            </w:r>
          </w:p>
        </w:tc>
        <w:tc>
          <w:tcPr>
            <w:tcW w:w="1644" w:type="dxa"/>
            <w:vAlign w:val="center"/>
          </w:tcPr>
          <w:p w14:paraId="25840E7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是否允许递交</w:t>
            </w:r>
          </w:p>
          <w:p w14:paraId="4ACD416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备选投标方案</w:t>
            </w:r>
          </w:p>
        </w:tc>
        <w:tc>
          <w:tcPr>
            <w:tcW w:w="6490" w:type="dxa"/>
            <w:vAlign w:val="center"/>
          </w:tcPr>
          <w:p w14:paraId="5A69A764">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不允许</w:t>
            </w:r>
          </w:p>
          <w:p w14:paraId="520EB53E">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□允许</w:t>
            </w:r>
          </w:p>
        </w:tc>
      </w:tr>
      <w:tr w14:paraId="48C487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DC495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3.7.1</w:t>
            </w:r>
          </w:p>
        </w:tc>
        <w:tc>
          <w:tcPr>
            <w:tcW w:w="1644" w:type="dxa"/>
            <w:vAlign w:val="center"/>
          </w:tcPr>
          <w:p w14:paraId="76CC0AA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投标文件格式要求</w:t>
            </w:r>
          </w:p>
        </w:tc>
        <w:tc>
          <w:tcPr>
            <w:tcW w:w="6490" w:type="dxa"/>
            <w:vAlign w:val="center"/>
          </w:tcPr>
          <w:p w14:paraId="11F28B49">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编制投标文件时不得对第八章“投标文件格式”的相应要素作实质性修改，否则视为重大偏差，由评标委员会作否决投标处理。</w:t>
            </w:r>
          </w:p>
        </w:tc>
      </w:tr>
      <w:tr w14:paraId="14501A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3BE3D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3.7.3</w:t>
            </w:r>
          </w:p>
        </w:tc>
        <w:tc>
          <w:tcPr>
            <w:tcW w:w="1644" w:type="dxa"/>
            <w:vAlign w:val="center"/>
          </w:tcPr>
          <w:p w14:paraId="2DD6370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签名盖章要求</w:t>
            </w:r>
          </w:p>
        </w:tc>
        <w:tc>
          <w:tcPr>
            <w:tcW w:w="6490" w:type="dxa"/>
            <w:vAlign w:val="center"/>
          </w:tcPr>
          <w:p w14:paraId="716782C0">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投标文件应使用专用的“新点投标文件制作软件（重庆版）”编制而成。第八章 投标文件格式要求法定代表人</w:t>
            </w:r>
            <w:r>
              <w:rPr>
                <w:rFonts w:hint="eastAsia" w:ascii="宋体" w:hAnsi="宋体" w:eastAsia="宋体" w:cs="宋体"/>
                <w:szCs w:val="21"/>
                <w:lang w:eastAsia="zh-CN"/>
              </w:rPr>
              <w:t>（</w:t>
            </w:r>
            <w:r>
              <w:rPr>
                <w:rFonts w:hint="eastAsia" w:ascii="宋体" w:hAnsi="宋体" w:eastAsia="宋体" w:cs="宋体"/>
                <w:szCs w:val="21"/>
              </w:rPr>
              <w:t>或其委托代理人</w:t>
            </w:r>
            <w:r>
              <w:rPr>
                <w:rFonts w:hint="eastAsia" w:ascii="宋体" w:hAnsi="宋体" w:eastAsia="宋体" w:cs="宋体"/>
                <w:szCs w:val="21"/>
                <w:lang w:eastAsia="zh-CN"/>
              </w:rPr>
              <w:t>）</w:t>
            </w:r>
            <w:r>
              <w:rPr>
                <w:rFonts w:hint="eastAsia" w:ascii="宋体" w:hAnsi="宋体" w:eastAsia="宋体" w:cs="宋体"/>
                <w:kern w:val="0"/>
                <w:szCs w:val="21"/>
              </w:rPr>
              <w:t>签名</w:t>
            </w:r>
            <w:r>
              <w:rPr>
                <w:rFonts w:hint="eastAsia" w:ascii="宋体" w:hAnsi="宋体" w:eastAsia="宋体" w:cs="宋体"/>
                <w:szCs w:val="21"/>
              </w:rPr>
              <w:t>（或盖章）的须齐全，</w:t>
            </w:r>
            <w:r>
              <w:rPr>
                <w:rFonts w:hint="eastAsia" w:ascii="宋体" w:hAnsi="宋体" w:eastAsia="宋体" w:cs="宋体"/>
                <w:color w:val="auto"/>
                <w:szCs w:val="21"/>
                <w:highlight w:val="none"/>
                <w:lang w:val="en-US" w:eastAsia="zh-CN"/>
              </w:rPr>
              <w:t>要求签名的，</w:t>
            </w:r>
            <w:r>
              <w:rPr>
                <w:rFonts w:hint="eastAsia" w:ascii="宋体" w:hAnsi="宋体" w:eastAsia="宋体" w:cs="宋体"/>
                <w:color w:val="auto"/>
                <w:szCs w:val="21"/>
                <w:highlight w:val="none"/>
              </w:rPr>
              <w:t>签名采用手写签名</w:t>
            </w:r>
            <w:r>
              <w:rPr>
                <w:rFonts w:hint="eastAsia" w:ascii="宋体" w:hAnsi="宋体" w:eastAsia="宋体" w:cs="宋体"/>
                <w:color w:val="auto"/>
                <w:szCs w:val="21"/>
                <w:highlight w:val="none"/>
                <w:lang w:val="en-US" w:eastAsia="zh-CN"/>
              </w:rPr>
              <w:t>或签章</w:t>
            </w:r>
            <w:r>
              <w:rPr>
                <w:rFonts w:hint="eastAsia" w:ascii="宋体" w:hAnsi="宋体" w:eastAsia="宋体" w:cs="宋体"/>
                <w:color w:val="auto"/>
                <w:szCs w:val="21"/>
                <w:highlight w:val="none"/>
              </w:rPr>
              <w:t>或加盖CA数字证书均可</w:t>
            </w:r>
            <w:r>
              <w:rPr>
                <w:rFonts w:hint="eastAsia" w:ascii="宋体" w:hAnsi="宋体" w:eastAsia="宋体" w:cs="宋体"/>
                <w:color w:val="auto"/>
                <w:szCs w:val="21"/>
                <w:highlight w:val="none"/>
                <w:lang w:eastAsia="zh-CN"/>
              </w:rPr>
              <w:t>，</w:t>
            </w:r>
            <w:r>
              <w:rPr>
                <w:rFonts w:hint="eastAsia" w:ascii="宋体" w:hAnsi="宋体" w:eastAsia="宋体" w:cs="宋体"/>
                <w:szCs w:val="21"/>
              </w:rPr>
              <w:t>要求加盖单位法人章的，应使用 CA 数字证书加盖投标人的单位电子印章。</w:t>
            </w:r>
          </w:p>
          <w:p w14:paraId="72C858B8">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若投标单位为联合体，则</w:t>
            </w:r>
            <w:r>
              <w:rPr>
                <w:rFonts w:hint="eastAsia" w:ascii="宋体" w:hAnsi="宋体" w:eastAsia="宋体" w:cs="宋体"/>
                <w:lang w:val="en-US" w:eastAsia="zh-CN"/>
              </w:rPr>
              <w:t>共同投标协议</w:t>
            </w:r>
            <w:r>
              <w:rPr>
                <w:rFonts w:hint="eastAsia" w:ascii="宋体" w:hAnsi="宋体" w:eastAsia="宋体" w:cs="宋体"/>
                <w:szCs w:val="21"/>
              </w:rPr>
              <w:t>中各联合体成员单位</w:t>
            </w:r>
            <w:r>
              <w:rPr>
                <w:rFonts w:hint="eastAsia" w:ascii="宋体" w:hAnsi="宋体" w:eastAsia="宋体" w:cs="宋体"/>
                <w:kern w:val="0"/>
                <w:szCs w:val="21"/>
              </w:rPr>
              <w:t>签名</w:t>
            </w:r>
            <w:r>
              <w:rPr>
                <w:rFonts w:hint="eastAsia" w:ascii="宋体" w:hAnsi="宋体" w:eastAsia="宋体" w:cs="宋体"/>
                <w:szCs w:val="21"/>
              </w:rPr>
              <w:t>（或盖章）须齐全，要求各联合体成员盖单位法人章的，各联合体成员盖章须齐全；</w:t>
            </w:r>
            <w:r>
              <w:rPr>
                <w:rFonts w:hint="eastAsia" w:ascii="宋体" w:hAnsi="宋体" w:eastAsia="宋体" w:cs="宋体"/>
                <w:lang w:val="en-US" w:eastAsia="zh-CN"/>
              </w:rPr>
              <w:t>共同投标协议</w:t>
            </w:r>
            <w:r>
              <w:rPr>
                <w:rFonts w:hint="eastAsia" w:ascii="宋体" w:hAnsi="宋体" w:eastAsia="宋体" w:cs="宋体"/>
                <w:szCs w:val="21"/>
              </w:rPr>
              <w:t>以外的投标文件格式中，要求法定代表人</w:t>
            </w:r>
            <w:r>
              <w:rPr>
                <w:rFonts w:hint="eastAsia" w:ascii="宋体" w:hAnsi="宋体" w:eastAsia="宋体" w:cs="宋体"/>
                <w:szCs w:val="21"/>
                <w:lang w:eastAsia="zh-CN"/>
              </w:rPr>
              <w:t>（</w:t>
            </w:r>
            <w:r>
              <w:rPr>
                <w:rFonts w:hint="eastAsia" w:ascii="宋体" w:hAnsi="宋体" w:eastAsia="宋体" w:cs="宋体"/>
                <w:szCs w:val="21"/>
              </w:rPr>
              <w:t>或其委托代理人</w:t>
            </w:r>
            <w:r>
              <w:rPr>
                <w:rFonts w:hint="eastAsia" w:ascii="宋体" w:hAnsi="宋体" w:eastAsia="宋体" w:cs="宋体"/>
                <w:szCs w:val="21"/>
                <w:lang w:eastAsia="zh-CN"/>
              </w:rPr>
              <w:t>）</w:t>
            </w:r>
            <w:r>
              <w:rPr>
                <w:rFonts w:hint="eastAsia" w:ascii="宋体" w:hAnsi="宋体" w:eastAsia="宋体" w:cs="宋体"/>
                <w:kern w:val="0"/>
                <w:szCs w:val="21"/>
              </w:rPr>
              <w:t>签名</w:t>
            </w:r>
            <w:r>
              <w:rPr>
                <w:rFonts w:hint="eastAsia" w:ascii="宋体" w:hAnsi="宋体" w:eastAsia="宋体" w:cs="宋体"/>
                <w:szCs w:val="21"/>
              </w:rPr>
              <w:t>（或盖章）的均由联合体牵头人法定代表人</w:t>
            </w:r>
            <w:r>
              <w:rPr>
                <w:rFonts w:hint="eastAsia" w:ascii="宋体" w:hAnsi="宋体" w:eastAsia="宋体" w:cs="宋体"/>
                <w:szCs w:val="21"/>
                <w:lang w:eastAsia="zh-CN"/>
              </w:rPr>
              <w:t>（</w:t>
            </w:r>
            <w:r>
              <w:rPr>
                <w:rFonts w:hint="eastAsia" w:ascii="宋体" w:hAnsi="宋体" w:eastAsia="宋体" w:cs="宋体"/>
                <w:szCs w:val="21"/>
              </w:rPr>
              <w:t>或其委托代理人</w:t>
            </w:r>
            <w:r>
              <w:rPr>
                <w:rFonts w:hint="eastAsia" w:ascii="宋体" w:hAnsi="宋体" w:eastAsia="宋体" w:cs="宋体"/>
                <w:szCs w:val="21"/>
                <w:lang w:eastAsia="zh-CN"/>
              </w:rPr>
              <w:t>）</w:t>
            </w:r>
            <w:r>
              <w:rPr>
                <w:rFonts w:hint="eastAsia" w:ascii="宋体" w:hAnsi="宋体" w:eastAsia="宋体" w:cs="宋体"/>
                <w:kern w:val="0"/>
                <w:szCs w:val="21"/>
              </w:rPr>
              <w:t>签名</w:t>
            </w:r>
            <w:r>
              <w:rPr>
                <w:rFonts w:hint="eastAsia" w:ascii="宋体" w:hAnsi="宋体" w:eastAsia="宋体" w:cs="宋体"/>
                <w:szCs w:val="21"/>
              </w:rPr>
              <w:t>（或盖章），要求投标人加盖单位法人章的，均由联合体牵头人使用 CA 数字证书加盖其单位电子印章。</w:t>
            </w:r>
          </w:p>
          <w:p w14:paraId="4BAC3333">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未按上述规定执行的，交由评标委员会作否决投标处理。</w:t>
            </w:r>
          </w:p>
        </w:tc>
      </w:tr>
      <w:tr w14:paraId="776C84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7EED2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3.7.4</w:t>
            </w:r>
          </w:p>
        </w:tc>
        <w:tc>
          <w:tcPr>
            <w:tcW w:w="1644" w:type="dxa"/>
            <w:vAlign w:val="center"/>
          </w:tcPr>
          <w:p w14:paraId="7B17570E">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spacing w:val="-6"/>
                <w:kern w:val="0"/>
                <w:szCs w:val="21"/>
              </w:rPr>
            </w:pPr>
            <w:r>
              <w:rPr>
                <w:rFonts w:hint="eastAsia" w:ascii="宋体" w:hAnsi="宋体" w:eastAsia="宋体" w:cs="宋体"/>
                <w:spacing w:val="-6"/>
                <w:kern w:val="0"/>
                <w:szCs w:val="21"/>
              </w:rPr>
              <w:t>投标文件的份数</w:t>
            </w:r>
          </w:p>
        </w:tc>
        <w:tc>
          <w:tcPr>
            <w:tcW w:w="6490" w:type="dxa"/>
            <w:vAlign w:val="center"/>
          </w:tcPr>
          <w:p w14:paraId="10071C85">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i/>
                <w:kern w:val="0"/>
                <w:szCs w:val="21"/>
              </w:rPr>
            </w:pPr>
            <w:r>
              <w:rPr>
                <w:rFonts w:hint="eastAsia" w:ascii="宋体" w:hAnsi="宋体" w:eastAsia="宋体" w:cs="宋体"/>
                <w:kern w:val="0"/>
                <w:szCs w:val="21"/>
              </w:rPr>
              <w:t>本工程采用全流程电子招标投标，投标人提供的投标文件为：加密电子投标文件（网上递交）一份。</w:t>
            </w:r>
          </w:p>
        </w:tc>
      </w:tr>
      <w:tr w14:paraId="63138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5" w:type="dxa"/>
            <w:vAlign w:val="center"/>
          </w:tcPr>
          <w:p w14:paraId="1BE3A65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3.7.5</w:t>
            </w:r>
          </w:p>
        </w:tc>
        <w:tc>
          <w:tcPr>
            <w:tcW w:w="1644" w:type="dxa"/>
            <w:vAlign w:val="center"/>
          </w:tcPr>
          <w:p w14:paraId="67AAE54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编制要求</w:t>
            </w:r>
          </w:p>
        </w:tc>
        <w:tc>
          <w:tcPr>
            <w:tcW w:w="6490" w:type="dxa"/>
            <w:vAlign w:val="center"/>
          </w:tcPr>
          <w:p w14:paraId="07FD8BCD">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具体要求：</w:t>
            </w:r>
          </w:p>
          <w:p w14:paraId="6526EDCD">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（1）投标函部分</w:t>
            </w:r>
          </w:p>
          <w:p w14:paraId="2D4D59DE">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应按照第八章规定格式排版，</w:t>
            </w:r>
            <w:r>
              <w:rPr>
                <w:rFonts w:hint="eastAsia" w:ascii="宋体" w:hAnsi="宋体" w:eastAsia="宋体" w:cs="宋体"/>
                <w:color w:val="auto"/>
                <w:szCs w:val="21"/>
                <w:highlight w:val="none"/>
                <w:lang w:val="en-US" w:eastAsia="zh-CN"/>
              </w:rPr>
              <w:t>原则上</w:t>
            </w:r>
            <w:r>
              <w:rPr>
                <w:rFonts w:hint="eastAsia" w:ascii="宋体" w:hAnsi="宋体" w:eastAsia="宋体" w:cs="宋体"/>
                <w:szCs w:val="21"/>
              </w:rPr>
              <w:t>应编制目录，但不得将目录编制作为评审因素。</w:t>
            </w:r>
          </w:p>
          <w:p w14:paraId="4B39A7F7">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报价</w:t>
            </w:r>
            <w:r>
              <w:rPr>
                <w:rFonts w:hint="eastAsia" w:ascii="宋体" w:hAnsi="宋体" w:eastAsia="宋体" w:cs="宋体"/>
                <w:szCs w:val="21"/>
              </w:rPr>
              <w:t>部分</w:t>
            </w:r>
          </w:p>
          <w:p w14:paraId="6B51D2BC">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应按照第八章规定格式排版，</w:t>
            </w:r>
            <w:r>
              <w:rPr>
                <w:rFonts w:hint="eastAsia" w:ascii="宋体" w:hAnsi="宋体" w:eastAsia="宋体" w:cs="宋体"/>
                <w:color w:val="auto"/>
                <w:szCs w:val="21"/>
                <w:highlight w:val="none"/>
                <w:lang w:val="en-US" w:eastAsia="zh-CN"/>
              </w:rPr>
              <w:t>原则上</w:t>
            </w:r>
            <w:r>
              <w:rPr>
                <w:rFonts w:hint="eastAsia" w:ascii="宋体" w:hAnsi="宋体" w:eastAsia="宋体" w:cs="宋体"/>
                <w:szCs w:val="21"/>
              </w:rPr>
              <w:t>应编制目录，但不得将目录编制作为评审因素。</w:t>
            </w:r>
          </w:p>
          <w:p w14:paraId="1A274324">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3</w:t>
            </w:r>
            <w:r>
              <w:rPr>
                <w:rFonts w:hint="eastAsia" w:ascii="宋体" w:hAnsi="宋体" w:eastAsia="宋体" w:cs="宋体"/>
                <w:szCs w:val="21"/>
                <w:lang w:eastAsia="zh-CN"/>
              </w:rPr>
              <w:t>）</w:t>
            </w:r>
            <w:r>
              <w:rPr>
                <w:rFonts w:hint="eastAsia" w:ascii="宋体" w:hAnsi="宋体" w:eastAsia="宋体" w:cs="宋体"/>
                <w:szCs w:val="21"/>
                <w:lang w:val="en-US" w:eastAsia="zh-CN"/>
              </w:rPr>
              <w:t>商务部分</w:t>
            </w:r>
          </w:p>
          <w:p w14:paraId="58A6969D">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应按照第</w:t>
            </w:r>
            <w:r>
              <w:rPr>
                <w:rFonts w:hint="eastAsia" w:ascii="宋体" w:hAnsi="宋体" w:eastAsia="宋体" w:cs="宋体"/>
                <w:szCs w:val="21"/>
                <w:lang w:val="en-US" w:eastAsia="zh-CN"/>
              </w:rPr>
              <w:t>八</w:t>
            </w:r>
            <w:r>
              <w:rPr>
                <w:rFonts w:hint="eastAsia" w:ascii="宋体" w:hAnsi="宋体" w:eastAsia="宋体" w:cs="宋体"/>
                <w:szCs w:val="21"/>
              </w:rPr>
              <w:t>章规定格式排版，原则上应编制目录，但不得将目录编制作为评审因素。</w:t>
            </w:r>
          </w:p>
          <w:p w14:paraId="7CBA375C">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）技术部分</w:t>
            </w:r>
          </w:p>
          <w:p w14:paraId="091D5120">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电子投标文件技术暗标不设封面，整个《技术方案》均不得出现白页和倒页；不得出现与本工程无关的内容；不得显示与投标人企业有关的任何信息；《技术方案》文本部分的文字采用四号仿宋字体，文本部分采用A4页面；图表内的字体、字号大小不限，图表部分采用A3或A4页面；文字、图表不得使用彩色和不得编制页码。违反上述任何一项，采用经评审的最低投标价法的其投标文件《技术方案》符合性评审不合格，由评标委员会作否决投标处理；采用综合评估法的其投标文件《技术方案》部分为零分。</w:t>
            </w:r>
          </w:p>
          <w:p w14:paraId="793ECADE">
            <w:pPr>
              <w:keepNext w:val="0"/>
              <w:keepLines w:val="0"/>
              <w:pageBreakBefore w:val="0"/>
              <w:kinsoku/>
              <w:wordWrap/>
              <w:overflowPunct/>
              <w:topLinePunct w:val="0"/>
              <w:bidi w:val="0"/>
              <w:adjustRightInd w:val="0"/>
              <w:snapToGrid w:val="0"/>
              <w:spacing w:line="400" w:lineRule="exact"/>
              <w:ind w:firstLine="420" w:firstLineChars="200"/>
              <w:textAlignment w:val="auto"/>
              <w:rPr>
                <w:rStyle w:val="54"/>
                <w:rFonts w:hint="eastAsia" w:ascii="宋体" w:hAnsi="宋体" w:eastAsia="宋体" w:cs="宋体"/>
              </w:rPr>
            </w:pPr>
            <w:r>
              <w:rPr>
                <w:rFonts w:hint="eastAsia" w:ascii="宋体" w:hAnsi="宋体" w:eastAsia="宋体" w:cs="宋体"/>
                <w:szCs w:val="21"/>
              </w:rPr>
              <w:t>（技术方案原则上不超过</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200</w:t>
            </w:r>
            <w:r>
              <w:rPr>
                <w:rFonts w:hint="eastAsia" w:ascii="宋体" w:hAnsi="宋体" w:eastAsia="宋体" w:cs="宋体"/>
                <w:szCs w:val="21"/>
                <w:u w:val="single"/>
              </w:rPr>
              <w:t xml:space="preserve"> </w:t>
            </w:r>
            <w:r>
              <w:rPr>
                <w:rFonts w:hint="eastAsia" w:ascii="宋体" w:hAnsi="宋体" w:eastAsia="宋体" w:cs="宋体"/>
                <w:szCs w:val="21"/>
              </w:rPr>
              <w:t>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但不得将页数作为评审因素</w:t>
            </w:r>
            <w:r>
              <w:rPr>
                <w:rFonts w:hint="eastAsia" w:ascii="宋体" w:hAnsi="宋体" w:eastAsia="宋体" w:cs="宋体"/>
                <w:szCs w:val="21"/>
              </w:rPr>
              <w:t>。）</w:t>
            </w:r>
          </w:p>
          <w:p w14:paraId="70AD3675">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）资格审查部分</w:t>
            </w:r>
          </w:p>
          <w:p w14:paraId="40CA497B">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应按照第八章规定格式排版，</w:t>
            </w:r>
            <w:r>
              <w:rPr>
                <w:rFonts w:hint="eastAsia" w:ascii="宋体" w:hAnsi="宋体" w:eastAsia="宋体" w:cs="宋体"/>
                <w:color w:val="auto"/>
                <w:szCs w:val="21"/>
                <w:highlight w:val="none"/>
                <w:lang w:val="en-US" w:eastAsia="zh-CN"/>
              </w:rPr>
              <w:t>原则上</w:t>
            </w:r>
            <w:r>
              <w:rPr>
                <w:rFonts w:hint="eastAsia" w:ascii="宋体" w:hAnsi="宋体" w:eastAsia="宋体" w:cs="宋体"/>
                <w:szCs w:val="21"/>
              </w:rPr>
              <w:t>应编制目录，但不得将目录编制作为评审因素。</w:t>
            </w:r>
          </w:p>
          <w:p w14:paraId="5DA695F6">
            <w:pPr>
              <w:keepNext w:val="0"/>
              <w:keepLines w:val="0"/>
              <w:pageBreakBefore w:val="0"/>
              <w:kinsoku/>
              <w:wordWrap/>
              <w:overflowPunct/>
              <w:topLinePunct w:val="0"/>
              <w:bidi w:val="0"/>
              <w:adjustRightInd w:val="0"/>
              <w:snapToGrid w:val="0"/>
              <w:spacing w:line="400" w:lineRule="exact"/>
              <w:ind w:firstLine="420" w:firstLineChars="200"/>
              <w:textAlignment w:val="auto"/>
              <w:rPr>
                <w:rStyle w:val="54"/>
                <w:rFonts w:hint="eastAsia" w:ascii="宋体" w:hAnsi="宋体" w:eastAsia="宋体" w:cs="宋体"/>
              </w:rPr>
            </w:pPr>
            <w:r>
              <w:rPr>
                <w:rFonts w:hint="eastAsia" w:ascii="宋体" w:hAnsi="宋体" w:eastAsia="宋体" w:cs="宋体"/>
                <w:szCs w:val="21"/>
                <w:lang w:val="en-US" w:eastAsia="zh-CN"/>
              </w:rPr>
              <w:t>注：投标人应按照招标文件要求，在投标文件的对应部分提供相关资料（如在资格审查部分提供招标文件</w:t>
            </w:r>
            <w:r>
              <w:rPr>
                <w:rFonts w:hint="eastAsia" w:ascii="宋体" w:hAnsi="宋体" w:eastAsia="宋体" w:cs="宋体"/>
                <w:szCs w:val="21"/>
              </w:rPr>
              <w:t>第二章投标人须知前附表第1.4.1项</w:t>
            </w:r>
            <w:r>
              <w:rPr>
                <w:rFonts w:hint="eastAsia" w:ascii="宋体" w:hAnsi="宋体" w:eastAsia="宋体" w:cs="宋体"/>
                <w:szCs w:val="21"/>
                <w:lang w:val="en-US" w:eastAsia="zh-CN"/>
              </w:rPr>
              <w:t>和</w:t>
            </w:r>
            <w:r>
              <w:rPr>
                <w:rFonts w:hint="eastAsia" w:ascii="宋体" w:hAnsi="宋体" w:eastAsia="宋体" w:cs="宋体"/>
                <w:szCs w:val="21"/>
              </w:rPr>
              <w:t>第3.4款要求提供的资料</w:t>
            </w:r>
            <w:r>
              <w:rPr>
                <w:rFonts w:hint="eastAsia" w:ascii="宋体" w:hAnsi="宋体" w:eastAsia="宋体" w:cs="宋体"/>
                <w:szCs w:val="21"/>
                <w:lang w:val="en-US" w:eastAsia="zh-CN"/>
              </w:rPr>
              <w:t>，在商务部分提供招标文件第三章评标办法前附表中商务评审标准要求提供的资料</w:t>
            </w:r>
            <w:r>
              <w:rPr>
                <w:rFonts w:hint="eastAsia" w:ascii="宋体" w:hAnsi="宋体" w:eastAsia="宋体" w:cs="宋体"/>
                <w:szCs w:val="21"/>
              </w:rPr>
              <w:t>，在技术部分提供招标文件第三章评标办法前附表中技术评审标准要求提供的资料</w:t>
            </w:r>
            <w:r>
              <w:rPr>
                <w:rFonts w:hint="eastAsia" w:ascii="宋体" w:hAnsi="宋体" w:eastAsia="宋体" w:cs="宋体"/>
                <w:szCs w:val="21"/>
                <w:lang w:val="en-US" w:eastAsia="zh-CN"/>
              </w:rPr>
              <w:t>），否则视为未提供。</w:t>
            </w:r>
          </w:p>
        </w:tc>
      </w:tr>
      <w:tr w14:paraId="758C7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BADA48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4.1.1</w:t>
            </w:r>
          </w:p>
        </w:tc>
        <w:tc>
          <w:tcPr>
            <w:tcW w:w="1644" w:type="dxa"/>
            <w:vAlign w:val="center"/>
          </w:tcPr>
          <w:p w14:paraId="75FAC66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pacing w:val="-6"/>
                <w:kern w:val="0"/>
                <w:szCs w:val="21"/>
              </w:rPr>
            </w:pPr>
            <w:r>
              <w:rPr>
                <w:rFonts w:hint="eastAsia" w:ascii="宋体" w:hAnsi="宋体" w:eastAsia="宋体" w:cs="宋体"/>
                <w:spacing w:val="-6"/>
                <w:kern w:val="0"/>
                <w:szCs w:val="21"/>
              </w:rPr>
              <w:t>投标文件的密封</w:t>
            </w:r>
          </w:p>
        </w:tc>
        <w:tc>
          <w:tcPr>
            <w:tcW w:w="6490" w:type="dxa"/>
            <w:vAlign w:val="center"/>
          </w:tcPr>
          <w:p w14:paraId="13A7AC83">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电子投标文件的加密</w:t>
            </w:r>
          </w:p>
          <w:p w14:paraId="6C3AA98D">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加密的电子投标文件应按照本章第4.1.3项要求制作并加密，未按要求加密的电子投标文件，将无法上传至重庆市电子招投标系统，逾期未完成上传投标文件的，视为撤回投标文件。</w:t>
            </w:r>
          </w:p>
          <w:p w14:paraId="70FDA469">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投标人如需递交不加密电子投标文件，应用“投标文件”袋单独封装，并在封口处加盖投标人单位法人章，同时“投标文件”袋应按本表第4.1.2项的规定写明相应内容。“投标文件”袋未按要求密封的，招标人或代理机构</w:t>
            </w:r>
            <w:r>
              <w:rPr>
                <w:rFonts w:hint="eastAsia" w:ascii="宋体" w:hAnsi="宋体" w:eastAsia="宋体" w:cs="宋体"/>
                <w:szCs w:val="21"/>
                <w:lang w:val="en-US" w:eastAsia="zh-CN"/>
              </w:rPr>
              <w:t>应当</w:t>
            </w:r>
            <w:r>
              <w:rPr>
                <w:rFonts w:hint="eastAsia" w:ascii="宋体" w:hAnsi="宋体" w:eastAsia="宋体" w:cs="宋体"/>
                <w:szCs w:val="21"/>
              </w:rPr>
              <w:t>拒收。</w:t>
            </w:r>
          </w:p>
        </w:tc>
      </w:tr>
      <w:tr w14:paraId="17299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CC7D9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4.1.2</w:t>
            </w:r>
          </w:p>
        </w:tc>
        <w:tc>
          <w:tcPr>
            <w:tcW w:w="1644" w:type="dxa"/>
            <w:vAlign w:val="center"/>
          </w:tcPr>
          <w:p w14:paraId="3F0ABB3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封套上写明</w:t>
            </w:r>
          </w:p>
        </w:tc>
        <w:tc>
          <w:tcPr>
            <w:tcW w:w="6490" w:type="dxa"/>
            <w:vAlign w:val="center"/>
          </w:tcPr>
          <w:p w14:paraId="77A3C90F">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应在</w:t>
            </w:r>
            <w:r>
              <w:rPr>
                <w:rFonts w:hint="eastAsia" w:ascii="宋体" w:hAnsi="宋体" w:eastAsia="宋体" w:cs="宋体"/>
                <w:szCs w:val="21"/>
              </w:rPr>
              <w:t xml:space="preserve"> </w:t>
            </w:r>
            <w:r>
              <w:rPr>
                <w:rFonts w:hint="eastAsia" w:ascii="宋体" w:hAnsi="宋体" w:eastAsia="宋体" w:cs="宋体"/>
                <w:kern w:val="0"/>
                <w:szCs w:val="21"/>
              </w:rPr>
              <w:t>“投标文件”袋封套上写明如下内容：</w:t>
            </w:r>
          </w:p>
          <w:p w14:paraId="4BAB9D17">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u w:val="single"/>
              </w:rPr>
            </w:pPr>
            <w:r>
              <w:rPr>
                <w:rFonts w:hint="eastAsia" w:ascii="宋体" w:hAnsi="宋体" w:eastAsia="宋体" w:cs="宋体"/>
                <w:kern w:val="0"/>
                <w:szCs w:val="21"/>
              </w:rPr>
              <w:t>招标人名称：</w:t>
            </w:r>
            <w:r>
              <w:rPr>
                <w:rFonts w:hint="eastAsia" w:ascii="宋体" w:hAnsi="宋体" w:eastAsia="宋体" w:cs="宋体"/>
                <w:kern w:val="0"/>
                <w:szCs w:val="21"/>
                <w:u w:val="single"/>
              </w:rPr>
              <w:t xml:space="preserve">            </w:t>
            </w:r>
          </w:p>
          <w:p w14:paraId="138D3C74">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u w:val="single"/>
              </w:rPr>
            </w:pPr>
            <w:r>
              <w:rPr>
                <w:rFonts w:hint="eastAsia" w:ascii="宋体" w:hAnsi="宋体" w:eastAsia="宋体" w:cs="宋体"/>
                <w:kern w:val="0"/>
                <w:szCs w:val="21"/>
              </w:rPr>
              <w:t>投标人名称：</w:t>
            </w:r>
            <w:r>
              <w:rPr>
                <w:rFonts w:hint="eastAsia" w:ascii="宋体" w:hAnsi="宋体" w:eastAsia="宋体" w:cs="宋体"/>
                <w:kern w:val="0"/>
                <w:szCs w:val="21"/>
                <w:u w:val="single"/>
              </w:rPr>
              <w:t xml:space="preserve">            </w:t>
            </w:r>
          </w:p>
          <w:p w14:paraId="2151290F">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u w:val="single"/>
              </w:rPr>
              <w:t xml:space="preserve">                （项目名称）</w:t>
            </w:r>
            <w:r>
              <w:rPr>
                <w:rFonts w:hint="eastAsia" w:ascii="宋体" w:hAnsi="宋体" w:eastAsia="宋体" w:cs="宋体"/>
                <w:kern w:val="0"/>
                <w:szCs w:val="21"/>
              </w:rPr>
              <w:t>投标文件</w:t>
            </w:r>
          </w:p>
          <w:p w14:paraId="28767925">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kern w:val="0"/>
                <w:szCs w:val="21"/>
              </w:rPr>
              <w:t>在</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r>
              <w:rPr>
                <w:rFonts w:hint="eastAsia" w:ascii="宋体" w:hAnsi="宋体" w:eastAsia="宋体" w:cs="宋体"/>
                <w:kern w:val="0"/>
                <w:szCs w:val="21"/>
                <w:u w:val="single"/>
              </w:rPr>
              <w:t xml:space="preserve">    </w:t>
            </w:r>
            <w:r>
              <w:rPr>
                <w:rFonts w:hint="eastAsia" w:ascii="宋体" w:hAnsi="宋体" w:eastAsia="宋体" w:cs="宋体"/>
                <w:kern w:val="0"/>
                <w:szCs w:val="21"/>
              </w:rPr>
              <w:t>时</w:t>
            </w:r>
            <w:r>
              <w:rPr>
                <w:rFonts w:hint="eastAsia" w:ascii="宋体" w:hAnsi="宋体" w:eastAsia="宋体" w:cs="宋体"/>
                <w:kern w:val="0"/>
                <w:szCs w:val="21"/>
                <w:u w:val="single"/>
              </w:rPr>
              <w:t xml:space="preserve">    </w:t>
            </w:r>
            <w:r>
              <w:rPr>
                <w:rFonts w:hint="eastAsia" w:ascii="宋体" w:hAnsi="宋体" w:eastAsia="宋体" w:cs="宋体"/>
                <w:kern w:val="0"/>
                <w:szCs w:val="21"/>
              </w:rPr>
              <w:t>分前不得开启</w:t>
            </w:r>
          </w:p>
        </w:tc>
      </w:tr>
      <w:tr w14:paraId="13DAB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9D9DB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4.2.2</w:t>
            </w:r>
          </w:p>
        </w:tc>
        <w:tc>
          <w:tcPr>
            <w:tcW w:w="1644" w:type="dxa"/>
            <w:vAlign w:val="center"/>
          </w:tcPr>
          <w:p w14:paraId="2ED6344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递交投标文件地点</w:t>
            </w:r>
          </w:p>
        </w:tc>
        <w:tc>
          <w:tcPr>
            <w:tcW w:w="6490" w:type="dxa"/>
            <w:vAlign w:val="center"/>
          </w:tcPr>
          <w:p w14:paraId="255C6E60">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投标人应当在投标截止时间前，通过互联网使用CA数字证书登录重庆市电子招投标系统，将加密的电子投标文件上传。</w:t>
            </w:r>
          </w:p>
          <w:p w14:paraId="783DB494">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特别注意：投标人如需现场递交不加密电子投标文件（光盘备份）等备用资料，则须在投标截止时间前递交，递交地点为</w:t>
            </w:r>
            <w:r>
              <w:rPr>
                <w:rFonts w:hint="eastAsia" w:ascii="宋体" w:hAnsi="宋体" w:eastAsia="宋体" w:cs="宋体"/>
                <w:bCs/>
                <w:szCs w:val="21"/>
                <w:u w:val="single"/>
                <w:lang w:eastAsia="zh-CN"/>
              </w:rPr>
              <w:t xml:space="preserve"> 重庆市大足区公共资源综合交易事务中心 </w:t>
            </w:r>
            <w:r>
              <w:rPr>
                <w:rFonts w:hint="eastAsia" w:ascii="宋体" w:hAnsi="宋体" w:eastAsia="宋体" w:cs="宋体"/>
                <w:bCs/>
                <w:szCs w:val="21"/>
              </w:rPr>
              <w:t>开标区（具体请</w:t>
            </w:r>
            <w:r>
              <w:rPr>
                <w:rFonts w:hint="eastAsia" w:ascii="宋体" w:hAnsi="宋体" w:eastAsia="宋体" w:cs="宋体"/>
                <w:bCs/>
                <w:szCs w:val="21"/>
                <w:lang w:eastAsia="zh-CN"/>
              </w:rPr>
              <w:t>登录</w:t>
            </w:r>
            <w:r>
              <w:rPr>
                <w:rFonts w:hint="eastAsia" w:ascii="宋体" w:hAnsi="宋体" w:eastAsia="宋体" w:cs="宋体"/>
                <w:bCs/>
                <w:szCs w:val="21"/>
                <w:u w:val="single"/>
                <w:lang w:eastAsia="zh-CN"/>
              </w:rPr>
              <w:t xml:space="preserve"> 重庆市公共资源交易网（大足区）（www.cqggzy.com/dazuweb/） </w:t>
            </w:r>
            <w:r>
              <w:rPr>
                <w:rFonts w:hint="eastAsia" w:ascii="宋体" w:hAnsi="宋体" w:eastAsia="宋体" w:cs="宋体"/>
                <w:bCs/>
                <w:szCs w:val="21"/>
              </w:rPr>
              <w:t>查询或递交文件当日见交易中心大厅电子显示屏）。</w:t>
            </w:r>
          </w:p>
        </w:tc>
      </w:tr>
      <w:tr w14:paraId="31AE48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D28A4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4.2.3</w:t>
            </w:r>
          </w:p>
        </w:tc>
        <w:tc>
          <w:tcPr>
            <w:tcW w:w="1644" w:type="dxa"/>
            <w:vAlign w:val="center"/>
          </w:tcPr>
          <w:p w14:paraId="7C09795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是否退还投标文件</w:t>
            </w:r>
          </w:p>
        </w:tc>
        <w:tc>
          <w:tcPr>
            <w:tcW w:w="6490" w:type="dxa"/>
            <w:vAlign w:val="center"/>
          </w:tcPr>
          <w:p w14:paraId="0C19E0C5">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否</w:t>
            </w:r>
          </w:p>
        </w:tc>
      </w:tr>
      <w:tr w14:paraId="01077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7E5BD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5.1.1</w:t>
            </w:r>
          </w:p>
        </w:tc>
        <w:tc>
          <w:tcPr>
            <w:tcW w:w="1644" w:type="dxa"/>
            <w:vAlign w:val="center"/>
          </w:tcPr>
          <w:p w14:paraId="4E17D99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开标时间和</w:t>
            </w:r>
          </w:p>
          <w:p w14:paraId="6210A81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地点</w:t>
            </w:r>
          </w:p>
        </w:tc>
        <w:tc>
          <w:tcPr>
            <w:tcW w:w="6490" w:type="dxa"/>
            <w:vAlign w:val="center"/>
          </w:tcPr>
          <w:p w14:paraId="74670C93">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开标时间：同投标截止时间</w:t>
            </w:r>
          </w:p>
          <w:p w14:paraId="38938A05">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kern w:val="0"/>
                <w:szCs w:val="21"/>
              </w:rPr>
              <w:t>开标地点：</w:t>
            </w:r>
            <w:r>
              <w:rPr>
                <w:rFonts w:hint="eastAsia" w:ascii="宋体" w:hAnsi="宋体" w:eastAsia="宋体" w:cs="宋体"/>
                <w:bCs/>
                <w:szCs w:val="21"/>
                <w:u w:val="single"/>
                <w:lang w:eastAsia="zh-CN"/>
              </w:rPr>
              <w:t xml:space="preserve"> 重庆市大足区公共资源综合交易事务中心 </w:t>
            </w:r>
            <w:r>
              <w:rPr>
                <w:rFonts w:hint="eastAsia" w:ascii="宋体" w:hAnsi="宋体" w:eastAsia="宋体" w:cs="宋体"/>
                <w:bCs/>
                <w:szCs w:val="21"/>
              </w:rPr>
              <w:t>开标室（具体请</w:t>
            </w:r>
            <w:r>
              <w:rPr>
                <w:rFonts w:hint="eastAsia" w:ascii="宋体" w:hAnsi="宋体" w:eastAsia="宋体" w:cs="宋体"/>
                <w:bCs/>
                <w:szCs w:val="21"/>
                <w:lang w:eastAsia="zh-CN"/>
              </w:rPr>
              <w:t>登录</w:t>
            </w:r>
            <w:r>
              <w:rPr>
                <w:rFonts w:hint="eastAsia" w:ascii="宋体" w:hAnsi="宋体" w:eastAsia="宋体" w:cs="宋体"/>
                <w:bCs/>
                <w:szCs w:val="21"/>
                <w:u w:val="single"/>
                <w:lang w:eastAsia="zh-CN"/>
              </w:rPr>
              <w:t xml:space="preserve"> 重庆市公共资源交易网（大足区）（www.cqggzy.com/dazuweb/） </w:t>
            </w:r>
            <w:r>
              <w:rPr>
                <w:rFonts w:hint="eastAsia" w:ascii="宋体" w:hAnsi="宋体" w:eastAsia="宋体" w:cs="宋体"/>
                <w:bCs/>
                <w:szCs w:val="21"/>
              </w:rPr>
              <w:t>查询或递交文件当日见交易中心大厅电子显示屏）。</w:t>
            </w:r>
          </w:p>
          <w:p w14:paraId="1697EFCA">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特别注意：</w:t>
            </w:r>
            <w:r>
              <w:rPr>
                <w:rFonts w:hint="eastAsia" w:ascii="宋体" w:hAnsi="宋体" w:eastAsia="宋体" w:cs="宋体"/>
                <w:bCs/>
                <w:szCs w:val="21"/>
                <w:lang w:val="en-US" w:eastAsia="zh-CN"/>
              </w:rPr>
              <w:t>1、</w:t>
            </w:r>
            <w:r>
              <w:rPr>
                <w:rFonts w:hint="eastAsia" w:ascii="宋体" w:hAnsi="宋体" w:eastAsia="宋体" w:cs="宋体"/>
                <w:bCs/>
                <w:szCs w:val="21"/>
              </w:rPr>
              <w:t>解密投标文件需使用加密电子投标文件的CA数字证书。投标人代表可携带该CA数字证书到开标现场完成投标文件解密工作，或通过互联网使用该CA数字证书登录重庆市电子招投标系统，采用远程解密的方式在投标须知前附表规定的时间内完成投标文件解密工作。</w:t>
            </w:r>
          </w:p>
          <w:p w14:paraId="58E5055B">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本项目开标</w:t>
            </w:r>
            <w:r>
              <w:rPr>
                <w:rFonts w:hint="eastAsia" w:ascii="宋体" w:hAnsi="宋体" w:eastAsia="宋体" w:cs="宋体"/>
                <w:bCs/>
                <w:color w:val="auto"/>
                <w:szCs w:val="21"/>
                <w:highlight w:val="none"/>
                <w:lang w:val="en-US" w:eastAsia="zh-CN"/>
              </w:rPr>
              <w:t>采用</w:t>
            </w:r>
            <w:r>
              <w:rPr>
                <w:rFonts w:hint="eastAsia" w:ascii="宋体" w:hAnsi="宋体" w:eastAsia="宋体" w:cs="宋体"/>
                <w:bCs/>
                <w:color w:val="auto"/>
                <w:szCs w:val="21"/>
                <w:highlight w:val="none"/>
              </w:rPr>
              <w:t>“重庆市工程建设项目不见面开标系统”</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以下简称：</w:t>
            </w:r>
            <w:r>
              <w:rPr>
                <w:rFonts w:hint="eastAsia" w:ascii="宋体" w:hAnsi="宋体" w:eastAsia="宋体" w:cs="宋体"/>
                <w:bCs/>
                <w:color w:val="auto"/>
                <w:szCs w:val="21"/>
                <w:highlight w:val="none"/>
              </w:rPr>
              <w:t>不见面开标系统</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。不出席现场开标的投标人也可登录不见面开标系统参与全过程开标活动。开标活动信息以</w:t>
            </w:r>
            <w:r>
              <w:rPr>
                <w:rFonts w:hint="eastAsia" w:ascii="宋体" w:hAnsi="宋体" w:eastAsia="宋体" w:cs="宋体"/>
                <w:bCs/>
                <w:color w:val="auto"/>
                <w:szCs w:val="21"/>
                <w:highlight w:val="none"/>
                <w:lang w:val="en-US" w:eastAsia="zh-CN"/>
              </w:rPr>
              <w:t>开标现场或</w:t>
            </w:r>
            <w:r>
              <w:rPr>
                <w:rFonts w:hint="eastAsia" w:ascii="宋体" w:hAnsi="宋体" w:eastAsia="宋体" w:cs="宋体"/>
                <w:bCs/>
                <w:color w:val="auto"/>
                <w:szCs w:val="21"/>
                <w:highlight w:val="none"/>
              </w:rPr>
              <w:t>不见面开标系统收到并展示的信息为准。</w:t>
            </w:r>
          </w:p>
        </w:tc>
      </w:tr>
      <w:tr w14:paraId="77937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75574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5.1.2</w:t>
            </w:r>
          </w:p>
        </w:tc>
        <w:tc>
          <w:tcPr>
            <w:tcW w:w="1644" w:type="dxa"/>
            <w:vAlign w:val="center"/>
          </w:tcPr>
          <w:p w14:paraId="6ACA23F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解密时间</w:t>
            </w:r>
          </w:p>
        </w:tc>
        <w:tc>
          <w:tcPr>
            <w:tcW w:w="6490" w:type="dxa"/>
            <w:vAlign w:val="center"/>
          </w:tcPr>
          <w:p w14:paraId="2562B8E8">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解密时长为 30 分钟。</w:t>
            </w:r>
          </w:p>
          <w:p w14:paraId="2F4DBE9A">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特别注意：因电子招标投标系统原因影响解密时间的，招标人可根据现场实际情况延长解密时间；因投标人原因未完成解密工作的，视为撤销其投标文件，其投标保证金</w:t>
            </w:r>
            <w:r>
              <w:rPr>
                <w:rFonts w:hint="eastAsia" w:ascii="宋体" w:hAnsi="宋体" w:eastAsia="宋体" w:cs="宋体"/>
                <w:color w:val="auto"/>
                <w:kern w:val="0"/>
                <w:szCs w:val="21"/>
                <w:highlight w:val="none"/>
              </w:rPr>
              <w:t>以现金形式交纳的</w:t>
            </w:r>
            <w:r>
              <w:rPr>
                <w:rFonts w:hint="eastAsia" w:ascii="宋体" w:hAnsi="宋体" w:eastAsia="宋体" w:cs="宋体"/>
                <w:kern w:val="0"/>
                <w:szCs w:val="21"/>
              </w:rPr>
              <w:t>不予退还</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以保函形式交纳的由保函开立人支付保函担保的与投标保证金等额的款项</w:t>
            </w:r>
            <w:r>
              <w:rPr>
                <w:rFonts w:hint="eastAsia" w:ascii="宋体" w:hAnsi="宋体" w:eastAsia="宋体" w:cs="宋体"/>
                <w:kern w:val="0"/>
                <w:szCs w:val="21"/>
              </w:rPr>
              <w:t>。</w:t>
            </w:r>
          </w:p>
        </w:tc>
      </w:tr>
      <w:tr w14:paraId="403A1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39723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Cs w:val="21"/>
              </w:rPr>
            </w:pPr>
            <w:r>
              <w:rPr>
                <w:rFonts w:hint="eastAsia" w:ascii="宋体" w:hAnsi="宋体" w:eastAsia="宋体" w:cs="宋体"/>
                <w:szCs w:val="21"/>
              </w:rPr>
              <w:t>5.2</w:t>
            </w:r>
          </w:p>
        </w:tc>
        <w:tc>
          <w:tcPr>
            <w:tcW w:w="1644" w:type="dxa"/>
            <w:vAlign w:val="center"/>
          </w:tcPr>
          <w:p w14:paraId="0B1DFB6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Cs w:val="21"/>
              </w:rPr>
            </w:pPr>
            <w:r>
              <w:rPr>
                <w:rFonts w:hint="eastAsia" w:ascii="宋体" w:hAnsi="宋体" w:eastAsia="宋体" w:cs="宋体"/>
                <w:szCs w:val="21"/>
              </w:rPr>
              <w:t>开标程序</w:t>
            </w:r>
          </w:p>
        </w:tc>
        <w:tc>
          <w:tcPr>
            <w:tcW w:w="6490" w:type="dxa"/>
            <w:vAlign w:val="center"/>
          </w:tcPr>
          <w:p w14:paraId="46476723">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主持人按下列程序进行开标：</w:t>
            </w:r>
          </w:p>
          <w:p w14:paraId="2E84E504">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rPr>
              <w:t>1.</w:t>
            </w:r>
            <w:r>
              <w:rPr>
                <w:rFonts w:hint="eastAsia" w:ascii="宋体" w:hAnsi="宋体" w:eastAsia="宋体" w:cs="宋体"/>
                <w:szCs w:val="21"/>
                <w:lang w:val="en-US" w:eastAsia="zh-CN"/>
              </w:rPr>
              <w:t>查询投标人数量</w:t>
            </w:r>
          </w:p>
          <w:p w14:paraId="02ACC820">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开标时间（应与投标截止时间一致），交易系统自动提取所有在投标截止时间前成功递交的投标文件，系统自动展示投标人数量是否大于（等于）3家，经招标人或代理机构确认达到法定开标条件的，系统进入下一步开标环节。</w:t>
            </w:r>
          </w:p>
          <w:p w14:paraId="38D13444">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rPr>
              <w:t>2.</w:t>
            </w:r>
            <w:r>
              <w:rPr>
                <w:rFonts w:hint="eastAsia" w:ascii="宋体" w:hAnsi="宋体" w:eastAsia="宋体" w:cs="宋体"/>
                <w:szCs w:val="21"/>
                <w:lang w:val="en-US" w:eastAsia="zh-CN"/>
              </w:rPr>
              <w:t>解密投标文件</w:t>
            </w:r>
          </w:p>
          <w:p w14:paraId="55C075E7">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投标文件提取完成，经招标人或代理机构确认开始解密环节，系统提示投标人在招标文件规定的时间内自行解密其经加密的电子投标文件</w:t>
            </w:r>
            <w:r>
              <w:rPr>
                <w:rFonts w:hint="eastAsia" w:ascii="宋体" w:hAnsi="宋体" w:eastAsia="宋体" w:cs="宋体"/>
                <w:szCs w:val="21"/>
                <w:lang w:eastAsia="zh-CN"/>
              </w:rPr>
              <w:t>。</w:t>
            </w:r>
            <w:r>
              <w:rPr>
                <w:rFonts w:hint="eastAsia" w:ascii="宋体" w:hAnsi="宋体" w:eastAsia="宋体" w:cs="宋体"/>
                <w:szCs w:val="21"/>
              </w:rPr>
              <w:t>解密完成后，交易系统展示解密结果。</w:t>
            </w:r>
          </w:p>
          <w:p w14:paraId="2EE8C378">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未成功解密的投标文件处理方式：①对因故不能解密的，经投标人申请，可以采取导入由相应投标人提供的不加密的电子投标文件（光盘备份）作为补救措施；②对因电子招投标系统原因造成的未解密情况，投标人又未提供不加密的电子投标文件（光盘备份）作为补救措施的，视为投标人撤回投标文件；③对因投标人原因造成的未解密情况，视为投标人撤销投标文件。</w:t>
            </w:r>
          </w:p>
          <w:p w14:paraId="24333E40">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.汇总投标保证金交纳情况</w:t>
            </w:r>
          </w:p>
          <w:p w14:paraId="5DB146C9">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3.1展示以电子投标保函方式递交投标保证金的情况，展示内容应至少包含投标人名称、金额、投标保函提交时间、保函有效期及是否具有不可撤销且见索即付属性等。电子投标保函应在投标截止时间前提交至指定系统，异常情况在开标记录表“异常情况”栏中记录并交由评标委员会评审。</w:t>
            </w:r>
          </w:p>
          <w:p w14:paraId="74FB18E3">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3.2展示以电子转账方式递交投标保证金的情况，应至少包含投标人名称、金额、投标保证金打入指定账户的时间等，异常情况在开标记录表“异常情况”栏中记录并交由评标委员会评审。保证金来款账户非基本账户的，交由评标委员会作否决投标处理。</w:t>
            </w:r>
          </w:p>
          <w:p w14:paraId="714E789E">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3.3展示以纸质投标保函方式递交投标保证金的情况，并记录在“纸质投标保函递交情况一览表”中，异常情况在开标记录表“异常情况”栏中记录。</w:t>
            </w:r>
          </w:p>
          <w:p w14:paraId="55473A79">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rPr>
              <w:t>3.4展示所有投标人的投标保证金交纳情况，并推送评标委员会评审</w:t>
            </w:r>
            <w:r>
              <w:rPr>
                <w:rFonts w:hint="eastAsia" w:ascii="宋体" w:hAnsi="宋体" w:eastAsia="宋体" w:cs="宋体"/>
                <w:szCs w:val="21"/>
                <w:lang w:eastAsia="zh-CN"/>
              </w:rPr>
              <w:t>。</w:t>
            </w:r>
          </w:p>
          <w:p w14:paraId="5722BEFD">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w:t>
            </w:r>
            <w:r>
              <w:rPr>
                <w:rFonts w:hint="eastAsia" w:ascii="宋体" w:hAnsi="宋体" w:eastAsia="宋体" w:cs="宋体"/>
                <w:szCs w:val="21"/>
                <w:lang w:val="en-US" w:eastAsia="zh-CN"/>
              </w:rPr>
              <w:t>抽取相关选项</w:t>
            </w:r>
          </w:p>
          <w:p w14:paraId="6A91F313">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对采用综合评估法且需要抽取□评标基准价计算方式□下浮系数N□权重M的项目，在开标现场完成抽取，并记录到开标记录表中。抽取方式如下：</w:t>
            </w:r>
          </w:p>
          <w:p w14:paraId="1B13E53A">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①</w:t>
            </w:r>
            <w:r>
              <w:rPr>
                <w:rFonts w:hint="eastAsia" w:ascii="宋体" w:hAnsi="宋体" w:eastAsia="宋体" w:cs="宋体"/>
                <w:szCs w:val="21"/>
                <w:u w:val="single"/>
              </w:rPr>
              <w:t xml:space="preserve">                           </w:t>
            </w:r>
            <w:r>
              <w:rPr>
                <w:rFonts w:hint="eastAsia" w:ascii="宋体" w:hAnsi="宋体" w:eastAsia="宋体" w:cs="宋体"/>
                <w:szCs w:val="21"/>
              </w:rPr>
              <w:t>。</w:t>
            </w:r>
          </w:p>
          <w:p w14:paraId="7BC1F9CE">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②</w:t>
            </w:r>
            <w:r>
              <w:rPr>
                <w:rFonts w:hint="eastAsia" w:ascii="宋体" w:hAnsi="宋体" w:eastAsia="宋体" w:cs="宋体"/>
                <w:szCs w:val="21"/>
                <w:u w:val="single"/>
              </w:rPr>
              <w:t xml:space="preserve">                           </w:t>
            </w:r>
            <w:r>
              <w:rPr>
                <w:rFonts w:hint="eastAsia" w:ascii="宋体" w:hAnsi="宋体" w:eastAsia="宋体" w:cs="宋体"/>
                <w:szCs w:val="21"/>
              </w:rPr>
              <w:t>。</w:t>
            </w:r>
          </w:p>
          <w:p w14:paraId="3E8D3D3A">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③……</w:t>
            </w:r>
          </w:p>
          <w:p w14:paraId="55B4EEC8">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val="en-US" w:eastAsia="zh-CN"/>
              </w:rPr>
              <w:t>展示开标记录表</w:t>
            </w:r>
          </w:p>
          <w:p w14:paraId="27CFD295">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投标人对开标有异议的，应当场或在线提出，由招标人或代理机构当场或在线答复，并记录到开标记录表中。异议处理完毕后，汇总开标情况，</w:t>
            </w:r>
            <w:r>
              <w:rPr>
                <w:rFonts w:hint="eastAsia" w:ascii="宋体" w:hAnsi="宋体" w:eastAsia="宋体" w:cs="宋体"/>
                <w:color w:val="auto"/>
                <w:sz w:val="21"/>
                <w:szCs w:val="21"/>
                <w:highlight w:val="none"/>
                <w:lang w:eastAsia="zh-CN"/>
              </w:rPr>
              <w:t>并将开标记录表推送评标委员会评审</w:t>
            </w:r>
            <w:r>
              <w:rPr>
                <w:rFonts w:hint="eastAsia" w:ascii="宋体" w:hAnsi="宋体" w:eastAsia="宋体" w:cs="宋体"/>
                <w:szCs w:val="21"/>
              </w:rPr>
              <w:t>。</w:t>
            </w:r>
          </w:p>
          <w:p w14:paraId="060C6835">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.主持人宣布开标结束。</w:t>
            </w:r>
          </w:p>
        </w:tc>
      </w:tr>
      <w:tr w14:paraId="27DE8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79D94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6.1.1</w:t>
            </w:r>
          </w:p>
        </w:tc>
        <w:tc>
          <w:tcPr>
            <w:tcW w:w="1644" w:type="dxa"/>
            <w:vAlign w:val="center"/>
          </w:tcPr>
          <w:p w14:paraId="3C43022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评标委员会的组建</w:t>
            </w:r>
          </w:p>
        </w:tc>
        <w:tc>
          <w:tcPr>
            <w:tcW w:w="6490" w:type="dxa"/>
            <w:vAlign w:val="center"/>
          </w:tcPr>
          <w:p w14:paraId="50D51EAD">
            <w:pPr>
              <w:keepNext w:val="0"/>
              <w:keepLines w:val="0"/>
              <w:pageBreakBefore w:val="0"/>
              <w:kinsoku/>
              <w:wordWrap/>
              <w:overflowPunct/>
              <w:topLinePunct w:val="0"/>
              <w:autoSpaceDE w:val="0"/>
              <w:autoSpaceDN w:val="0"/>
              <w:bidi w:val="0"/>
              <w:adjustRightInd w:val="0"/>
              <w:snapToGrid w:val="0"/>
              <w:spacing w:after="0"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lang w:eastAsia="zh-CN"/>
              </w:rPr>
              <w:t>☑</w:t>
            </w:r>
            <w:r>
              <w:rPr>
                <w:rFonts w:hint="eastAsia" w:ascii="宋体" w:hAnsi="宋体" w:eastAsia="宋体" w:cs="宋体"/>
                <w:lang w:val="en-US" w:eastAsia="zh-CN"/>
              </w:rPr>
              <w:t>方式一：</w:t>
            </w:r>
            <w:r>
              <w:rPr>
                <w:rFonts w:hint="eastAsia" w:ascii="宋体" w:hAnsi="宋体" w:eastAsia="宋体" w:cs="宋体"/>
                <w:spacing w:val="4"/>
                <w:kern w:val="0"/>
                <w:szCs w:val="21"/>
              </w:rPr>
              <w:t>由招标人按法律法规及相关规定依法组建评标委员会</w:t>
            </w:r>
            <w:r>
              <w:rPr>
                <w:rFonts w:hint="eastAsia" w:ascii="宋体" w:hAnsi="宋体" w:eastAsia="宋体" w:cs="宋体"/>
                <w:kern w:val="0"/>
                <w:szCs w:val="21"/>
              </w:rPr>
              <w:t>。</w:t>
            </w:r>
          </w:p>
          <w:p w14:paraId="76700404">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szCs w:val="21"/>
              </w:rPr>
              <w:t>□</w:t>
            </w:r>
            <w:r>
              <w:rPr>
                <w:rFonts w:hint="eastAsia" w:ascii="宋体" w:hAnsi="宋体" w:eastAsia="宋体" w:cs="宋体"/>
                <w:szCs w:val="21"/>
                <w:lang w:val="en-US" w:eastAsia="zh-CN"/>
              </w:rPr>
              <w:t>方式二：</w:t>
            </w:r>
            <w:r>
              <w:rPr>
                <w:rFonts w:hint="eastAsia" w:ascii="宋体" w:hAnsi="宋体" w:eastAsia="宋体" w:cs="宋体"/>
                <w:szCs w:val="21"/>
                <w:lang w:eastAsia="zh-CN"/>
              </w:rPr>
              <w:t>评标委员会共</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人，其中：在重庆市综合评标专家库随机抽取</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人，招标人代表</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人，其他方式</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人。注：如遇特殊情况，非重庆市综合评标专家库抽取的评标专家（如招标人代表、其他库的评标专家）可以被从重庆市综合评标专家库随机抽取的评标专家代替。</w:t>
            </w:r>
          </w:p>
        </w:tc>
      </w:tr>
      <w:tr w14:paraId="23B3F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C6DB6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7.1</w:t>
            </w:r>
          </w:p>
        </w:tc>
        <w:tc>
          <w:tcPr>
            <w:tcW w:w="1644" w:type="dxa"/>
            <w:vAlign w:val="center"/>
          </w:tcPr>
          <w:p w14:paraId="47ED9A1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是否授权评标委员会确定中标人</w:t>
            </w:r>
          </w:p>
        </w:tc>
        <w:tc>
          <w:tcPr>
            <w:tcW w:w="6490" w:type="dxa"/>
            <w:vAlign w:val="center"/>
          </w:tcPr>
          <w:p w14:paraId="6E415BFE">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□是</w:t>
            </w:r>
          </w:p>
          <w:p w14:paraId="2E8CEC1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i/>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rPr>
              <w:t>否，推荐经评审综合得分由高到低排名前</w:t>
            </w:r>
            <w:r>
              <w:rPr>
                <w:rFonts w:hint="eastAsia" w:ascii="宋体" w:hAnsi="宋体" w:eastAsia="宋体" w:cs="宋体"/>
                <w:kern w:val="0"/>
                <w:szCs w:val="21"/>
                <w:u w:val="single"/>
                <w:lang w:val="en-US" w:eastAsia="zh-CN"/>
              </w:rPr>
              <w:t xml:space="preserve"> 3 </w:t>
            </w:r>
            <w:r>
              <w:rPr>
                <w:rFonts w:hint="eastAsia" w:ascii="宋体" w:hAnsi="宋体" w:eastAsia="宋体" w:cs="宋体"/>
                <w:kern w:val="0"/>
                <w:szCs w:val="21"/>
              </w:rPr>
              <w:t>名为中标候选人，若有效投标人少于</w:t>
            </w:r>
            <w:r>
              <w:rPr>
                <w:rFonts w:hint="eastAsia" w:ascii="宋体" w:hAnsi="宋体" w:eastAsia="宋体" w:cs="宋体"/>
                <w:kern w:val="0"/>
                <w:szCs w:val="21"/>
                <w:u w:val="single"/>
                <w:lang w:val="en-US" w:eastAsia="zh-CN"/>
              </w:rPr>
              <w:t xml:space="preserve"> 3 </w:t>
            </w:r>
            <w:r>
              <w:rPr>
                <w:rFonts w:hint="eastAsia" w:ascii="宋体" w:hAnsi="宋体" w:eastAsia="宋体" w:cs="宋体"/>
                <w:kern w:val="0"/>
                <w:szCs w:val="21"/>
              </w:rPr>
              <w:t>个的则按实际数量推荐。</w:t>
            </w:r>
          </w:p>
        </w:tc>
      </w:tr>
      <w:tr w14:paraId="3EFAD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14:paraId="762D802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7.2</w:t>
            </w:r>
          </w:p>
        </w:tc>
        <w:tc>
          <w:tcPr>
            <w:tcW w:w="1644" w:type="dxa"/>
            <w:vAlign w:val="center"/>
          </w:tcPr>
          <w:p w14:paraId="64735FD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中标</w:t>
            </w:r>
            <w:r>
              <w:rPr>
                <w:rFonts w:hint="eastAsia" w:ascii="宋体" w:hAnsi="宋体" w:eastAsia="宋体" w:cs="宋体"/>
                <w:kern w:val="0"/>
                <w:szCs w:val="21"/>
                <w:lang w:val="en-US" w:eastAsia="zh-CN"/>
              </w:rPr>
              <w:t>候选人</w:t>
            </w:r>
            <w:r>
              <w:rPr>
                <w:rFonts w:hint="eastAsia" w:ascii="宋体" w:hAnsi="宋体" w:eastAsia="宋体" w:cs="宋体"/>
                <w:kern w:val="0"/>
                <w:szCs w:val="21"/>
              </w:rPr>
              <w:t>公示</w:t>
            </w:r>
          </w:p>
        </w:tc>
        <w:tc>
          <w:tcPr>
            <w:tcW w:w="6490" w:type="dxa"/>
            <w:vAlign w:val="center"/>
          </w:tcPr>
          <w:p w14:paraId="3AA05062">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szCs w:val="21"/>
              </w:rPr>
              <w:t>招标人在收到评标报告后3日内将评标结果在</w:t>
            </w:r>
            <w:r>
              <w:rPr>
                <w:rFonts w:hint="eastAsia" w:ascii="宋体" w:hAnsi="宋体" w:eastAsia="宋体" w:cs="宋体"/>
                <w:szCs w:val="21"/>
                <w:u w:val="single"/>
              </w:rPr>
              <w:t xml:space="preserve"> 重庆市公共资源交易监督网</w:t>
            </w:r>
            <w:r>
              <w:rPr>
                <w:rFonts w:hint="eastAsia" w:ascii="宋体" w:hAnsi="宋体" w:eastAsia="宋体" w:cs="宋体"/>
                <w:szCs w:val="21"/>
                <w:u w:val="single"/>
                <w:lang w:eastAsia="zh-CN"/>
              </w:rPr>
              <w:t>、</w:t>
            </w:r>
            <w:r>
              <w:rPr>
                <w:rFonts w:hint="eastAsia" w:ascii="宋体" w:hAnsi="宋体" w:eastAsia="宋体" w:cs="宋体"/>
                <w:szCs w:val="21"/>
                <w:u w:val="single"/>
              </w:rPr>
              <w:t>重庆市公共资源交易网</w:t>
            </w:r>
            <w:r>
              <w:rPr>
                <w:rFonts w:hint="eastAsia" w:ascii="宋体" w:hAnsi="宋体" w:eastAsia="宋体" w:cs="宋体"/>
                <w:szCs w:val="21"/>
                <w:u w:val="single"/>
                <w:lang w:eastAsia="zh-CN"/>
              </w:rPr>
              <w:t>、</w:t>
            </w:r>
            <w:r>
              <w:rPr>
                <w:rFonts w:hint="eastAsia" w:ascii="宋体" w:hAnsi="宋体" w:eastAsia="宋体" w:cs="宋体"/>
                <w:szCs w:val="21"/>
                <w:u w:val="single"/>
              </w:rPr>
              <w:t xml:space="preserve">重庆市公共资源交易网（大足区） </w:t>
            </w:r>
            <w:r>
              <w:rPr>
                <w:rFonts w:hint="eastAsia" w:ascii="宋体" w:hAnsi="宋体" w:eastAsia="宋体" w:cs="宋体"/>
                <w:szCs w:val="21"/>
              </w:rPr>
              <w:t>上进行公示，公示期</w:t>
            </w:r>
            <w:r>
              <w:rPr>
                <w:rFonts w:hint="eastAsia" w:ascii="宋体" w:hAnsi="宋体" w:eastAsia="宋体" w:cs="宋体"/>
                <w:szCs w:val="21"/>
                <w:lang w:eastAsia="zh-CN"/>
              </w:rPr>
              <w:t>不少于</w:t>
            </w:r>
            <w:r>
              <w:rPr>
                <w:rFonts w:hint="eastAsia" w:ascii="宋体" w:hAnsi="宋体" w:eastAsia="宋体" w:cs="宋体"/>
                <w:szCs w:val="21"/>
              </w:rPr>
              <w:t>3日。为深化信息公开，接受社会监督，本项目将按照《招标公告和公示信息发布管理办法》（国家发改委令第10号）的要求，公示内容包括中标候选人名称、排序、投标报价、质量、工期；中标候选人资质、投标业绩名称，中标候选人项目经理姓名及其相关证书名称和编号、投标业绩名称；否决投标情况及理由；</w:t>
            </w:r>
            <w:r>
              <w:rPr>
                <w:rFonts w:hint="eastAsia" w:ascii="宋体" w:hAnsi="宋体" w:eastAsia="宋体" w:cs="宋体"/>
                <w:szCs w:val="21"/>
                <w:highlight w:val="none"/>
              </w:rPr>
              <w:t>投标人撤销投标文件或者部分投标被否决导致有效投标人不足三个的竞争性论证结果</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如有</w:t>
            </w:r>
            <w:r>
              <w:rPr>
                <w:rFonts w:hint="eastAsia" w:ascii="宋体" w:hAnsi="宋体" w:eastAsia="宋体" w:cs="宋体"/>
                <w:szCs w:val="21"/>
                <w:highlight w:val="none"/>
                <w:lang w:eastAsia="zh-CN"/>
              </w:rPr>
              <w:t>）；</w:t>
            </w:r>
            <w:r>
              <w:rPr>
                <w:rFonts w:hint="eastAsia" w:ascii="宋体" w:hAnsi="宋体" w:eastAsia="宋体" w:cs="宋体"/>
                <w:szCs w:val="21"/>
              </w:rPr>
              <w:t>提出异议、投诉的渠道和方式。</w:t>
            </w:r>
          </w:p>
        </w:tc>
      </w:tr>
      <w:tr w14:paraId="5D677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14:paraId="6B92A93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p>
        </w:tc>
        <w:tc>
          <w:tcPr>
            <w:tcW w:w="1644" w:type="dxa"/>
            <w:vAlign w:val="center"/>
          </w:tcPr>
          <w:p w14:paraId="2B14FDE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中标结果公告</w:t>
            </w:r>
          </w:p>
        </w:tc>
        <w:tc>
          <w:tcPr>
            <w:tcW w:w="6490" w:type="dxa"/>
            <w:vAlign w:val="center"/>
          </w:tcPr>
          <w:p w14:paraId="709E617A">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rPr>
              <w:t>招标人自中标通知书发出之日起三日内，在招标公告发布媒介上公告招标人及法定代表人名称，招标代理机构及法定代表人名称，中标人及法定代表人名称、中标价格等中标结果，评标委员会组建方式、成员名单、评标意见等信息</w:t>
            </w:r>
            <w:r>
              <w:rPr>
                <w:rFonts w:hint="eastAsia" w:ascii="宋体" w:hAnsi="宋体" w:eastAsia="宋体" w:cs="宋体"/>
                <w:szCs w:val="21"/>
                <w:lang w:eastAsia="zh-CN"/>
              </w:rPr>
              <w:t>。</w:t>
            </w:r>
          </w:p>
        </w:tc>
      </w:tr>
      <w:tr w14:paraId="3630B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F5CBB2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7.3.1</w:t>
            </w:r>
          </w:p>
        </w:tc>
        <w:tc>
          <w:tcPr>
            <w:tcW w:w="1644" w:type="dxa"/>
            <w:vAlign w:val="center"/>
          </w:tcPr>
          <w:p w14:paraId="6BF4FB2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履约担保</w:t>
            </w:r>
          </w:p>
        </w:tc>
        <w:tc>
          <w:tcPr>
            <w:tcW w:w="6490" w:type="dxa"/>
            <w:vAlign w:val="center"/>
          </w:tcPr>
          <w:p w14:paraId="3086A1C4">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1、中标人是否提供履约担保：</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rPr>
              <w:t>提供</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rPr>
              <w:t>。</w:t>
            </w:r>
          </w:p>
          <w:p w14:paraId="0110FD7A">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2、中标人提供履约担保的形式、金额及期限：</w:t>
            </w:r>
          </w:p>
          <w:p w14:paraId="58B0B29D">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lang w:val="en-US" w:eastAsia="zh-CN"/>
              </w:rPr>
            </w:pPr>
            <w:r>
              <w:rPr>
                <w:rFonts w:hint="eastAsia" w:ascii="宋体" w:hAnsi="宋体" w:eastAsia="宋体" w:cs="宋体"/>
                <w:kern w:val="0"/>
                <w:szCs w:val="21"/>
              </w:rPr>
              <w:t>（1）履约担保的形式：现金或</w:t>
            </w:r>
            <w:r>
              <w:rPr>
                <w:rFonts w:hint="eastAsia" w:ascii="宋体" w:hAnsi="宋体" w:eastAsia="宋体" w:cs="宋体"/>
                <w:kern w:val="0"/>
                <w:szCs w:val="21"/>
                <w:lang w:val="en-US" w:eastAsia="zh-CN"/>
              </w:rPr>
              <w:t>履约</w:t>
            </w:r>
            <w:r>
              <w:rPr>
                <w:rFonts w:hint="eastAsia" w:ascii="宋体" w:hAnsi="宋体" w:eastAsia="宋体" w:cs="宋体"/>
                <w:kern w:val="0"/>
                <w:szCs w:val="21"/>
              </w:rPr>
              <w:t>保函或现金+</w:t>
            </w:r>
            <w:r>
              <w:rPr>
                <w:rFonts w:hint="eastAsia" w:ascii="宋体" w:hAnsi="宋体" w:eastAsia="宋体" w:cs="宋体"/>
                <w:kern w:val="0"/>
                <w:szCs w:val="21"/>
                <w:lang w:val="en-US" w:eastAsia="zh-CN"/>
              </w:rPr>
              <w:t>履约</w:t>
            </w:r>
            <w:r>
              <w:rPr>
                <w:rFonts w:hint="eastAsia" w:ascii="宋体" w:hAnsi="宋体" w:eastAsia="宋体" w:cs="宋体"/>
                <w:kern w:val="0"/>
                <w:szCs w:val="21"/>
              </w:rPr>
              <w:t>保函的组合</w:t>
            </w:r>
            <w:r>
              <w:rPr>
                <w:rFonts w:hint="eastAsia" w:ascii="宋体" w:hAnsi="宋体" w:eastAsia="宋体" w:cs="宋体"/>
                <w:kern w:val="0"/>
                <w:szCs w:val="21"/>
                <w:lang w:eastAsia="zh-CN"/>
              </w:rPr>
              <w:t>，履约</w:t>
            </w:r>
            <w:r>
              <w:rPr>
                <w:rFonts w:hint="eastAsia" w:ascii="宋体" w:hAnsi="宋体" w:eastAsia="宋体" w:cs="宋体"/>
                <w:kern w:val="0"/>
                <w:szCs w:val="21"/>
              </w:rPr>
              <w:t>保函包括银行保函、保证保险和担保保函</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其示范文本详见第四章合同条款及格式附件</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中标人提交的履约保函应</w:t>
            </w:r>
            <w:r>
              <w:rPr>
                <w:rFonts w:hint="eastAsia" w:ascii="宋体" w:hAnsi="宋体" w:eastAsia="宋体" w:cs="宋体"/>
                <w:kern w:val="0"/>
                <w:szCs w:val="21"/>
              </w:rPr>
              <w:t>严格执行</w:t>
            </w:r>
            <w:r>
              <w:rPr>
                <w:rFonts w:hint="eastAsia" w:ascii="宋体" w:hAnsi="宋体" w:eastAsia="宋体" w:cs="宋体"/>
                <w:kern w:val="0"/>
                <w:szCs w:val="21"/>
                <w:lang w:val="en-US" w:eastAsia="zh-CN"/>
              </w:rPr>
              <w:t>其</w:t>
            </w:r>
            <w:r>
              <w:rPr>
                <w:rFonts w:hint="eastAsia" w:ascii="宋体" w:hAnsi="宋体" w:eastAsia="宋体" w:cs="宋体"/>
                <w:kern w:val="0"/>
                <w:szCs w:val="21"/>
              </w:rPr>
              <w:t>示范文本，不得对示范文本中的实质性内容进行修改</w:t>
            </w:r>
            <w:r>
              <w:rPr>
                <w:rFonts w:hint="eastAsia" w:ascii="宋体" w:hAnsi="宋体" w:eastAsia="宋体" w:cs="宋体"/>
                <w:szCs w:val="21"/>
                <w:lang w:val="en-US" w:eastAsia="zh-CN"/>
              </w:rPr>
              <w:t>。</w:t>
            </w:r>
          </w:p>
          <w:p w14:paraId="38B76595">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（2）具体要求：履约保函</w:t>
            </w:r>
            <w:r>
              <w:rPr>
                <w:rFonts w:hint="eastAsia" w:ascii="宋体" w:hAnsi="宋体" w:eastAsia="宋体" w:cs="宋体"/>
                <w:kern w:val="0"/>
                <w:szCs w:val="21"/>
              </w:rPr>
              <w:t>的开立人应当是具有相应资格的银行、保险机构、融资担保公司，其信用资质、履约能力、担保能力、赔付流程、安全保密等应符合</w:t>
            </w:r>
            <w:r>
              <w:rPr>
                <w:rFonts w:hint="eastAsia" w:ascii="宋体" w:hAnsi="宋体" w:eastAsia="宋体" w:cs="宋体"/>
                <w:kern w:val="0"/>
                <w:szCs w:val="21"/>
                <w:lang w:eastAsia="zh-CN"/>
              </w:rPr>
              <w:t>履约</w:t>
            </w:r>
            <w:r>
              <w:rPr>
                <w:rFonts w:hint="eastAsia" w:ascii="宋体" w:hAnsi="宋体" w:eastAsia="宋体" w:cs="宋体"/>
                <w:kern w:val="0"/>
                <w:szCs w:val="21"/>
              </w:rPr>
              <w:t>保函业务条件</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履约保函</w:t>
            </w:r>
            <w:r>
              <w:rPr>
                <w:rFonts w:hint="eastAsia" w:ascii="宋体" w:hAnsi="宋体" w:eastAsia="宋体" w:cs="宋体"/>
                <w:kern w:val="0"/>
                <w:szCs w:val="21"/>
                <w:lang w:eastAsia="zh-CN"/>
              </w:rPr>
              <w:t>应合法合规，符合招投标行政监督部门、行业主管部门和金融监管部门的相关规定，满足招标文件约定要求。</w:t>
            </w:r>
            <w:r>
              <w:rPr>
                <w:rFonts w:hint="eastAsia" w:ascii="宋体" w:hAnsi="宋体" w:eastAsia="宋体" w:cs="宋体"/>
                <w:kern w:val="0"/>
                <w:szCs w:val="21"/>
                <w:lang w:val="en-US" w:eastAsia="zh-CN"/>
              </w:rPr>
              <w:t>中标人</w:t>
            </w:r>
            <w:r>
              <w:rPr>
                <w:rFonts w:hint="eastAsia" w:ascii="宋体" w:hAnsi="宋体" w:eastAsia="宋体" w:cs="宋体"/>
                <w:kern w:val="0"/>
                <w:szCs w:val="21"/>
              </w:rPr>
              <w:t>应选择在渝依法设立总部或者设有分支机构的金融机构开具</w:t>
            </w:r>
            <w:r>
              <w:rPr>
                <w:rFonts w:hint="eastAsia" w:ascii="宋体" w:hAnsi="宋体" w:eastAsia="宋体" w:cs="宋体"/>
                <w:kern w:val="0"/>
                <w:szCs w:val="21"/>
                <w:lang w:val="en-US" w:eastAsia="zh-CN"/>
              </w:rPr>
              <w:t>履约保函（包括纸质保函或电子保函）</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履约保函为纸质保函的，纸质保函应注明在</w:t>
            </w:r>
            <w:r>
              <w:rPr>
                <w:rFonts w:hint="eastAsia" w:ascii="宋体" w:hAnsi="宋体" w:eastAsia="宋体" w:cs="宋体"/>
                <w:kern w:val="0"/>
                <w:szCs w:val="21"/>
              </w:rPr>
              <w:t>重庆市辖区范围内的核验地址和核验方式</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并确保该纸质保函能在开立人在渝的总部或者分支机构进行核验</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中标人对所提交的履约保函的真实性、合法性、有效性负责。</w:t>
            </w:r>
          </w:p>
          <w:p w14:paraId="417FC1E5">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注：根据《关于印发重庆市融资担保公司监管评级及分类监管办法的通知》（渝金发〔2021〕5号）文件，担保公司须在《重庆市地方金融监督管理局关于开展202</w:t>
            </w:r>
            <w:r>
              <w:rPr>
                <w:rFonts w:hint="eastAsia" w:ascii="宋体" w:hAnsi="宋体" w:cs="宋体"/>
                <w:kern w:val="0"/>
                <w:szCs w:val="21"/>
                <w:lang w:val="en-US" w:eastAsia="zh-CN"/>
              </w:rPr>
              <w:t>3</w:t>
            </w:r>
            <w:r>
              <w:rPr>
                <w:rFonts w:hint="eastAsia" w:ascii="宋体" w:hAnsi="宋体" w:eastAsia="宋体" w:cs="宋体"/>
                <w:kern w:val="0"/>
                <w:szCs w:val="21"/>
                <w:lang w:val="en-US" w:eastAsia="zh-CN"/>
              </w:rPr>
              <w:t>年度监管评级有关工作的通知》、《重庆市地方金融监督管理局关于开展202</w:t>
            </w:r>
            <w:r>
              <w:rPr>
                <w:rFonts w:hint="eastAsia" w:ascii="宋体" w:hAnsi="宋体" w:cs="宋体"/>
                <w:kern w:val="0"/>
                <w:szCs w:val="21"/>
                <w:lang w:val="en-US" w:eastAsia="zh-CN"/>
              </w:rPr>
              <w:t>4</w:t>
            </w:r>
            <w:r>
              <w:rPr>
                <w:rFonts w:hint="eastAsia" w:ascii="宋体" w:hAnsi="宋体" w:eastAsia="宋体" w:cs="宋体"/>
                <w:kern w:val="0"/>
                <w:szCs w:val="21"/>
                <w:lang w:val="en-US" w:eastAsia="zh-CN"/>
              </w:rPr>
              <w:t>年度监管评级有关工作的通知》中监管评级等级在B级及以上。</w:t>
            </w:r>
          </w:p>
          <w:p w14:paraId="5B75A596">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3</w:t>
            </w:r>
            <w:r>
              <w:rPr>
                <w:rFonts w:hint="eastAsia" w:ascii="宋体" w:hAnsi="宋体" w:eastAsia="宋体" w:cs="宋体"/>
                <w:kern w:val="0"/>
                <w:szCs w:val="21"/>
              </w:rPr>
              <w:t>）履约担保的金额：</w:t>
            </w:r>
            <w:r>
              <w:rPr>
                <w:rFonts w:hint="eastAsia" w:ascii="宋体" w:hAnsi="宋体" w:eastAsia="宋体" w:cs="宋体"/>
                <w:kern w:val="0"/>
                <w:szCs w:val="21"/>
                <w:u w:val="single"/>
              </w:rPr>
              <w:t xml:space="preserve"> 中标合同金额的10% </w:t>
            </w:r>
            <w:r>
              <w:rPr>
                <w:rFonts w:hint="eastAsia" w:ascii="宋体" w:hAnsi="宋体" w:eastAsia="宋体" w:cs="宋体"/>
                <w:kern w:val="0"/>
                <w:szCs w:val="21"/>
              </w:rPr>
              <w:t>。</w:t>
            </w:r>
          </w:p>
          <w:p w14:paraId="69C87997">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4</w:t>
            </w:r>
            <w:r>
              <w:rPr>
                <w:rFonts w:hint="eastAsia" w:ascii="宋体" w:hAnsi="宋体" w:eastAsia="宋体" w:cs="宋体"/>
                <w:kern w:val="0"/>
                <w:szCs w:val="21"/>
              </w:rPr>
              <w:t>）履约担保的提交时间：见专用合同条款。</w:t>
            </w:r>
          </w:p>
          <w:p w14:paraId="49128608">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5</w:t>
            </w:r>
            <w:r>
              <w:rPr>
                <w:rFonts w:hint="eastAsia" w:ascii="宋体" w:hAnsi="宋体" w:eastAsia="宋体" w:cs="宋体"/>
                <w:kern w:val="0"/>
                <w:szCs w:val="21"/>
              </w:rPr>
              <w:t>）履约担保的期限：见专用合同条款。</w:t>
            </w:r>
          </w:p>
          <w:p w14:paraId="6625F32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6</w:t>
            </w:r>
            <w:r>
              <w:rPr>
                <w:rFonts w:hint="eastAsia" w:ascii="宋体" w:hAnsi="宋体" w:eastAsia="宋体" w:cs="宋体"/>
                <w:kern w:val="0"/>
                <w:szCs w:val="21"/>
              </w:rPr>
              <w:t>）履约担保的退还时间：见专用合同条款。</w:t>
            </w:r>
          </w:p>
        </w:tc>
      </w:tr>
      <w:tr w14:paraId="673612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A7D79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8.1</w:t>
            </w:r>
          </w:p>
        </w:tc>
        <w:tc>
          <w:tcPr>
            <w:tcW w:w="1644" w:type="dxa"/>
            <w:vAlign w:val="center"/>
          </w:tcPr>
          <w:p w14:paraId="00661BC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重新招标的情形</w:t>
            </w:r>
          </w:p>
        </w:tc>
        <w:tc>
          <w:tcPr>
            <w:tcW w:w="6490" w:type="dxa"/>
            <w:vAlign w:val="center"/>
          </w:tcPr>
          <w:p w14:paraId="1EB5AE7A">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1</w:t>
            </w:r>
            <w:r>
              <w:rPr>
                <w:rFonts w:hint="eastAsia" w:ascii="宋体" w:hAnsi="宋体" w:eastAsia="宋体" w:cs="宋体"/>
                <w:kern w:val="0"/>
                <w:szCs w:val="21"/>
                <w:lang w:eastAsia="zh-CN"/>
              </w:rPr>
              <w:t>）</w:t>
            </w:r>
            <w:r>
              <w:rPr>
                <w:rFonts w:hint="eastAsia" w:ascii="宋体" w:hAnsi="宋体" w:eastAsia="宋体" w:cs="宋体"/>
                <w:kern w:val="0"/>
                <w:szCs w:val="21"/>
              </w:rPr>
              <w:t>投标截止时间止，投标人少于 3 个的</w:t>
            </w:r>
            <w:r>
              <w:rPr>
                <w:rFonts w:hint="eastAsia" w:ascii="宋体" w:hAnsi="宋体" w:eastAsia="宋体" w:cs="宋体"/>
                <w:kern w:val="0"/>
                <w:szCs w:val="21"/>
                <w:lang w:eastAsia="zh-CN"/>
              </w:rPr>
              <w:t>（</w:t>
            </w:r>
            <w:r>
              <w:rPr>
                <w:rFonts w:hint="eastAsia" w:ascii="宋体" w:hAnsi="宋体" w:eastAsia="宋体" w:cs="宋体"/>
                <w:kern w:val="0"/>
                <w:szCs w:val="21"/>
              </w:rPr>
              <w:t>本款只适用于首次招标</w:t>
            </w:r>
            <w:r>
              <w:rPr>
                <w:rFonts w:hint="eastAsia" w:ascii="宋体" w:hAnsi="宋体" w:eastAsia="宋体" w:cs="宋体"/>
                <w:kern w:val="0"/>
                <w:szCs w:val="21"/>
                <w:lang w:eastAsia="zh-CN"/>
              </w:rPr>
              <w:t>）</w:t>
            </w:r>
            <w:r>
              <w:rPr>
                <w:rFonts w:hint="eastAsia" w:ascii="宋体" w:hAnsi="宋体" w:eastAsia="宋体" w:cs="宋体"/>
                <w:kern w:val="0"/>
                <w:szCs w:val="21"/>
              </w:rPr>
              <w:t>；</w:t>
            </w:r>
          </w:p>
          <w:p w14:paraId="7D053A56">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2</w:t>
            </w:r>
            <w:r>
              <w:rPr>
                <w:rFonts w:hint="eastAsia" w:ascii="宋体" w:hAnsi="宋体" w:eastAsia="宋体" w:cs="宋体"/>
                <w:kern w:val="0"/>
                <w:szCs w:val="21"/>
                <w:lang w:eastAsia="zh-CN"/>
              </w:rPr>
              <w:t>）</w:t>
            </w:r>
            <w:r>
              <w:rPr>
                <w:rFonts w:hint="eastAsia" w:ascii="宋体" w:hAnsi="宋体" w:eastAsia="宋体" w:cs="宋体"/>
                <w:kern w:val="0"/>
                <w:szCs w:val="21"/>
              </w:rPr>
              <w:t>经评标委员会评审后否决所有投标的；</w:t>
            </w:r>
          </w:p>
          <w:p w14:paraId="051EFC6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3</w:t>
            </w:r>
            <w:r>
              <w:rPr>
                <w:rFonts w:hint="eastAsia" w:ascii="宋体" w:hAnsi="宋体" w:eastAsia="宋体" w:cs="宋体"/>
                <w:kern w:val="0"/>
                <w:szCs w:val="21"/>
                <w:lang w:eastAsia="zh-CN"/>
              </w:rPr>
              <w:t>）</w:t>
            </w:r>
            <w:r>
              <w:rPr>
                <w:rFonts w:hint="eastAsia" w:ascii="宋体" w:hAnsi="宋体" w:eastAsia="宋体" w:cs="宋体"/>
                <w:kern w:val="0"/>
                <w:szCs w:val="21"/>
              </w:rPr>
              <w:t>经评标委员会评审后部分投标被否决，因有效投标人不足三个使得投标明显缺乏竞争的</w:t>
            </w:r>
            <w:r>
              <w:rPr>
                <w:rFonts w:hint="eastAsia" w:ascii="宋体" w:hAnsi="宋体" w:eastAsia="宋体" w:cs="宋体"/>
                <w:kern w:val="0"/>
                <w:szCs w:val="21"/>
                <w:lang w:eastAsia="zh-CN"/>
              </w:rPr>
              <w:t>（</w:t>
            </w:r>
            <w:r>
              <w:rPr>
                <w:rFonts w:hint="eastAsia" w:ascii="宋体" w:hAnsi="宋体" w:eastAsia="宋体" w:cs="宋体"/>
                <w:kern w:val="0"/>
                <w:szCs w:val="21"/>
              </w:rPr>
              <w:t>本款只适用于首次招标</w:t>
            </w:r>
            <w:r>
              <w:rPr>
                <w:rFonts w:hint="eastAsia" w:ascii="宋体" w:hAnsi="宋体" w:eastAsia="宋体" w:cs="宋体"/>
                <w:kern w:val="0"/>
                <w:szCs w:val="21"/>
                <w:lang w:eastAsia="zh-CN"/>
              </w:rPr>
              <w:t>）</w:t>
            </w:r>
            <w:r>
              <w:rPr>
                <w:rFonts w:hint="eastAsia" w:ascii="宋体" w:hAnsi="宋体" w:eastAsia="宋体" w:cs="宋体"/>
                <w:kern w:val="0"/>
                <w:szCs w:val="21"/>
              </w:rPr>
              <w:t>；</w:t>
            </w:r>
          </w:p>
          <w:p w14:paraId="505F42B0">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4</w:t>
            </w:r>
            <w:r>
              <w:rPr>
                <w:rFonts w:hint="eastAsia" w:ascii="宋体" w:hAnsi="宋体" w:eastAsia="宋体" w:cs="宋体"/>
                <w:kern w:val="0"/>
                <w:szCs w:val="21"/>
                <w:lang w:eastAsia="zh-CN"/>
              </w:rPr>
              <w:t>）</w:t>
            </w:r>
            <w:r>
              <w:rPr>
                <w:rFonts w:hint="eastAsia" w:ascii="宋体" w:hAnsi="宋体" w:eastAsia="宋体" w:cs="宋体"/>
                <w:kern w:val="0"/>
                <w:szCs w:val="21"/>
              </w:rPr>
              <w:t>法律法规规定的其他情形。</w:t>
            </w:r>
          </w:p>
        </w:tc>
      </w:tr>
      <w:tr w14:paraId="10B7A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72F48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8.2</w:t>
            </w:r>
          </w:p>
        </w:tc>
        <w:tc>
          <w:tcPr>
            <w:tcW w:w="1644" w:type="dxa"/>
            <w:vAlign w:val="center"/>
          </w:tcPr>
          <w:p w14:paraId="10A836B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rPr>
            </w:pPr>
            <w:bookmarkStart w:id="105" w:name="_Toc509218709"/>
            <w:bookmarkStart w:id="106" w:name="_Toc536628250"/>
            <w:bookmarkStart w:id="107" w:name="_Toc13210670"/>
            <w:bookmarkStart w:id="108" w:name="_Toc16930431"/>
            <w:bookmarkStart w:id="109" w:name="_Toc430530434"/>
            <w:r>
              <w:rPr>
                <w:rFonts w:hint="eastAsia" w:ascii="宋体" w:hAnsi="宋体" w:eastAsia="宋体" w:cs="宋体"/>
                <w:kern w:val="0"/>
                <w:szCs w:val="21"/>
              </w:rPr>
              <w:t>重新招标和不再招标</w:t>
            </w:r>
            <w:bookmarkEnd w:id="105"/>
            <w:bookmarkEnd w:id="106"/>
            <w:bookmarkEnd w:id="107"/>
            <w:bookmarkEnd w:id="108"/>
            <w:bookmarkEnd w:id="109"/>
          </w:p>
        </w:tc>
        <w:tc>
          <w:tcPr>
            <w:tcW w:w="6490" w:type="dxa"/>
            <w:vAlign w:val="center"/>
          </w:tcPr>
          <w:p w14:paraId="41AC1086">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napToGrid w:val="0"/>
                <w:kern w:val="0"/>
                <w:szCs w:val="21"/>
              </w:rPr>
            </w:pPr>
            <w:r>
              <w:rPr>
                <w:rFonts w:hint="eastAsia" w:ascii="宋体" w:hAnsi="宋体" w:eastAsia="宋体" w:cs="宋体"/>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p>
        </w:tc>
      </w:tr>
      <w:tr w14:paraId="3F378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04395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10</w:t>
            </w:r>
          </w:p>
        </w:tc>
        <w:tc>
          <w:tcPr>
            <w:tcW w:w="8134" w:type="dxa"/>
            <w:gridSpan w:val="2"/>
            <w:vAlign w:val="center"/>
          </w:tcPr>
          <w:p w14:paraId="214F4BF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需要补充的其他内容</w:t>
            </w:r>
          </w:p>
        </w:tc>
      </w:tr>
      <w:tr w14:paraId="3AA23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15C4B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10.1</w:t>
            </w:r>
          </w:p>
        </w:tc>
        <w:tc>
          <w:tcPr>
            <w:tcW w:w="1644" w:type="dxa"/>
            <w:vAlign w:val="center"/>
          </w:tcPr>
          <w:p w14:paraId="643FAF9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支付担保</w:t>
            </w:r>
          </w:p>
        </w:tc>
        <w:tc>
          <w:tcPr>
            <w:tcW w:w="6490" w:type="dxa"/>
            <w:vAlign w:val="center"/>
          </w:tcPr>
          <w:p w14:paraId="28AA662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lang w:eastAsia="zh-CN"/>
              </w:rPr>
            </w:pPr>
            <w:r>
              <w:rPr>
                <w:rFonts w:hint="eastAsia" w:ascii="宋体" w:hAnsi="宋体" w:eastAsia="宋体" w:cs="宋体"/>
                <w:kern w:val="0"/>
                <w:szCs w:val="21"/>
                <w:lang w:val="en-US" w:eastAsia="zh-CN"/>
              </w:rPr>
              <w:t>无。</w:t>
            </w:r>
          </w:p>
        </w:tc>
      </w:tr>
      <w:tr w14:paraId="38B03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B74BF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lang w:eastAsia="zh-CN"/>
              </w:rPr>
            </w:pPr>
            <w:r>
              <w:rPr>
                <w:rFonts w:hint="eastAsia" w:ascii="宋体" w:hAnsi="宋体" w:eastAsia="宋体" w:cs="宋体"/>
                <w:kern w:val="0"/>
                <w:szCs w:val="21"/>
              </w:rPr>
              <w:t>10.</w:t>
            </w:r>
            <w:r>
              <w:rPr>
                <w:rFonts w:hint="eastAsia" w:ascii="宋体" w:hAnsi="宋体" w:eastAsia="宋体" w:cs="宋体"/>
                <w:kern w:val="0"/>
                <w:szCs w:val="21"/>
                <w:lang w:val="en-US" w:eastAsia="zh-CN"/>
              </w:rPr>
              <w:t>2</w:t>
            </w:r>
          </w:p>
        </w:tc>
        <w:tc>
          <w:tcPr>
            <w:tcW w:w="1644" w:type="dxa"/>
            <w:vAlign w:val="center"/>
          </w:tcPr>
          <w:p w14:paraId="7FFE304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异议、投诉处理</w:t>
            </w:r>
          </w:p>
        </w:tc>
        <w:tc>
          <w:tcPr>
            <w:tcW w:w="6490" w:type="dxa"/>
            <w:vAlign w:val="center"/>
          </w:tcPr>
          <w:p w14:paraId="0968CC32">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1. 投标人或者其他利害关系人就本项目的招标文件（含澄清修改）、开标情况、评标结果等事项提出投诉的，应当先向招标人提出异议；招标人应当在规定时间内答复；对招标人的答复不满意，可向行政监督部门投诉。</w:t>
            </w:r>
          </w:p>
          <w:p w14:paraId="136B3C78">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提出异议或投诉时应当包括下列内容：</w:t>
            </w:r>
          </w:p>
          <w:p w14:paraId="00C623C0">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（1）异议</w:t>
            </w:r>
            <w:r>
              <w:rPr>
                <w:rFonts w:hint="eastAsia" w:ascii="宋体" w:hAnsi="宋体" w:eastAsia="宋体" w:cs="宋体"/>
                <w:kern w:val="0"/>
                <w:szCs w:val="21"/>
                <w:lang w:val="en-US" w:eastAsia="zh-CN"/>
              </w:rPr>
              <w:t>人</w:t>
            </w:r>
            <w:r>
              <w:rPr>
                <w:rFonts w:hint="eastAsia" w:ascii="宋体" w:hAnsi="宋体" w:eastAsia="宋体" w:cs="宋体"/>
                <w:kern w:val="0"/>
                <w:szCs w:val="21"/>
              </w:rPr>
              <w:t>或投诉人的</w:t>
            </w:r>
            <w:r>
              <w:rPr>
                <w:rFonts w:hint="eastAsia" w:ascii="宋体" w:hAnsi="宋体" w:eastAsia="宋体" w:cs="宋体"/>
                <w:kern w:val="0"/>
                <w:szCs w:val="21"/>
                <w:lang w:eastAsia="zh-CN"/>
              </w:rPr>
              <w:t>姓名</w:t>
            </w:r>
            <w:r>
              <w:rPr>
                <w:rFonts w:hint="eastAsia" w:ascii="宋体" w:hAnsi="宋体" w:eastAsia="宋体" w:cs="宋体"/>
                <w:kern w:val="0"/>
                <w:szCs w:val="21"/>
                <w:lang w:val="en-US" w:eastAsia="zh-CN"/>
              </w:rPr>
              <w:t>/</w:t>
            </w:r>
            <w:r>
              <w:rPr>
                <w:rFonts w:hint="eastAsia" w:ascii="宋体" w:hAnsi="宋体" w:eastAsia="宋体" w:cs="宋体"/>
                <w:kern w:val="0"/>
                <w:szCs w:val="21"/>
              </w:rPr>
              <w:t>名称、地址及有效联系方式；</w:t>
            </w:r>
          </w:p>
          <w:p w14:paraId="2E754A3A">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（2）被异议</w:t>
            </w:r>
            <w:r>
              <w:rPr>
                <w:rFonts w:hint="eastAsia" w:ascii="宋体" w:hAnsi="宋体" w:eastAsia="宋体" w:cs="宋体"/>
                <w:kern w:val="0"/>
                <w:szCs w:val="21"/>
                <w:lang w:val="en-US" w:eastAsia="zh-CN"/>
              </w:rPr>
              <w:t>人</w:t>
            </w:r>
            <w:r>
              <w:rPr>
                <w:rFonts w:hint="eastAsia" w:ascii="宋体" w:hAnsi="宋体" w:eastAsia="宋体" w:cs="宋体"/>
                <w:kern w:val="0"/>
                <w:szCs w:val="21"/>
              </w:rPr>
              <w:t>或</w:t>
            </w:r>
            <w:r>
              <w:rPr>
                <w:rFonts w:hint="eastAsia" w:ascii="宋体" w:hAnsi="宋体" w:eastAsia="宋体" w:cs="宋体"/>
                <w:kern w:val="0"/>
                <w:szCs w:val="21"/>
                <w:lang w:val="en-US" w:eastAsia="zh-CN"/>
              </w:rPr>
              <w:t>被</w:t>
            </w:r>
            <w:r>
              <w:rPr>
                <w:rFonts w:hint="eastAsia" w:ascii="宋体" w:hAnsi="宋体" w:eastAsia="宋体" w:cs="宋体"/>
                <w:kern w:val="0"/>
                <w:szCs w:val="21"/>
              </w:rPr>
              <w:t>投诉人的名称、地址及有效联系方式；</w:t>
            </w:r>
          </w:p>
          <w:p w14:paraId="55FB6218">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（3）异议或投诉事项的基本事实；</w:t>
            </w:r>
          </w:p>
          <w:p w14:paraId="2EC168E5">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（4）请求及主张；</w:t>
            </w:r>
          </w:p>
          <w:p w14:paraId="039C4355">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（5）涉及事项的证据、证明材料。</w:t>
            </w:r>
          </w:p>
          <w:p w14:paraId="6F1E89A4">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异议人或投诉人是法人的，异议书或投诉书必须由其法定代表人或者委托代理人签名并加盖单位</w:t>
            </w:r>
            <w:r>
              <w:rPr>
                <w:rFonts w:hint="eastAsia" w:ascii="宋体" w:hAnsi="宋体" w:eastAsia="宋体" w:cs="宋体"/>
                <w:kern w:val="0"/>
                <w:szCs w:val="21"/>
                <w:lang w:val="en-US" w:eastAsia="zh-CN"/>
              </w:rPr>
              <w:t>法人</w:t>
            </w:r>
            <w:r>
              <w:rPr>
                <w:rFonts w:hint="eastAsia" w:ascii="宋体" w:hAnsi="宋体" w:eastAsia="宋体" w:cs="宋体"/>
                <w:kern w:val="0"/>
                <w:szCs w:val="21"/>
              </w:rPr>
              <w:t>章；异议人或投诉人是其他组织或者自然人的，异议书或投诉书必须由其主要负责人签名或者异议人（或投诉人）本人签名，并附有效身份证明。如有关材料是外文，应当同时提供中文译本。</w:t>
            </w:r>
          </w:p>
          <w:p w14:paraId="56ED04AA">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 行政监督部门依照</w:t>
            </w:r>
            <w:r>
              <w:rPr>
                <w:rFonts w:hint="eastAsia" w:ascii="宋体" w:hAnsi="宋体" w:eastAsia="宋体" w:cs="宋体"/>
                <w:kern w:val="0"/>
                <w:szCs w:val="21"/>
                <w:lang w:val="en-US" w:eastAsia="zh-CN"/>
              </w:rPr>
              <w:t>相关</w:t>
            </w:r>
            <w:r>
              <w:rPr>
                <w:rFonts w:hint="eastAsia" w:ascii="宋体" w:hAnsi="宋体" w:eastAsia="宋体" w:cs="宋体"/>
                <w:kern w:val="0"/>
                <w:szCs w:val="21"/>
              </w:rPr>
              <w:t>法律法规文件处理投诉。</w:t>
            </w:r>
          </w:p>
          <w:p w14:paraId="26030E34">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3. 投标人</w:t>
            </w:r>
            <w:r>
              <w:rPr>
                <w:rFonts w:hint="eastAsia" w:ascii="宋体" w:hAnsi="宋体" w:eastAsia="宋体" w:cs="宋体"/>
                <w:kern w:val="0"/>
                <w:szCs w:val="21"/>
                <w:lang w:val="en-US" w:eastAsia="zh-CN"/>
              </w:rPr>
              <w:t>不得</w:t>
            </w:r>
            <w:r>
              <w:rPr>
                <w:rFonts w:hint="eastAsia" w:ascii="宋体" w:hAnsi="宋体" w:eastAsia="宋体" w:cs="宋体"/>
                <w:kern w:val="0"/>
                <w:szCs w:val="21"/>
              </w:rPr>
              <w:t>捏造事实、伪造材料，或者以非法手段获取证明材料进行</w:t>
            </w:r>
            <w:r>
              <w:rPr>
                <w:rFonts w:hint="eastAsia" w:ascii="宋体" w:hAnsi="宋体" w:eastAsia="宋体" w:cs="宋体"/>
                <w:kern w:val="0"/>
                <w:szCs w:val="21"/>
                <w:lang w:val="en-US" w:eastAsia="zh-CN"/>
              </w:rPr>
              <w:t>异议</w:t>
            </w:r>
            <w:r>
              <w:rPr>
                <w:rFonts w:hint="eastAsia" w:ascii="宋体" w:hAnsi="宋体" w:eastAsia="宋体" w:cs="宋体"/>
                <w:kern w:val="0"/>
                <w:szCs w:val="21"/>
              </w:rPr>
              <w:t>或者投诉；给他人造成损失的，依法承担赔偿责任。</w:t>
            </w:r>
          </w:p>
          <w:p w14:paraId="13F1F9FF">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4.</w:t>
            </w:r>
            <w:r>
              <w:rPr>
                <w:rFonts w:hint="eastAsia" w:ascii="宋体" w:hAnsi="宋体" w:eastAsia="宋体" w:cs="宋体"/>
              </w:rPr>
              <w:t xml:space="preserve"> </w:t>
            </w:r>
            <w:r>
              <w:rPr>
                <w:rFonts w:hint="eastAsia" w:ascii="宋体" w:hAnsi="宋体" w:eastAsia="宋体" w:cs="宋体"/>
                <w:kern w:val="0"/>
                <w:szCs w:val="21"/>
              </w:rPr>
              <w:t>异议受理单位：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大足石刻研究院</w:t>
            </w:r>
            <w:r>
              <w:rPr>
                <w:rFonts w:hint="eastAsia" w:ascii="宋体" w:hAnsi="宋体" w:eastAsia="宋体" w:cs="宋体"/>
                <w:color w:val="auto"/>
                <w:kern w:val="0"/>
                <w:szCs w:val="21"/>
                <w:highlight w:val="none"/>
                <w:u w:val="single"/>
                <w:lang w:val="en-US" w:eastAsia="zh-CN"/>
              </w:rPr>
              <w:t xml:space="preserve"> </w:t>
            </w:r>
          </w:p>
          <w:p w14:paraId="50797CD3">
            <w:pPr>
              <w:keepNext w:val="0"/>
              <w:keepLines w:val="0"/>
              <w:pageBreakBefore w:val="0"/>
              <w:kinsoku/>
              <w:wordWrap/>
              <w:overflowPunct/>
              <w:topLinePunct w:val="0"/>
              <w:bidi w:val="0"/>
              <w:snapToGrid w:val="0"/>
              <w:spacing w:line="400" w:lineRule="exact"/>
              <w:ind w:firstLine="420" w:firstLineChars="200"/>
              <w:textAlignment w:val="auto"/>
              <w:rPr>
                <w:rFonts w:hint="default" w:ascii="宋体" w:hAnsi="宋体" w:eastAsia="宋体" w:cs="宋体"/>
                <w:kern w:val="0"/>
                <w:szCs w:val="21"/>
                <w:u w:val="single"/>
                <w:lang w:val="en-US" w:eastAsia="zh-CN"/>
              </w:rPr>
            </w:pPr>
            <w:r>
              <w:rPr>
                <w:rFonts w:hint="eastAsia" w:ascii="宋体" w:hAnsi="宋体" w:eastAsia="宋体" w:cs="宋体"/>
                <w:kern w:val="0"/>
                <w:szCs w:val="21"/>
                <w:lang w:val="en-US" w:eastAsia="zh-CN"/>
              </w:rPr>
              <w:t>联系人：</w:t>
            </w:r>
            <w:r>
              <w:rPr>
                <w:rFonts w:hint="eastAsia" w:ascii="宋体" w:hAnsi="宋体" w:eastAsia="宋体" w:cs="宋体"/>
                <w:kern w:val="0"/>
                <w:szCs w:val="21"/>
                <w:u w:val="single"/>
                <w:lang w:val="en-US" w:eastAsia="zh-CN"/>
              </w:rPr>
              <w:t xml:space="preserve"> </w:t>
            </w:r>
            <w:r>
              <w:rPr>
                <w:rFonts w:hint="eastAsia" w:ascii="宋体" w:hAnsi="宋体" w:cs="宋体"/>
                <w:kern w:val="0"/>
                <w:szCs w:val="21"/>
                <w:u w:val="single"/>
                <w:lang w:val="en-US" w:eastAsia="zh-CN"/>
              </w:rPr>
              <w:t>韩老师</w:t>
            </w:r>
            <w:r>
              <w:rPr>
                <w:rFonts w:hint="eastAsia" w:ascii="宋体" w:hAnsi="宋体" w:eastAsia="宋体" w:cs="宋体"/>
                <w:kern w:val="0"/>
                <w:szCs w:val="21"/>
                <w:u w:val="single"/>
                <w:lang w:val="en-US" w:eastAsia="zh-CN"/>
              </w:rPr>
              <w:t xml:space="preserve"> </w:t>
            </w:r>
          </w:p>
          <w:p w14:paraId="349A1B71">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联系电话：</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18996394389</w:t>
            </w:r>
            <w:r>
              <w:rPr>
                <w:rFonts w:hint="eastAsia" w:ascii="宋体" w:hAnsi="宋体" w:eastAsia="宋体" w:cs="宋体"/>
                <w:color w:val="auto"/>
                <w:kern w:val="0"/>
                <w:szCs w:val="21"/>
                <w:highlight w:val="none"/>
                <w:u w:val="single"/>
                <w:lang w:val="en-US" w:eastAsia="zh-CN"/>
              </w:rPr>
              <w:t xml:space="preserve"> </w:t>
            </w:r>
          </w:p>
          <w:p w14:paraId="3C28C6AB">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投诉受理部门：</w:t>
            </w:r>
            <w:r>
              <w:rPr>
                <w:rFonts w:hint="eastAsia" w:ascii="宋体" w:hAnsi="宋体" w:eastAsia="宋体" w:cs="宋体"/>
                <w:color w:val="auto"/>
                <w:kern w:val="0"/>
                <w:szCs w:val="21"/>
                <w:highlight w:val="none"/>
                <w:u w:val="single"/>
                <w:lang w:val="en-US" w:eastAsia="zh-CN"/>
              </w:rPr>
              <w:t xml:space="preserve"> 重庆市大足区发展和改革委员会 </w:t>
            </w:r>
          </w:p>
          <w:p w14:paraId="16DC024B">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联系电话：</w:t>
            </w:r>
            <w:r>
              <w:rPr>
                <w:rFonts w:hint="eastAsia" w:ascii="宋体" w:hAnsi="宋体" w:eastAsia="宋体" w:cs="宋体"/>
                <w:color w:val="auto"/>
                <w:kern w:val="0"/>
                <w:szCs w:val="21"/>
                <w:highlight w:val="none"/>
                <w:u w:val="single"/>
                <w:lang w:val="en-US" w:eastAsia="zh-CN"/>
              </w:rPr>
              <w:t xml:space="preserve"> 023-43769005 </w:t>
            </w:r>
          </w:p>
        </w:tc>
      </w:tr>
      <w:tr w14:paraId="606453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72CD78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lang w:eastAsia="zh-CN"/>
              </w:rPr>
            </w:pPr>
            <w:r>
              <w:rPr>
                <w:rFonts w:hint="eastAsia" w:ascii="宋体" w:hAnsi="宋体" w:eastAsia="宋体" w:cs="宋体"/>
                <w:kern w:val="0"/>
                <w:szCs w:val="21"/>
              </w:rPr>
              <w:t>10.</w:t>
            </w:r>
            <w:r>
              <w:rPr>
                <w:rFonts w:hint="eastAsia" w:ascii="宋体" w:hAnsi="宋体" w:eastAsia="宋体" w:cs="宋体"/>
                <w:kern w:val="0"/>
                <w:szCs w:val="21"/>
                <w:lang w:val="en-US" w:eastAsia="zh-CN"/>
              </w:rPr>
              <w:t>3</w:t>
            </w:r>
          </w:p>
        </w:tc>
        <w:tc>
          <w:tcPr>
            <w:tcW w:w="1644" w:type="dxa"/>
            <w:vAlign w:val="center"/>
          </w:tcPr>
          <w:p w14:paraId="0DCF160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工程量清单</w:t>
            </w:r>
          </w:p>
          <w:p w14:paraId="2266AD1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编制说明</w:t>
            </w:r>
          </w:p>
        </w:tc>
        <w:tc>
          <w:tcPr>
            <w:tcW w:w="6490" w:type="dxa"/>
            <w:vAlign w:val="center"/>
          </w:tcPr>
          <w:p w14:paraId="5D7A0D7B">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r w14:paraId="4FF6C5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9D451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lang w:eastAsia="zh-CN"/>
              </w:rPr>
            </w:pPr>
            <w:r>
              <w:rPr>
                <w:rFonts w:hint="eastAsia" w:ascii="宋体" w:hAnsi="宋体" w:eastAsia="宋体" w:cs="宋体"/>
                <w:kern w:val="0"/>
                <w:szCs w:val="21"/>
              </w:rPr>
              <w:t>10.</w:t>
            </w:r>
            <w:r>
              <w:rPr>
                <w:rFonts w:hint="eastAsia" w:ascii="宋体" w:hAnsi="宋体" w:eastAsia="宋体" w:cs="宋体"/>
                <w:kern w:val="0"/>
                <w:szCs w:val="21"/>
                <w:lang w:val="en-US" w:eastAsia="zh-CN"/>
              </w:rPr>
              <w:t>4</w:t>
            </w:r>
          </w:p>
        </w:tc>
        <w:tc>
          <w:tcPr>
            <w:tcW w:w="1644" w:type="dxa"/>
            <w:vAlign w:val="center"/>
          </w:tcPr>
          <w:p w14:paraId="3DA8095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建筑领域实施农民工工资专用账户相关要求</w:t>
            </w:r>
          </w:p>
        </w:tc>
        <w:tc>
          <w:tcPr>
            <w:tcW w:w="6490" w:type="dxa"/>
            <w:vAlign w:val="center"/>
          </w:tcPr>
          <w:p w14:paraId="7FF26088">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本项目在实施过程中，中标人必须执行</w:t>
            </w:r>
            <w:r>
              <w:rPr>
                <w:rFonts w:hint="eastAsia" w:ascii="宋体" w:hAnsi="宋体" w:eastAsia="宋体" w:cs="宋体"/>
                <w:kern w:val="0"/>
                <w:szCs w:val="21"/>
                <w:u w:val="single"/>
              </w:rPr>
              <w:t>《保障农民工工资支付条例》（中华人民共和国国务院令第724号）</w:t>
            </w:r>
            <w:r>
              <w:rPr>
                <w:rFonts w:hint="eastAsia" w:ascii="宋体" w:hAnsi="宋体" w:eastAsia="宋体" w:cs="宋体"/>
                <w:kern w:val="0"/>
                <w:szCs w:val="21"/>
                <w:highlight w:val="none"/>
                <w:u w:val="single"/>
                <w:lang w:val="en-US" w:eastAsia="zh-CN"/>
              </w:rPr>
              <w:t>及国家</w:t>
            </w:r>
            <w:r>
              <w:rPr>
                <w:rFonts w:hint="eastAsia" w:ascii="宋体" w:hAnsi="宋体" w:eastAsia="宋体" w:cs="宋体"/>
                <w:szCs w:val="21"/>
                <w:highlight w:val="none"/>
                <w:u w:val="single"/>
              </w:rPr>
              <w:t>和重庆市现行有关</w:t>
            </w:r>
            <w:r>
              <w:rPr>
                <w:rFonts w:hint="eastAsia" w:ascii="宋体" w:hAnsi="宋体" w:eastAsia="宋体" w:cs="宋体"/>
                <w:kern w:val="0"/>
                <w:szCs w:val="21"/>
                <w:highlight w:val="none"/>
              </w:rPr>
              <w:t>农民工工资</w:t>
            </w:r>
            <w:r>
              <w:rPr>
                <w:rFonts w:hint="eastAsia" w:ascii="宋体" w:hAnsi="宋体" w:eastAsia="宋体" w:cs="宋体"/>
                <w:kern w:val="0"/>
                <w:szCs w:val="21"/>
                <w:highlight w:val="none"/>
                <w:lang w:val="en-US" w:eastAsia="zh-CN"/>
              </w:rPr>
              <w:t>支付规定</w:t>
            </w:r>
            <w:r>
              <w:rPr>
                <w:rFonts w:hint="eastAsia" w:ascii="宋体" w:hAnsi="宋体" w:eastAsia="宋体" w:cs="宋体"/>
                <w:kern w:val="0"/>
                <w:szCs w:val="21"/>
                <w:highlight w:val="none"/>
              </w:rPr>
              <w:t>，明确农民工工资保证金、实名制、专用账户、银行代发等保障农民工工资支付内容以及违约责任</w:t>
            </w:r>
            <w:r>
              <w:rPr>
                <w:rFonts w:hint="eastAsia" w:ascii="宋体" w:hAnsi="宋体" w:eastAsia="宋体" w:cs="宋体"/>
                <w:kern w:val="0"/>
                <w:szCs w:val="21"/>
              </w:rPr>
              <w:t>，填报相应的网络管理系统。</w:t>
            </w:r>
          </w:p>
          <w:p w14:paraId="7B5B98EB">
            <w:pPr>
              <w:keepNext w:val="0"/>
              <w:keepLines w:val="0"/>
              <w:pageBreakBefore w:val="0"/>
              <w:widowControl/>
              <w:kinsoku/>
              <w:wordWrap/>
              <w:overflowPunct/>
              <w:topLinePunct w:val="0"/>
              <w:bidi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投标人中标后，在与发包人签订的合同中，必须明确在</w:t>
            </w:r>
            <w:r>
              <w:rPr>
                <w:rFonts w:hint="eastAsia" w:ascii="宋体" w:hAnsi="宋体" w:eastAsia="宋体" w:cs="宋体"/>
                <w:kern w:val="0"/>
                <w:szCs w:val="21"/>
                <w:lang w:val="en-US" w:eastAsia="zh-CN"/>
              </w:rPr>
              <w:t>重庆市</w:t>
            </w:r>
            <w:r>
              <w:rPr>
                <w:rFonts w:hint="eastAsia" w:ascii="宋体" w:hAnsi="宋体" w:eastAsia="宋体" w:cs="宋体"/>
                <w:kern w:val="0"/>
                <w:szCs w:val="21"/>
              </w:rPr>
              <w:t>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p>
        </w:tc>
      </w:tr>
      <w:tr w14:paraId="24D998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B1055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lang w:eastAsia="zh-CN"/>
              </w:rPr>
            </w:pPr>
            <w:r>
              <w:rPr>
                <w:rFonts w:hint="eastAsia" w:ascii="宋体" w:hAnsi="宋体" w:eastAsia="宋体" w:cs="宋体"/>
                <w:kern w:val="0"/>
                <w:szCs w:val="21"/>
              </w:rPr>
              <w:t>10.</w:t>
            </w:r>
            <w:r>
              <w:rPr>
                <w:rFonts w:hint="eastAsia" w:ascii="宋体" w:hAnsi="宋体" w:eastAsia="宋体" w:cs="宋体"/>
                <w:kern w:val="0"/>
                <w:szCs w:val="21"/>
                <w:lang w:val="en-US" w:eastAsia="zh-CN"/>
              </w:rPr>
              <w:t>5</w:t>
            </w:r>
          </w:p>
        </w:tc>
        <w:tc>
          <w:tcPr>
            <w:tcW w:w="1644" w:type="dxa"/>
            <w:vAlign w:val="center"/>
          </w:tcPr>
          <w:p w14:paraId="546309E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关于对招标文件及投标争议的解释</w:t>
            </w:r>
          </w:p>
        </w:tc>
        <w:tc>
          <w:tcPr>
            <w:tcW w:w="6490" w:type="dxa"/>
            <w:vAlign w:val="center"/>
          </w:tcPr>
          <w:p w14:paraId="63B50A18">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对资格预审文件或者招标文件中的条款理解有争议的，应当作出不利于招标人的解释；对投标文件理解有争议的，应当作出不利于投标人的解释。但是，违背国家利益、社会公共利益的除外。</w:t>
            </w:r>
          </w:p>
        </w:tc>
      </w:tr>
      <w:tr w14:paraId="244A72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9B775E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lang w:eastAsia="zh-CN"/>
              </w:rPr>
            </w:pPr>
            <w:r>
              <w:rPr>
                <w:rFonts w:hint="eastAsia" w:ascii="宋体" w:hAnsi="宋体" w:eastAsia="宋体" w:cs="宋体"/>
                <w:kern w:val="0"/>
                <w:szCs w:val="21"/>
              </w:rPr>
              <w:t>10.</w:t>
            </w:r>
            <w:r>
              <w:rPr>
                <w:rFonts w:hint="eastAsia" w:ascii="宋体" w:hAnsi="宋体" w:eastAsia="宋体" w:cs="宋体"/>
                <w:kern w:val="0"/>
                <w:szCs w:val="21"/>
                <w:lang w:val="en-US" w:eastAsia="zh-CN"/>
              </w:rPr>
              <w:t>6</w:t>
            </w:r>
          </w:p>
        </w:tc>
        <w:tc>
          <w:tcPr>
            <w:tcW w:w="1644" w:type="dxa"/>
            <w:vAlign w:val="center"/>
          </w:tcPr>
          <w:p w14:paraId="40E11E1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投标人注意事项</w:t>
            </w:r>
          </w:p>
        </w:tc>
        <w:tc>
          <w:tcPr>
            <w:tcW w:w="6490" w:type="dxa"/>
            <w:vAlign w:val="center"/>
          </w:tcPr>
          <w:p w14:paraId="0F7A925F">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1. 本次投标采用全流程电子开评标模式，第一次参与投标的单位务必在</w:t>
            </w:r>
            <w:r>
              <w:rPr>
                <w:rFonts w:hint="eastAsia" w:ascii="宋体" w:hAnsi="宋体" w:eastAsia="宋体" w:cs="宋体"/>
                <w:kern w:val="0"/>
                <w:szCs w:val="21"/>
                <w:u w:val="single"/>
                <w:lang w:eastAsia="zh-CN"/>
              </w:rPr>
              <w:t xml:space="preserve"> 重庆市公共资源交易网（大足区）（www.cqggzy.com/dazuweb/） </w:t>
            </w:r>
            <w:r>
              <w:rPr>
                <w:rFonts w:hint="eastAsia" w:ascii="宋体" w:hAnsi="宋体" w:eastAsia="宋体" w:cs="宋体"/>
                <w:kern w:val="0"/>
                <w:szCs w:val="21"/>
              </w:rPr>
              <w:t>完成市场主体信息登记以及 CA 数字证书办理，并且下载新点投标文件制作软件（重庆版）制作投标文件。</w:t>
            </w:r>
          </w:p>
          <w:p w14:paraId="2A6E160D">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2. 制作投标文件需要使用CA 数字证书加密，并且加盖电子印章，CA 数字证书购买及办理方式请参见</w:t>
            </w:r>
            <w:r>
              <w:rPr>
                <w:rFonts w:hint="eastAsia" w:ascii="宋体" w:hAnsi="宋体" w:eastAsia="宋体" w:cs="宋体"/>
                <w:kern w:val="0"/>
                <w:szCs w:val="21"/>
                <w:u w:val="single"/>
                <w:lang w:eastAsia="zh-CN"/>
              </w:rPr>
              <w:t xml:space="preserve"> 重庆市公共资源交易网（大足区）（www.cqggzy.com/dazuweb/） </w:t>
            </w:r>
            <w:r>
              <w:rPr>
                <w:rFonts w:hint="eastAsia" w:ascii="宋体" w:hAnsi="宋体" w:eastAsia="宋体" w:cs="宋体"/>
                <w:kern w:val="0"/>
                <w:szCs w:val="21"/>
              </w:rPr>
              <w:t>导航栏“主体信息”页面中“市场主体信息登记”“CA数字证书办理”。</w:t>
            </w:r>
          </w:p>
          <w:p w14:paraId="510C7CDD">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3. 投标人应当在投标截止时间前，通过互联网使用CA数字证书登录重庆市电子招投标系统，将加密的电子投标文件上传，未按规定加密将无法上传。投标人应充分考虑上传文件时的不可预见因素，逾期未完成上传投标文件的，视为撤回投标文件。</w:t>
            </w:r>
          </w:p>
          <w:p w14:paraId="0316D425">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开标活动由招标人主持，邀请所有投标人参加。投标人未在开标现场提出异议，或者不见面开标系统未收到投标人异议的，视为投标人默认开标结果。</w:t>
            </w:r>
          </w:p>
          <w:p w14:paraId="5EDA895A">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 投标人应按时解密，在评标结束前应在线或在现场关注项目进展情况，确保通讯联系正常。如评标委员会要求投标人澄清的，投标人应确保及时回复，否则视为拒绝按评标委员会要求澄清、说明或补正。</w:t>
            </w:r>
          </w:p>
          <w:p w14:paraId="3F2DAD55">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6</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电子投标文件制作</w:t>
            </w:r>
          </w:p>
          <w:p w14:paraId="50B3ED10">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（1）电子投标文件由投标人使用专用的“新点投标文件制作软件（重庆版）”制作生成。</w:t>
            </w:r>
          </w:p>
          <w:p w14:paraId="17866F39">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（2）投标人在编制电子投标文件时应当建立分级目录，并按照标签提示导入相关内容。</w:t>
            </w:r>
          </w:p>
          <w:p w14:paraId="2DF13BC3">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cs="宋体"/>
                <w:szCs w:val="21"/>
              </w:rPr>
              <w:t>按本章前附表第3.7.3项签名盖章要求进行投标文件的签署</w:t>
            </w:r>
            <w:r>
              <w:rPr>
                <w:rFonts w:hint="eastAsia" w:ascii="宋体" w:hAnsi="宋体" w:eastAsia="宋体" w:cs="宋体"/>
                <w:kern w:val="0"/>
                <w:szCs w:val="21"/>
              </w:rPr>
              <w:t>。</w:t>
            </w:r>
          </w:p>
          <w:p w14:paraId="27C3FBF6">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（4）电子投标文件制作完成后，将生成一份加密的电子投标文件（后缀名为.CQTF）和一份不加密的电子投标文件（后缀名为.nCQTF）。</w:t>
            </w:r>
          </w:p>
          <w:p w14:paraId="6984F297">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（5）投标人如需递交不加密电子投标文件的，应将不加密的电子投标文件复制到一张光盘中</w:t>
            </w:r>
            <w:r>
              <w:rPr>
                <w:rFonts w:hint="eastAsia" w:ascii="宋体" w:hAnsi="宋体" w:eastAsia="宋体" w:cs="宋体"/>
                <w:szCs w:val="21"/>
              </w:rPr>
              <w:t>（光盘备份）</w:t>
            </w:r>
            <w:r>
              <w:rPr>
                <w:rFonts w:hint="eastAsia" w:ascii="宋体" w:hAnsi="宋体" w:eastAsia="宋体" w:cs="宋体"/>
                <w:kern w:val="0"/>
                <w:szCs w:val="21"/>
              </w:rPr>
              <w:t>，光盘表面粘贴标签贴，并将招标项目名称、投标人名称等信息填写在标签贴上。</w:t>
            </w:r>
          </w:p>
          <w:p w14:paraId="63CF6422">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（6）电子投标文件制作的具体方法详见“新点投标文件制作软件（重庆版）”中的帮助文档。</w:t>
            </w:r>
          </w:p>
        </w:tc>
      </w:tr>
      <w:tr w14:paraId="0E9A44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128F9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10.7</w:t>
            </w:r>
          </w:p>
        </w:tc>
        <w:tc>
          <w:tcPr>
            <w:tcW w:w="1644" w:type="dxa"/>
            <w:vAlign w:val="center"/>
          </w:tcPr>
          <w:p w14:paraId="4F1572D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代理服务费</w:t>
            </w:r>
          </w:p>
        </w:tc>
        <w:tc>
          <w:tcPr>
            <w:tcW w:w="6490" w:type="dxa"/>
            <w:vAlign w:val="center"/>
          </w:tcPr>
          <w:p w14:paraId="30ED2721">
            <w:pPr>
              <w:keepNext w:val="0"/>
              <w:keepLines w:val="0"/>
              <w:pageBreakBefore w:val="0"/>
              <w:kinsoku/>
              <w:wordWrap/>
              <w:overflowPunct/>
              <w:topLinePunct w:val="0"/>
              <w:autoSpaceDE w:val="0"/>
              <w:autoSpaceDN w:val="0"/>
              <w:bidi w:val="0"/>
              <w:adjustRightInd w:val="0"/>
              <w:snapToGrid w:val="0"/>
              <w:spacing w:line="400" w:lineRule="exact"/>
              <w:ind w:firstLine="420" w:firstLineChars="0"/>
              <w:textAlignment w:val="auto"/>
              <w:rPr>
                <w:rFonts w:hint="eastAsia" w:ascii="宋体" w:hAnsi="宋体" w:eastAsia="宋体" w:cs="宋体"/>
                <w:i/>
                <w:kern w:val="0"/>
                <w:szCs w:val="21"/>
              </w:rPr>
            </w:pPr>
            <w:r>
              <w:rPr>
                <w:rFonts w:hint="eastAsia" w:ascii="宋体" w:hAnsi="宋体" w:eastAsia="宋体" w:cs="宋体"/>
                <w:i w:val="0"/>
                <w:iCs/>
                <w:kern w:val="0"/>
                <w:szCs w:val="21"/>
                <w:lang w:val="en-US" w:eastAsia="zh-CN"/>
              </w:rPr>
              <w:t>招标代理服务费：按招标代理合同约定，招标代理服务费由</w:t>
            </w:r>
            <w:r>
              <w:rPr>
                <w:rFonts w:hint="eastAsia" w:ascii="宋体" w:hAnsi="宋体" w:cs="宋体"/>
                <w:i w:val="0"/>
                <w:iCs/>
                <w:kern w:val="0"/>
                <w:szCs w:val="21"/>
                <w:lang w:val="en-US" w:eastAsia="zh-CN"/>
              </w:rPr>
              <w:t>招标人</w:t>
            </w:r>
            <w:r>
              <w:rPr>
                <w:rFonts w:hint="eastAsia" w:ascii="宋体" w:hAnsi="宋体" w:eastAsia="宋体" w:cs="宋体"/>
                <w:i w:val="0"/>
                <w:iCs/>
                <w:kern w:val="0"/>
                <w:szCs w:val="21"/>
                <w:lang w:val="en-US" w:eastAsia="zh-CN"/>
              </w:rPr>
              <w:t>支付</w:t>
            </w:r>
            <w:r>
              <w:rPr>
                <w:rFonts w:hint="eastAsia" w:ascii="宋体" w:hAnsi="宋体" w:cs="宋体"/>
                <w:i w:val="0"/>
                <w:iCs/>
                <w:kern w:val="0"/>
                <w:szCs w:val="21"/>
                <w:lang w:val="en-US" w:eastAsia="zh-CN"/>
              </w:rPr>
              <w:t>，</w:t>
            </w:r>
            <w:r>
              <w:rPr>
                <w:rFonts w:hint="eastAsia" w:ascii="宋体" w:hAnsi="宋体" w:eastAsia="宋体" w:cs="宋体"/>
                <w:i w:val="0"/>
                <w:iCs/>
                <w:kern w:val="0"/>
                <w:szCs w:val="21"/>
                <w:lang w:val="en-US" w:eastAsia="zh-CN"/>
              </w:rPr>
              <w:t>重新招标代理服务费金额</w:t>
            </w:r>
            <w:r>
              <w:rPr>
                <w:rFonts w:hint="eastAsia" w:ascii="宋体" w:hAnsi="宋体" w:cs="宋体"/>
                <w:i w:val="0"/>
                <w:iCs/>
                <w:kern w:val="0"/>
                <w:szCs w:val="21"/>
                <w:lang w:val="en-US" w:eastAsia="zh-CN"/>
              </w:rPr>
              <w:t>：</w:t>
            </w:r>
            <w:r>
              <w:rPr>
                <w:rFonts w:hint="eastAsia" w:ascii="宋体" w:hAnsi="宋体" w:eastAsia="宋体" w:cs="宋体"/>
                <w:i w:val="0"/>
                <w:iCs/>
                <w:kern w:val="0"/>
                <w:szCs w:val="21"/>
                <w:lang w:val="en-US" w:eastAsia="zh-CN"/>
              </w:rPr>
              <w:t>另行协商。</w:t>
            </w:r>
          </w:p>
        </w:tc>
      </w:tr>
      <w:tr w14:paraId="29F3C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2931A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bookmarkStart w:id="110" w:name="_Toc200513126"/>
            <w:bookmarkStart w:id="111" w:name="_Toc277082552"/>
            <w:bookmarkStart w:id="112" w:name="_Toc287607746"/>
            <w:bookmarkStart w:id="113" w:name="_Toc224103317"/>
            <w:bookmarkStart w:id="114" w:name="_Toc430530435"/>
            <w:bookmarkStart w:id="115" w:name="_Toc287620685"/>
            <w:r>
              <w:rPr>
                <w:rFonts w:hint="eastAsia" w:ascii="宋体" w:hAnsi="宋体" w:eastAsia="宋体" w:cs="宋体"/>
                <w:kern w:val="0"/>
                <w:szCs w:val="21"/>
                <w:lang w:val="en-US" w:eastAsia="zh-CN"/>
              </w:rPr>
              <w:t>10.8</w:t>
            </w:r>
          </w:p>
        </w:tc>
        <w:tc>
          <w:tcPr>
            <w:tcW w:w="1644" w:type="dxa"/>
            <w:vAlign w:val="center"/>
          </w:tcPr>
          <w:p w14:paraId="417F5FB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交易</w:t>
            </w:r>
            <w:r>
              <w:rPr>
                <w:rFonts w:hint="eastAsia" w:ascii="宋体" w:hAnsi="宋体" w:eastAsia="宋体" w:cs="宋体"/>
                <w:kern w:val="0"/>
                <w:szCs w:val="21"/>
              </w:rPr>
              <w:t>服务费</w:t>
            </w:r>
          </w:p>
        </w:tc>
        <w:tc>
          <w:tcPr>
            <w:tcW w:w="6490" w:type="dxa"/>
            <w:vAlign w:val="center"/>
          </w:tcPr>
          <w:p w14:paraId="43F37ADC">
            <w:pPr>
              <w:keepNext w:val="0"/>
              <w:keepLines w:val="0"/>
              <w:pageBreakBefore w:val="0"/>
              <w:kinsoku/>
              <w:wordWrap/>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i w:val="0"/>
                <w:iCs/>
                <w:kern w:val="0"/>
                <w:szCs w:val="21"/>
                <w:lang w:val="en-US" w:eastAsia="zh-CN"/>
              </w:rPr>
            </w:pPr>
            <w:r>
              <w:rPr>
                <w:rFonts w:hint="eastAsia" w:ascii="宋体" w:hAnsi="宋体" w:eastAsia="宋体" w:cs="宋体"/>
                <w:i w:val="0"/>
                <w:iCs/>
                <w:kern w:val="0"/>
                <w:szCs w:val="21"/>
                <w:lang w:val="en-US" w:eastAsia="zh-CN"/>
              </w:rPr>
              <w:t>2、交易服务费：本工程招标投标交易服务费由重庆开源创新城市运营管理集团有限公司按大足发改〔2023〕10号文规定收取，由中标人全额缴纳。</w:t>
            </w:r>
          </w:p>
          <w:p w14:paraId="69B175B9">
            <w:pPr>
              <w:keepNext w:val="0"/>
              <w:keepLines w:val="0"/>
              <w:pageBreakBefore w:val="0"/>
              <w:kinsoku/>
              <w:wordWrap/>
              <w:overflowPunct/>
              <w:topLinePunct w:val="0"/>
              <w:autoSpaceDE w:val="0"/>
              <w:autoSpaceDN w:val="0"/>
              <w:bidi w:val="0"/>
              <w:adjustRightInd w:val="0"/>
              <w:snapToGrid w:val="0"/>
              <w:spacing w:line="400" w:lineRule="exact"/>
              <w:ind w:firstLine="420" w:firstLineChars="0"/>
              <w:textAlignment w:val="auto"/>
              <w:rPr>
                <w:rFonts w:hint="eastAsia" w:ascii="宋体" w:hAnsi="宋体" w:eastAsia="宋体" w:cs="宋体"/>
                <w:i/>
                <w:kern w:val="0"/>
                <w:szCs w:val="21"/>
              </w:rPr>
            </w:pPr>
            <w:r>
              <w:rPr>
                <w:rFonts w:hint="eastAsia" w:ascii="宋体" w:hAnsi="宋体" w:eastAsia="宋体" w:cs="宋体"/>
                <w:i w:val="0"/>
                <w:iCs/>
                <w:kern w:val="0"/>
                <w:szCs w:val="21"/>
                <w:lang w:val="en-US" w:eastAsia="zh-CN"/>
              </w:rPr>
              <w:t>注：各投标人自行考虑在投标报价中，不得单列。</w:t>
            </w:r>
          </w:p>
        </w:tc>
      </w:tr>
      <w:tr w14:paraId="4BC78E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4BF05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10.</w:t>
            </w:r>
            <w:r>
              <w:rPr>
                <w:rFonts w:hint="eastAsia" w:ascii="宋体" w:hAnsi="宋体" w:cs="宋体"/>
                <w:kern w:val="0"/>
                <w:szCs w:val="21"/>
                <w:lang w:val="en-US" w:eastAsia="zh-CN"/>
              </w:rPr>
              <w:t>9</w:t>
            </w:r>
          </w:p>
        </w:tc>
        <w:tc>
          <w:tcPr>
            <w:tcW w:w="1644" w:type="dxa"/>
            <w:vAlign w:val="center"/>
          </w:tcPr>
          <w:p w14:paraId="1CA1376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其他</w:t>
            </w:r>
          </w:p>
        </w:tc>
        <w:tc>
          <w:tcPr>
            <w:tcW w:w="6490" w:type="dxa"/>
            <w:vAlign w:val="center"/>
          </w:tcPr>
          <w:p w14:paraId="318AB6FC">
            <w:pPr>
              <w:keepNext w:val="0"/>
              <w:keepLines w:val="0"/>
              <w:pageBreakBefore w:val="0"/>
              <w:kinsoku/>
              <w:wordWrap/>
              <w:overflowPunct/>
              <w:topLinePunct w:val="0"/>
              <w:autoSpaceDE w:val="0"/>
              <w:autoSpaceDN w:val="0"/>
              <w:bidi w:val="0"/>
              <w:adjustRightInd w:val="0"/>
              <w:snapToGrid w:val="0"/>
              <w:spacing w:line="400" w:lineRule="exact"/>
              <w:ind w:firstLine="420" w:firstLineChars="0"/>
              <w:textAlignment w:val="auto"/>
              <w:rPr>
                <w:rFonts w:hint="eastAsia" w:ascii="宋体" w:hAnsi="宋体" w:eastAsia="宋体" w:cs="宋体"/>
                <w:i/>
                <w:kern w:val="0"/>
                <w:szCs w:val="21"/>
              </w:rPr>
            </w:pPr>
            <w:r>
              <w:rPr>
                <w:rFonts w:hint="eastAsia" w:ascii="宋体" w:hAnsi="宋体" w:eastAsia="宋体" w:cs="宋体"/>
                <w:i w:val="0"/>
                <w:iCs/>
                <w:kern w:val="0"/>
                <w:szCs w:val="21"/>
                <w:lang w:val="en-US" w:eastAsia="zh-CN"/>
              </w:rPr>
              <w:t>/</w:t>
            </w:r>
          </w:p>
        </w:tc>
      </w:tr>
    </w:tbl>
    <w:p w14:paraId="1449F275">
      <w:pPr>
        <w:pStyle w:val="4"/>
        <w:spacing w:before="0" w:after="0" w:line="20" w:lineRule="exact"/>
        <w:rPr>
          <w:rFonts w:ascii="宋体" w:hAnsi="宋体"/>
          <w:b w:val="0"/>
          <w:snapToGrid w:val="0"/>
        </w:rPr>
      </w:pPr>
    </w:p>
    <w:p w14:paraId="5D5206AC">
      <w:pPr>
        <w:pStyle w:val="4"/>
        <w:spacing w:before="0" w:after="0" w:line="200" w:lineRule="exact"/>
        <w:rPr>
          <w:rFonts w:ascii="宋体" w:hAnsi="宋体"/>
          <w:b w:val="0"/>
          <w:snapToGrid w:val="0"/>
        </w:rPr>
      </w:pPr>
      <w:r>
        <w:rPr>
          <w:rFonts w:ascii="宋体" w:hAnsi="宋体"/>
          <w:b w:val="0"/>
          <w:snapToGrid w:val="0"/>
        </w:rPr>
        <w:br w:type="page"/>
      </w:r>
    </w:p>
    <w:p w14:paraId="035D07E6">
      <w:pPr>
        <w:pStyle w:val="4"/>
        <w:spacing w:before="0" w:after="0" w:line="360" w:lineRule="auto"/>
        <w:rPr>
          <w:rFonts w:ascii="宋体" w:hAnsi="宋体"/>
          <w:b w:val="0"/>
          <w:snapToGrid w:val="0"/>
        </w:rPr>
      </w:pPr>
      <w:bookmarkStart w:id="116" w:name="_Toc14628"/>
      <w:bookmarkStart w:id="117" w:name="_Toc509218710"/>
      <w:bookmarkStart w:id="118" w:name="_Toc7788"/>
      <w:r>
        <w:rPr>
          <w:rFonts w:ascii="宋体" w:hAnsi="宋体"/>
          <w:b w:val="0"/>
          <w:snapToGrid w:val="0"/>
        </w:rPr>
        <w:t>1.  总则</w:t>
      </w:r>
      <w:bookmarkEnd w:id="110"/>
      <w:bookmarkEnd w:id="111"/>
      <w:bookmarkEnd w:id="112"/>
      <w:bookmarkEnd w:id="113"/>
      <w:bookmarkEnd w:id="114"/>
      <w:bookmarkEnd w:id="115"/>
      <w:bookmarkEnd w:id="116"/>
      <w:bookmarkEnd w:id="117"/>
      <w:bookmarkEnd w:id="118"/>
    </w:p>
    <w:p w14:paraId="7F9C1186">
      <w:pPr>
        <w:pStyle w:val="5"/>
        <w:snapToGrid w:val="0"/>
        <w:spacing w:before="0" w:after="0" w:line="360" w:lineRule="auto"/>
        <w:rPr>
          <w:rFonts w:ascii="宋体" w:hAnsi="宋体"/>
          <w:b w:val="0"/>
          <w:snapToGrid w:val="0"/>
          <w:sz w:val="24"/>
          <w:szCs w:val="24"/>
        </w:rPr>
      </w:pPr>
      <w:bookmarkStart w:id="119" w:name="_Toc287620686"/>
      <w:bookmarkStart w:id="120" w:name="_Toc430530436"/>
      <w:bookmarkStart w:id="121" w:name="_Toc224103318"/>
      <w:bookmarkStart w:id="122" w:name="_Toc287607747"/>
      <w:bookmarkStart w:id="123" w:name="_Toc27230"/>
      <w:bookmarkStart w:id="124" w:name="_Toc277082553"/>
      <w:bookmarkStart w:id="125" w:name="_Toc509218711"/>
      <w:bookmarkStart w:id="126" w:name="_Toc200513127"/>
      <w:bookmarkStart w:id="127" w:name="_Toc21822"/>
      <w:r>
        <w:rPr>
          <w:rFonts w:ascii="宋体" w:hAnsi="宋体"/>
          <w:b w:val="0"/>
          <w:snapToGrid w:val="0"/>
          <w:sz w:val="24"/>
          <w:szCs w:val="24"/>
        </w:rPr>
        <w:t>1.1  项目概况</w:t>
      </w:r>
      <w:bookmarkEnd w:id="119"/>
      <w:bookmarkEnd w:id="120"/>
      <w:bookmarkEnd w:id="121"/>
      <w:bookmarkEnd w:id="122"/>
      <w:bookmarkEnd w:id="123"/>
      <w:bookmarkEnd w:id="124"/>
      <w:bookmarkEnd w:id="125"/>
      <w:bookmarkEnd w:id="126"/>
      <w:bookmarkEnd w:id="127"/>
    </w:p>
    <w:p w14:paraId="69502B5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1.1.1  根据《中华人民共和国招标投标法》等有关法律、法规和规章的规定，本招标项目已具备招标条件，现对本</w:t>
      </w:r>
      <w:r>
        <w:rPr>
          <w:rFonts w:hint="eastAsia" w:ascii="宋体" w:hAnsi="宋体"/>
          <w:snapToGrid w:val="0"/>
          <w:kern w:val="0"/>
          <w:szCs w:val="21"/>
        </w:rPr>
        <w:t>项目</w:t>
      </w:r>
      <w:r>
        <w:rPr>
          <w:rFonts w:ascii="宋体" w:hAnsi="宋体"/>
          <w:snapToGrid w:val="0"/>
          <w:kern w:val="0"/>
          <w:szCs w:val="21"/>
        </w:rPr>
        <w:t>施工进行招标。</w:t>
      </w:r>
    </w:p>
    <w:p w14:paraId="490FBC0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1.1.2  本招标项目招标人：见投标人须知前附表。</w:t>
      </w:r>
    </w:p>
    <w:p w14:paraId="05EA13B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1.1.3  本招标项目招标代理机构：见投标人须知前附表。</w:t>
      </w:r>
    </w:p>
    <w:p w14:paraId="0C90B9A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4</w:t>
      </w:r>
      <w:r>
        <w:rPr>
          <w:rFonts w:ascii="宋体" w:hAnsi="宋体"/>
          <w:snapToGrid w:val="0"/>
          <w:kern w:val="0"/>
          <w:szCs w:val="21"/>
        </w:rPr>
        <w:t xml:space="preserve">  本招标项目名称：见投标人须知前附表。</w:t>
      </w:r>
    </w:p>
    <w:p w14:paraId="729C337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1.1.5  本招标项目建设地点：见投标人须知前附表。</w:t>
      </w:r>
    </w:p>
    <w:p w14:paraId="5393A3E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1.1.6  本招标项目建设规模：见投标人须知前附表。</w:t>
      </w:r>
    </w:p>
    <w:p w14:paraId="3B693332">
      <w:pPr>
        <w:pStyle w:val="5"/>
        <w:snapToGrid w:val="0"/>
        <w:spacing w:before="0" w:after="0" w:line="360" w:lineRule="auto"/>
        <w:rPr>
          <w:rFonts w:ascii="宋体" w:hAnsi="宋体"/>
          <w:b w:val="0"/>
          <w:snapToGrid w:val="0"/>
          <w:sz w:val="24"/>
          <w:szCs w:val="24"/>
        </w:rPr>
      </w:pPr>
      <w:bookmarkStart w:id="128" w:name="_Toc200513128"/>
      <w:bookmarkStart w:id="129" w:name="_Toc509218712"/>
      <w:bookmarkStart w:id="130" w:name="_Toc430530437"/>
      <w:bookmarkStart w:id="131" w:name="_Toc15927"/>
      <w:bookmarkStart w:id="132" w:name="_Toc224103319"/>
      <w:bookmarkStart w:id="133" w:name="_Toc277082554"/>
      <w:bookmarkStart w:id="134" w:name="_Toc287620687"/>
      <w:bookmarkStart w:id="135" w:name="_Toc287607748"/>
      <w:bookmarkStart w:id="136" w:name="_Toc10126"/>
      <w:r>
        <w:rPr>
          <w:rFonts w:ascii="宋体" w:hAnsi="宋体"/>
          <w:b w:val="0"/>
          <w:snapToGrid w:val="0"/>
          <w:sz w:val="24"/>
          <w:szCs w:val="24"/>
        </w:rPr>
        <w:t>1.2  资金来源和落实情况</w:t>
      </w:r>
      <w:bookmarkEnd w:id="128"/>
      <w:bookmarkEnd w:id="129"/>
      <w:bookmarkEnd w:id="130"/>
      <w:bookmarkEnd w:id="131"/>
      <w:bookmarkEnd w:id="132"/>
      <w:bookmarkEnd w:id="133"/>
      <w:bookmarkEnd w:id="134"/>
      <w:bookmarkEnd w:id="135"/>
      <w:bookmarkEnd w:id="136"/>
    </w:p>
    <w:p w14:paraId="3D3C2EA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1.2.1  本招标项目的资金来源：见投标人须知前附表。</w:t>
      </w:r>
    </w:p>
    <w:p w14:paraId="06823EA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1.2.2  本招标项目的出资比例：见投标人须知前附表。</w:t>
      </w:r>
    </w:p>
    <w:p w14:paraId="6E0AC49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1.2.3  本招标项目的资金落实情况：见投标人须知前附表。</w:t>
      </w:r>
    </w:p>
    <w:p w14:paraId="0E1395DE">
      <w:pPr>
        <w:pStyle w:val="5"/>
        <w:snapToGrid w:val="0"/>
        <w:spacing w:before="0" w:after="0" w:line="360" w:lineRule="auto"/>
        <w:rPr>
          <w:rFonts w:ascii="宋体" w:hAnsi="宋体"/>
          <w:b w:val="0"/>
          <w:snapToGrid w:val="0"/>
          <w:sz w:val="24"/>
          <w:szCs w:val="24"/>
        </w:rPr>
      </w:pPr>
      <w:bookmarkStart w:id="137" w:name="_Toc430530438"/>
      <w:bookmarkStart w:id="138" w:name="_Toc287607749"/>
      <w:bookmarkStart w:id="139" w:name="_Toc30662"/>
      <w:bookmarkStart w:id="140" w:name="_Toc20343"/>
      <w:bookmarkStart w:id="141" w:name="_Toc277082555"/>
      <w:bookmarkStart w:id="142" w:name="_Toc287620688"/>
      <w:bookmarkStart w:id="143" w:name="_Toc224103320"/>
      <w:bookmarkStart w:id="144" w:name="_Toc509218713"/>
      <w:bookmarkStart w:id="145" w:name="_Toc200513129"/>
      <w:r>
        <w:rPr>
          <w:rFonts w:ascii="宋体" w:hAnsi="宋体"/>
          <w:b w:val="0"/>
          <w:snapToGrid w:val="0"/>
          <w:sz w:val="24"/>
          <w:szCs w:val="24"/>
        </w:rPr>
        <w:t>1.3  招标范围、计划工期和质量要求</w:t>
      </w:r>
      <w:bookmarkEnd w:id="137"/>
      <w:bookmarkEnd w:id="138"/>
      <w:bookmarkEnd w:id="139"/>
      <w:bookmarkEnd w:id="140"/>
      <w:bookmarkEnd w:id="141"/>
      <w:bookmarkEnd w:id="142"/>
      <w:bookmarkEnd w:id="143"/>
      <w:bookmarkEnd w:id="144"/>
      <w:bookmarkEnd w:id="145"/>
    </w:p>
    <w:p w14:paraId="00D5426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1.3.1  招标范围：见投标人须知前附表。</w:t>
      </w:r>
    </w:p>
    <w:p w14:paraId="308694A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1.3.2  计划工期：见投标人须知前附表。</w:t>
      </w:r>
    </w:p>
    <w:p w14:paraId="590CCE9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1.3.3  质量要求：见投标人须知前附表。</w:t>
      </w:r>
    </w:p>
    <w:p w14:paraId="7CD55BBD">
      <w:pPr>
        <w:pStyle w:val="5"/>
        <w:snapToGrid w:val="0"/>
        <w:spacing w:before="0" w:after="0" w:line="360" w:lineRule="auto"/>
        <w:rPr>
          <w:rFonts w:ascii="宋体" w:hAnsi="宋体"/>
          <w:b w:val="0"/>
          <w:snapToGrid w:val="0"/>
          <w:sz w:val="24"/>
          <w:szCs w:val="24"/>
        </w:rPr>
      </w:pPr>
      <w:bookmarkStart w:id="146" w:name="_Toc287620690"/>
      <w:bookmarkStart w:id="147" w:name="_Toc287607751"/>
      <w:bookmarkStart w:id="148" w:name="_Toc224103322"/>
      <w:bookmarkStart w:id="149" w:name="_Toc17965"/>
      <w:bookmarkStart w:id="150" w:name="_Toc277082557"/>
      <w:bookmarkStart w:id="151" w:name="_Toc6715"/>
      <w:bookmarkStart w:id="152" w:name="_Toc509218715"/>
      <w:bookmarkStart w:id="153" w:name="_Toc430530440"/>
      <w:bookmarkStart w:id="154" w:name="_Toc200513131"/>
      <w:r>
        <w:rPr>
          <w:rFonts w:ascii="宋体" w:hAnsi="宋体"/>
          <w:b w:val="0"/>
          <w:snapToGrid w:val="0"/>
          <w:sz w:val="24"/>
          <w:szCs w:val="24"/>
        </w:rPr>
        <w:t>1.4  投标人资格要求</w:t>
      </w:r>
      <w:bookmarkEnd w:id="146"/>
      <w:bookmarkEnd w:id="147"/>
      <w:bookmarkEnd w:id="148"/>
      <w:bookmarkEnd w:id="149"/>
      <w:bookmarkEnd w:id="150"/>
      <w:bookmarkEnd w:id="151"/>
      <w:bookmarkEnd w:id="152"/>
      <w:bookmarkEnd w:id="153"/>
      <w:bookmarkEnd w:id="154"/>
    </w:p>
    <w:p w14:paraId="0FADC71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1.4.1 投标人应具备承担本标段施工的资质条件、能力和信誉。</w:t>
      </w:r>
    </w:p>
    <w:p w14:paraId="7ECEC12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ascii="宋体" w:hAnsi="宋体"/>
          <w:szCs w:val="21"/>
        </w:rPr>
        <w:t>资质条件、</w:t>
      </w:r>
      <w:r>
        <w:rPr>
          <w:rFonts w:hint="eastAsia" w:ascii="宋体" w:hAnsi="宋体"/>
          <w:szCs w:val="21"/>
          <w:lang w:eastAsia="zh-CN"/>
        </w:rPr>
        <w:t>独立法人资格</w:t>
      </w:r>
      <w:r>
        <w:rPr>
          <w:rFonts w:ascii="宋体" w:hAnsi="宋体"/>
          <w:szCs w:val="21"/>
        </w:rPr>
        <w:t>及安全生产条件</w:t>
      </w:r>
      <w:r>
        <w:rPr>
          <w:rFonts w:ascii="宋体" w:hAnsi="宋体"/>
          <w:snapToGrid w:val="0"/>
          <w:kern w:val="0"/>
          <w:szCs w:val="21"/>
        </w:rPr>
        <w:t>：见投标人须知前附表；</w:t>
      </w:r>
    </w:p>
    <w:p w14:paraId="3DD83F9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（2）财务要求：见投标人须知前附表；</w:t>
      </w:r>
    </w:p>
    <w:p w14:paraId="5DF48B3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（3）业绩要求：见投标人须知前附表；</w:t>
      </w:r>
    </w:p>
    <w:p w14:paraId="347A346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投标截止日投标资格情况</w:t>
      </w:r>
      <w:r>
        <w:rPr>
          <w:rFonts w:ascii="宋体" w:hAnsi="宋体"/>
          <w:snapToGrid w:val="0"/>
          <w:kern w:val="0"/>
          <w:szCs w:val="21"/>
        </w:rPr>
        <w:t>：见投标人须知前附表；</w:t>
      </w:r>
    </w:p>
    <w:p w14:paraId="5A6AACB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（5）项目经理资格</w:t>
      </w:r>
      <w:r>
        <w:rPr>
          <w:rFonts w:hint="eastAsia" w:ascii="宋体" w:hAnsi="宋体"/>
          <w:snapToGrid w:val="0"/>
          <w:kern w:val="0"/>
          <w:szCs w:val="21"/>
        </w:rPr>
        <w:t>要求</w:t>
      </w:r>
      <w:r>
        <w:rPr>
          <w:rFonts w:ascii="宋体" w:hAnsi="宋体"/>
          <w:snapToGrid w:val="0"/>
          <w:kern w:val="0"/>
          <w:szCs w:val="21"/>
        </w:rPr>
        <w:t>：见投标人须知前附表；</w:t>
      </w:r>
    </w:p>
    <w:p w14:paraId="3B705EE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（6）其他要求：见投标人须知前附表。</w:t>
      </w:r>
    </w:p>
    <w:p w14:paraId="116F1AD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1.4.2  投标人须知前附表规定接受联合体投标的，除应符合本章第1.4.1项和投标人须知前附表的要求外，还应遵守以下规定：</w:t>
      </w:r>
    </w:p>
    <w:p w14:paraId="262730C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（1）联合体各方应按招标文件提供的格式签订</w:t>
      </w:r>
      <w:r>
        <w:rPr>
          <w:rFonts w:hint="eastAsia" w:ascii="宋体" w:hAnsi="宋体"/>
          <w:lang w:val="en-US" w:eastAsia="zh-CN"/>
        </w:rPr>
        <w:t>共同投标协议</w:t>
      </w:r>
      <w:r>
        <w:rPr>
          <w:rFonts w:ascii="宋体" w:hAnsi="宋体"/>
          <w:snapToGrid w:val="0"/>
          <w:kern w:val="0"/>
          <w:szCs w:val="21"/>
        </w:rPr>
        <w:t>，明确联合体牵头人和各方权利义务</w:t>
      </w:r>
      <w:r>
        <w:rPr>
          <w:rFonts w:hint="eastAsia" w:ascii="宋体" w:hAnsi="宋体"/>
          <w:snapToGrid w:val="0"/>
          <w:kern w:val="0"/>
          <w:szCs w:val="21"/>
          <w:lang w:eastAsia="zh-CN"/>
        </w:rPr>
        <w:t>，</w:t>
      </w:r>
      <w:r>
        <w:rPr>
          <w:rFonts w:asciiTheme="minorEastAsia" w:hAnsiTheme="minorEastAsia" w:eastAsiaTheme="minorEastAsia"/>
          <w:color w:val="auto"/>
          <w:highlight w:val="none"/>
        </w:rPr>
        <w:t>并承诺就中标项目向招标人承担连带责任</w:t>
      </w:r>
      <w:r>
        <w:rPr>
          <w:rFonts w:ascii="宋体" w:hAnsi="宋体"/>
          <w:snapToGrid w:val="0"/>
          <w:kern w:val="0"/>
          <w:szCs w:val="21"/>
        </w:rPr>
        <w:t>；</w:t>
      </w:r>
    </w:p>
    <w:p w14:paraId="6546B01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（2）联合体各方均应当具备承担招标项目的相应能力；</w:t>
      </w:r>
      <w:r>
        <w:rPr>
          <w:rFonts w:hint="eastAsia" w:ascii="宋体" w:hAnsi="宋体"/>
          <w:lang w:val="en-US" w:eastAsia="zh-CN"/>
        </w:rPr>
        <w:t>共同投标协议</w:t>
      </w:r>
      <w:r>
        <w:rPr>
          <w:rFonts w:ascii="宋体" w:hAnsi="宋体"/>
          <w:snapToGrid w:val="0"/>
          <w:kern w:val="0"/>
          <w:szCs w:val="21"/>
        </w:rPr>
        <w:t>约定同一专业分工由两个及以上单位共同承担的，</w:t>
      </w:r>
      <w:r>
        <w:rPr>
          <w:rFonts w:hint="eastAsia" w:ascii="宋体" w:hAnsi="宋体"/>
          <w:snapToGrid w:val="0"/>
          <w:kern w:val="0"/>
          <w:szCs w:val="21"/>
        </w:rPr>
        <w:t>按照资质等级较低的单位确定资质等级</w:t>
      </w:r>
      <w:r>
        <w:rPr>
          <w:rFonts w:ascii="宋体" w:hAnsi="宋体"/>
          <w:snapToGrid w:val="0"/>
          <w:kern w:val="0"/>
          <w:szCs w:val="21"/>
        </w:rPr>
        <w:t>；</w:t>
      </w:r>
    </w:p>
    <w:p w14:paraId="6423CE6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（3）联合体各方不得再以自己名义单独或参加其他联合体在</w:t>
      </w:r>
      <w:r>
        <w:rPr>
          <w:rFonts w:hint="eastAsia" w:ascii="宋体" w:hAnsi="宋体"/>
          <w:snapToGrid w:val="0"/>
          <w:kern w:val="0"/>
          <w:szCs w:val="21"/>
          <w:lang w:val="en-US" w:eastAsia="zh-CN"/>
        </w:rPr>
        <w:t>本招标项目</w:t>
      </w:r>
      <w:r>
        <w:rPr>
          <w:rFonts w:ascii="宋体" w:hAnsi="宋体"/>
          <w:snapToGrid w:val="0"/>
          <w:kern w:val="0"/>
          <w:szCs w:val="21"/>
        </w:rPr>
        <w:t>同一标段中投标</w:t>
      </w:r>
      <w:r>
        <w:rPr>
          <w:rFonts w:hint="eastAsia" w:ascii="宋体" w:hAnsi="宋体"/>
          <w:snapToGrid w:val="0"/>
          <w:kern w:val="0"/>
          <w:szCs w:val="21"/>
          <w:lang w:eastAsia="zh-CN"/>
        </w:rPr>
        <w:t>，</w:t>
      </w:r>
      <w:r>
        <w:rPr>
          <w:rFonts w:hint="eastAsia" w:ascii="宋体" w:hAnsi="宋体"/>
          <w:snapToGrid w:val="0"/>
          <w:kern w:val="0"/>
          <w:szCs w:val="21"/>
          <w:lang w:val="en-US" w:eastAsia="zh-CN"/>
        </w:rPr>
        <w:t>否则各相关投标均无效</w:t>
      </w:r>
      <w:r>
        <w:rPr>
          <w:rFonts w:ascii="宋体" w:hAnsi="宋体"/>
          <w:snapToGrid w:val="0"/>
          <w:kern w:val="0"/>
          <w:szCs w:val="21"/>
        </w:rPr>
        <w:t>。</w:t>
      </w:r>
    </w:p>
    <w:p w14:paraId="147D9F0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1.4.3  </w:t>
      </w:r>
      <w:bookmarkStart w:id="155" w:name="OLE_LINK9"/>
      <w:r>
        <w:rPr>
          <w:rFonts w:ascii="宋体" w:hAnsi="宋体"/>
          <w:snapToGrid w:val="0"/>
          <w:kern w:val="0"/>
          <w:szCs w:val="21"/>
        </w:rPr>
        <w:t>投标人不得存在下列情形之一</w:t>
      </w:r>
      <w:bookmarkEnd w:id="155"/>
      <w:r>
        <w:rPr>
          <w:rFonts w:ascii="宋体" w:hAnsi="宋体"/>
          <w:snapToGrid w:val="0"/>
          <w:kern w:val="0"/>
          <w:szCs w:val="21"/>
        </w:rPr>
        <w:t>：</w:t>
      </w:r>
    </w:p>
    <w:p w14:paraId="760D8E7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（1）与招标人存在利害关系可能影响招标公正性的法人、其他组织或者个人；</w:t>
      </w:r>
    </w:p>
    <w:p w14:paraId="7B1543E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（2）为本标段前期准备提供设计或咨询服务的，但设计施工总承包的除外；</w:t>
      </w:r>
    </w:p>
    <w:p w14:paraId="4BD0123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（3）为本标段的监理人；</w:t>
      </w:r>
    </w:p>
    <w:p w14:paraId="13CB9BB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（4）为本标段的代建人；</w:t>
      </w:r>
    </w:p>
    <w:p w14:paraId="242F099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（5）为本标段提供招标代理服务的；</w:t>
      </w:r>
    </w:p>
    <w:p w14:paraId="4F3A07A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（6）与本标段的监理人或代建人或招标代理机构同为一个法定代表人的；</w:t>
      </w:r>
    </w:p>
    <w:p w14:paraId="312B1B0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（7）与本标段的监理人或代建人或招标代理机构</w:t>
      </w:r>
      <w:r>
        <w:rPr>
          <w:rFonts w:hint="eastAsia" w:ascii="宋体" w:hAnsi="宋体"/>
          <w:snapToGrid w:val="0"/>
          <w:kern w:val="0"/>
          <w:szCs w:val="21"/>
          <w:lang w:eastAsia="zh-CN"/>
        </w:rPr>
        <w:t>存在</w:t>
      </w:r>
      <w:r>
        <w:rPr>
          <w:rFonts w:ascii="宋体" w:hAnsi="宋体"/>
          <w:snapToGrid w:val="0"/>
          <w:kern w:val="0"/>
          <w:szCs w:val="21"/>
        </w:rPr>
        <w:t>控股或参股的；</w:t>
      </w:r>
    </w:p>
    <w:p w14:paraId="7E93562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（8）与本标段的监理人或代建人或招标代理机构相互任职或工作的；</w:t>
      </w:r>
    </w:p>
    <w:p w14:paraId="63EB9F2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kern w:val="0"/>
          <w:szCs w:val="21"/>
        </w:rPr>
        <w:t>；</w:t>
      </w:r>
    </w:p>
    <w:p w14:paraId="7B3D380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（10）</w:t>
      </w:r>
      <w:r>
        <w:rPr>
          <w:rFonts w:hint="eastAsia" w:ascii="宋体" w:hAnsi="宋体"/>
          <w:snapToGrid w:val="0"/>
          <w:kern w:val="0"/>
          <w:szCs w:val="21"/>
        </w:rPr>
        <w:t>被国家、重庆市（含市或任意区县）有关行政部门处以暂停投标资格行政处罚，且在处罚期限内的</w:t>
      </w:r>
      <w:r>
        <w:rPr>
          <w:rFonts w:ascii="宋体" w:hAnsi="宋体"/>
          <w:snapToGrid w:val="0"/>
          <w:kern w:val="0"/>
          <w:szCs w:val="21"/>
        </w:rPr>
        <w:t>；</w:t>
      </w:r>
    </w:p>
    <w:p w14:paraId="28C0C6E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kern w:val="0"/>
          <w:szCs w:val="21"/>
        </w:rPr>
        <w:t>；</w:t>
      </w:r>
    </w:p>
    <w:p w14:paraId="061EFBD7">
      <w:pPr>
        <w:autoSpaceDE w:val="0"/>
        <w:autoSpaceDN w:val="0"/>
        <w:adjustRightInd w:val="0"/>
        <w:snapToGrid w:val="0"/>
        <w:spacing w:line="360" w:lineRule="auto"/>
        <w:ind w:firstLine="420" w:firstLineChars="200"/>
        <w:rPr>
          <w:rFonts w:hint="eastAsia" w:ascii="宋体" w:hAnsi="宋体" w:eastAsia="宋体"/>
          <w:snapToGrid w:val="0"/>
          <w:kern w:val="0"/>
          <w:szCs w:val="21"/>
          <w:lang w:eastAsia="zh-CN"/>
        </w:rPr>
      </w:pPr>
      <w:r>
        <w:rPr>
          <w:rFonts w:hint="eastAsia" w:ascii="宋体" w:hAnsi="宋体"/>
          <w:snapToGrid w:val="0"/>
          <w:kern w:val="0"/>
          <w:szCs w:val="21"/>
        </w:rPr>
        <w:t>（</w:t>
      </w:r>
      <w:r>
        <w:rPr>
          <w:rFonts w:hint="eastAsia" w:ascii="宋体" w:hAnsi="宋体"/>
          <w:snapToGrid w:val="0"/>
          <w:kern w:val="0"/>
          <w:szCs w:val="21"/>
          <w:lang w:val="en-US" w:eastAsia="zh-CN"/>
        </w:rPr>
        <w:t>12</w:t>
      </w:r>
      <w:r>
        <w:rPr>
          <w:rFonts w:hint="eastAsia" w:ascii="宋体" w:hAnsi="宋体"/>
          <w:snapToGrid w:val="0"/>
          <w:kern w:val="0"/>
          <w:szCs w:val="21"/>
        </w:rPr>
        <w:t>）被市场监督管理机关在全国企业信用信息公示系统中列入严重违法失信企业名单</w:t>
      </w:r>
      <w:r>
        <w:rPr>
          <w:rFonts w:hint="eastAsia" w:ascii="宋体" w:hAnsi="宋体"/>
          <w:snapToGrid w:val="0"/>
          <w:kern w:val="0"/>
          <w:szCs w:val="21"/>
          <w:lang w:eastAsia="zh-CN"/>
        </w:rPr>
        <w:t>；</w:t>
      </w:r>
    </w:p>
    <w:p w14:paraId="492522EB">
      <w:pPr>
        <w:autoSpaceDE w:val="0"/>
        <w:autoSpaceDN w:val="0"/>
        <w:adjustRightInd w:val="0"/>
        <w:snapToGrid w:val="0"/>
        <w:spacing w:line="360" w:lineRule="auto"/>
        <w:ind w:firstLine="420" w:firstLineChars="200"/>
        <w:rPr>
          <w:rFonts w:hint="eastAsia" w:ascii="宋体" w:hAnsi="宋体"/>
          <w:snapToGrid w:val="0"/>
          <w:kern w:val="0"/>
          <w:szCs w:val="21"/>
          <w:lang w:eastAsia="zh-CN"/>
        </w:rPr>
      </w:pPr>
      <w:r>
        <w:rPr>
          <w:rFonts w:ascii="宋体" w:hAnsi="宋体"/>
          <w:snapToGrid w:val="0"/>
          <w:kern w:val="0"/>
          <w:szCs w:val="21"/>
        </w:rPr>
        <w:t>（</w:t>
      </w:r>
      <w:r>
        <w:rPr>
          <w:rFonts w:hint="eastAsia" w:ascii="宋体" w:hAnsi="宋体"/>
          <w:snapToGrid w:val="0"/>
          <w:kern w:val="0"/>
          <w:szCs w:val="21"/>
          <w:lang w:val="en-US" w:eastAsia="zh-CN"/>
        </w:rPr>
        <w:t>13</w:t>
      </w:r>
      <w:r>
        <w:rPr>
          <w:rFonts w:ascii="宋体" w:hAnsi="宋体"/>
          <w:snapToGrid w:val="0"/>
          <w:kern w:val="0"/>
          <w:szCs w:val="21"/>
        </w:rPr>
        <w:t>）</w:t>
      </w:r>
      <w:r>
        <w:rPr>
          <w:rFonts w:ascii="宋体" w:hAnsi="宋体"/>
          <w:szCs w:val="21"/>
        </w:rPr>
        <w:t>单位负责人为同一人或者存在控股、管理关系的不同单位，不得在同一标段中同时投标</w:t>
      </w:r>
      <w:r>
        <w:rPr>
          <w:rFonts w:hint="eastAsia" w:ascii="宋体" w:hAnsi="宋体"/>
          <w:snapToGrid w:val="0"/>
          <w:kern w:val="0"/>
          <w:szCs w:val="21"/>
          <w:lang w:eastAsia="zh-CN"/>
        </w:rPr>
        <w:t>；</w:t>
      </w:r>
    </w:p>
    <w:p w14:paraId="43274A96">
      <w:pPr>
        <w:autoSpaceDE w:val="0"/>
        <w:autoSpaceDN w:val="0"/>
        <w:adjustRightInd w:val="0"/>
        <w:snapToGrid w:val="0"/>
        <w:spacing w:line="360" w:lineRule="auto"/>
        <w:ind w:firstLine="420" w:firstLineChars="200"/>
        <w:rPr>
          <w:rFonts w:hint="eastAsia" w:ascii="宋体" w:hAnsi="宋体" w:eastAsia="宋体"/>
          <w:snapToGrid w:val="0"/>
          <w:kern w:val="0"/>
          <w:szCs w:val="21"/>
          <w:lang w:eastAsia="zh-CN"/>
        </w:rPr>
      </w:pPr>
      <w:r>
        <w:rPr>
          <w:rFonts w:hint="eastAsia" w:ascii="宋体" w:hAnsi="宋体"/>
          <w:snapToGrid w:val="0"/>
          <w:kern w:val="0"/>
          <w:szCs w:val="21"/>
          <w:lang w:eastAsia="zh-CN"/>
        </w:rPr>
        <w:t>（</w:t>
      </w:r>
      <w:r>
        <w:rPr>
          <w:rFonts w:hint="eastAsia" w:ascii="宋体" w:hAnsi="宋体"/>
          <w:snapToGrid w:val="0"/>
          <w:kern w:val="0"/>
          <w:szCs w:val="21"/>
          <w:lang w:val="en-US" w:eastAsia="zh-CN"/>
        </w:rPr>
        <w:t>14</w:t>
      </w:r>
      <w:r>
        <w:rPr>
          <w:rFonts w:hint="eastAsia" w:ascii="宋体" w:hAnsi="宋体"/>
          <w:snapToGrid w:val="0"/>
          <w:kern w:val="0"/>
          <w:szCs w:val="21"/>
          <w:lang w:eastAsia="zh-CN"/>
        </w:rPr>
        <w:t>）法律法规或投标人须知前附表规定的其他情形。</w:t>
      </w:r>
    </w:p>
    <w:p w14:paraId="4E709771">
      <w:pPr>
        <w:pStyle w:val="5"/>
        <w:snapToGrid w:val="0"/>
        <w:spacing w:before="0" w:after="0" w:line="360" w:lineRule="auto"/>
        <w:rPr>
          <w:rFonts w:ascii="宋体" w:hAnsi="宋体"/>
          <w:b w:val="0"/>
          <w:snapToGrid w:val="0"/>
          <w:sz w:val="24"/>
          <w:szCs w:val="24"/>
        </w:rPr>
      </w:pPr>
      <w:bookmarkStart w:id="156" w:name="_Toc26616"/>
      <w:bookmarkStart w:id="157" w:name="_Toc224103323"/>
      <w:bookmarkStart w:id="158" w:name="_Toc430530441"/>
      <w:bookmarkStart w:id="159" w:name="_Toc287607752"/>
      <w:bookmarkStart w:id="160" w:name="_Toc287620691"/>
      <w:bookmarkStart w:id="161" w:name="_Toc7453"/>
      <w:bookmarkStart w:id="162" w:name="_Toc200513132"/>
      <w:bookmarkStart w:id="163" w:name="_Toc509218716"/>
      <w:bookmarkStart w:id="164" w:name="_Toc277082558"/>
      <w:r>
        <w:rPr>
          <w:rFonts w:ascii="宋体" w:hAnsi="宋体"/>
          <w:b w:val="0"/>
          <w:snapToGrid w:val="0"/>
          <w:sz w:val="24"/>
          <w:szCs w:val="24"/>
        </w:rPr>
        <w:t>1.5  费用承担</w:t>
      </w:r>
      <w:bookmarkEnd w:id="156"/>
      <w:bookmarkEnd w:id="157"/>
      <w:bookmarkEnd w:id="158"/>
      <w:bookmarkEnd w:id="159"/>
      <w:bookmarkEnd w:id="160"/>
      <w:bookmarkEnd w:id="161"/>
      <w:bookmarkEnd w:id="162"/>
      <w:bookmarkEnd w:id="163"/>
      <w:bookmarkEnd w:id="164"/>
    </w:p>
    <w:p w14:paraId="094CEC3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投标人准备和参加投标活动发生的费用自理。</w:t>
      </w:r>
    </w:p>
    <w:p w14:paraId="38461FB0">
      <w:pPr>
        <w:pStyle w:val="5"/>
        <w:snapToGrid w:val="0"/>
        <w:spacing w:before="0" w:after="0" w:line="360" w:lineRule="auto"/>
        <w:rPr>
          <w:rFonts w:ascii="宋体" w:hAnsi="宋体"/>
          <w:b w:val="0"/>
          <w:snapToGrid w:val="0"/>
          <w:sz w:val="24"/>
          <w:szCs w:val="24"/>
        </w:rPr>
      </w:pPr>
      <w:bookmarkStart w:id="165" w:name="_Toc287607753"/>
      <w:bookmarkStart w:id="166" w:name="_Toc277082559"/>
      <w:bookmarkStart w:id="167" w:name="_Toc224103324"/>
      <w:bookmarkStart w:id="168" w:name="_Toc24694"/>
      <w:bookmarkStart w:id="169" w:name="_Toc430530442"/>
      <w:bookmarkStart w:id="170" w:name="_Toc13218"/>
      <w:bookmarkStart w:id="171" w:name="_Toc200513133"/>
      <w:bookmarkStart w:id="172" w:name="_Toc509218717"/>
      <w:bookmarkStart w:id="173" w:name="_Toc287620692"/>
      <w:r>
        <w:rPr>
          <w:rFonts w:ascii="宋体" w:hAnsi="宋体"/>
          <w:b w:val="0"/>
          <w:snapToGrid w:val="0"/>
          <w:sz w:val="24"/>
          <w:szCs w:val="24"/>
        </w:rPr>
        <w:t>1.6  保密</w:t>
      </w:r>
      <w:bookmarkEnd w:id="165"/>
      <w:bookmarkEnd w:id="166"/>
      <w:bookmarkEnd w:id="167"/>
      <w:bookmarkEnd w:id="168"/>
      <w:bookmarkEnd w:id="169"/>
      <w:bookmarkEnd w:id="170"/>
      <w:bookmarkEnd w:id="171"/>
      <w:bookmarkEnd w:id="172"/>
      <w:bookmarkEnd w:id="173"/>
    </w:p>
    <w:p w14:paraId="20DF4E8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参与招标投标活动的各方应对招标文件和投标文件中的商业和技术等秘密保密，违者应对由此造成的后果承担法律责任。</w:t>
      </w:r>
    </w:p>
    <w:p w14:paraId="5F6D39C7">
      <w:pPr>
        <w:pStyle w:val="5"/>
        <w:snapToGrid w:val="0"/>
        <w:spacing w:before="0" w:after="0" w:line="360" w:lineRule="auto"/>
        <w:rPr>
          <w:rFonts w:ascii="宋体" w:hAnsi="宋体"/>
          <w:b w:val="0"/>
          <w:snapToGrid w:val="0"/>
          <w:sz w:val="24"/>
          <w:szCs w:val="24"/>
        </w:rPr>
      </w:pPr>
      <w:bookmarkStart w:id="174" w:name="_Toc27614"/>
      <w:bookmarkStart w:id="175" w:name="_Toc287607754"/>
      <w:bookmarkStart w:id="176" w:name="_Toc200513134"/>
      <w:bookmarkStart w:id="177" w:name="_Toc509218718"/>
      <w:bookmarkStart w:id="178" w:name="_Toc14897"/>
      <w:bookmarkStart w:id="179" w:name="_Toc287620693"/>
      <w:bookmarkStart w:id="180" w:name="_Toc224103325"/>
      <w:bookmarkStart w:id="181" w:name="_Toc277082560"/>
      <w:bookmarkStart w:id="182" w:name="_Toc430530443"/>
      <w:r>
        <w:rPr>
          <w:rFonts w:ascii="宋体" w:hAnsi="宋体"/>
          <w:b w:val="0"/>
          <w:snapToGrid w:val="0"/>
          <w:sz w:val="24"/>
          <w:szCs w:val="24"/>
        </w:rPr>
        <w:t>1.7  语言文字</w:t>
      </w:r>
      <w:bookmarkEnd w:id="174"/>
      <w:bookmarkEnd w:id="175"/>
      <w:bookmarkEnd w:id="176"/>
      <w:bookmarkEnd w:id="177"/>
      <w:bookmarkEnd w:id="178"/>
      <w:bookmarkEnd w:id="179"/>
      <w:bookmarkEnd w:id="180"/>
      <w:bookmarkEnd w:id="181"/>
      <w:bookmarkEnd w:id="182"/>
    </w:p>
    <w:p w14:paraId="61FCB76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除专用术语外，与招标投标有关的语言均使用中文。必要时专用术语应附有中文注释。</w:t>
      </w:r>
    </w:p>
    <w:p w14:paraId="69201922">
      <w:pPr>
        <w:pStyle w:val="5"/>
        <w:snapToGrid w:val="0"/>
        <w:spacing w:before="0" w:after="0" w:line="360" w:lineRule="auto"/>
        <w:rPr>
          <w:rFonts w:ascii="宋体" w:hAnsi="宋体"/>
          <w:b w:val="0"/>
          <w:snapToGrid w:val="0"/>
          <w:sz w:val="24"/>
          <w:szCs w:val="24"/>
        </w:rPr>
      </w:pPr>
      <w:bookmarkStart w:id="183" w:name="_Toc200513135"/>
      <w:bookmarkStart w:id="184" w:name="_Toc287607755"/>
      <w:bookmarkStart w:id="185" w:name="_Toc224103326"/>
      <w:bookmarkStart w:id="186" w:name="_Toc23811"/>
      <w:bookmarkStart w:id="187" w:name="_Toc509218719"/>
      <w:bookmarkStart w:id="188" w:name="_Toc287620694"/>
      <w:bookmarkStart w:id="189" w:name="_Toc277082561"/>
      <w:bookmarkStart w:id="190" w:name="_Toc430530444"/>
      <w:bookmarkStart w:id="191" w:name="_Toc12626"/>
      <w:r>
        <w:rPr>
          <w:rFonts w:ascii="宋体" w:hAnsi="宋体"/>
          <w:b w:val="0"/>
          <w:snapToGrid w:val="0"/>
          <w:sz w:val="24"/>
          <w:szCs w:val="24"/>
        </w:rPr>
        <w:t>1.8  计量单位</w:t>
      </w:r>
      <w:bookmarkEnd w:id="183"/>
      <w:bookmarkEnd w:id="184"/>
      <w:bookmarkEnd w:id="185"/>
      <w:bookmarkEnd w:id="186"/>
      <w:bookmarkEnd w:id="187"/>
      <w:bookmarkEnd w:id="188"/>
      <w:bookmarkEnd w:id="189"/>
      <w:bookmarkEnd w:id="190"/>
      <w:bookmarkEnd w:id="191"/>
    </w:p>
    <w:p w14:paraId="02912438">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所有计量均采用中华人民共和国法定计量单位。</w:t>
      </w:r>
    </w:p>
    <w:p w14:paraId="122AD2D4">
      <w:pPr>
        <w:pStyle w:val="5"/>
        <w:snapToGrid w:val="0"/>
        <w:spacing w:before="0" w:after="0" w:line="360" w:lineRule="auto"/>
        <w:rPr>
          <w:rFonts w:ascii="宋体" w:hAnsi="宋体"/>
          <w:b w:val="0"/>
          <w:snapToGrid w:val="0"/>
          <w:sz w:val="24"/>
          <w:szCs w:val="24"/>
        </w:rPr>
      </w:pPr>
      <w:bookmarkStart w:id="192" w:name="_Toc277082562"/>
      <w:bookmarkStart w:id="193" w:name="_Toc5427"/>
      <w:bookmarkStart w:id="194" w:name="_Toc509218720"/>
      <w:bookmarkStart w:id="195" w:name="_Toc287607756"/>
      <w:bookmarkStart w:id="196" w:name="_Toc200513136"/>
      <w:bookmarkStart w:id="197" w:name="_Toc224103327"/>
      <w:bookmarkStart w:id="198" w:name="_Toc430530445"/>
      <w:bookmarkStart w:id="199" w:name="_Toc287620695"/>
      <w:bookmarkStart w:id="200" w:name="_Toc21614"/>
      <w:r>
        <w:rPr>
          <w:rFonts w:ascii="宋体" w:hAnsi="宋体"/>
          <w:b w:val="0"/>
          <w:snapToGrid w:val="0"/>
          <w:sz w:val="24"/>
          <w:szCs w:val="24"/>
        </w:rPr>
        <w:t>1.9  踏勘现场</w:t>
      </w:r>
      <w:bookmarkEnd w:id="192"/>
      <w:bookmarkEnd w:id="193"/>
      <w:bookmarkEnd w:id="194"/>
      <w:bookmarkEnd w:id="195"/>
      <w:bookmarkEnd w:id="196"/>
      <w:bookmarkEnd w:id="197"/>
      <w:bookmarkEnd w:id="198"/>
      <w:bookmarkEnd w:id="199"/>
      <w:bookmarkEnd w:id="200"/>
    </w:p>
    <w:p w14:paraId="7E50BF8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1.9.1  投标人须知前附表规定组织踏勘现场的，招标人按投标人须知前附表规定的时间、 地点组织投标人踏勘项目现场。</w:t>
      </w:r>
    </w:p>
    <w:p w14:paraId="289D0F8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1.9.2  投标人踏勘现场发生的费用自理。</w:t>
      </w:r>
    </w:p>
    <w:p w14:paraId="444A3BD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1.9.3  除招标人的原因外，投标人自行负责在踏勘现场中所发生的人员伤亡和财产损失。</w:t>
      </w:r>
    </w:p>
    <w:p w14:paraId="5613AD1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1.9.4  招标人在踏勘现场中介绍的工程场地和相关的周边环境情况，供投标人在编制投标文件时参考，招标人不对投标人据此做出的判断和决策负责。</w:t>
      </w:r>
    </w:p>
    <w:p w14:paraId="28333C5C">
      <w:pPr>
        <w:pStyle w:val="5"/>
        <w:snapToGrid w:val="0"/>
        <w:spacing w:before="0" w:after="0" w:line="360" w:lineRule="auto"/>
        <w:rPr>
          <w:rFonts w:ascii="宋体" w:hAnsi="宋体"/>
          <w:b w:val="0"/>
          <w:snapToGrid w:val="0"/>
          <w:sz w:val="24"/>
          <w:szCs w:val="24"/>
        </w:rPr>
      </w:pPr>
      <w:bookmarkStart w:id="201" w:name="_Toc4277"/>
      <w:bookmarkStart w:id="202" w:name="_Toc200513137"/>
      <w:bookmarkStart w:id="203" w:name="_Toc430530446"/>
      <w:bookmarkStart w:id="204" w:name="_Toc509218721"/>
      <w:bookmarkStart w:id="205" w:name="_Toc16076"/>
      <w:bookmarkStart w:id="206" w:name="_Toc224103328"/>
      <w:bookmarkStart w:id="207" w:name="_Toc287620696"/>
      <w:bookmarkStart w:id="208" w:name="_Toc287607757"/>
      <w:bookmarkStart w:id="209" w:name="_Toc277082563"/>
      <w:r>
        <w:rPr>
          <w:rFonts w:ascii="宋体" w:hAnsi="宋体"/>
          <w:b w:val="0"/>
          <w:snapToGrid w:val="0"/>
          <w:sz w:val="24"/>
          <w:szCs w:val="24"/>
        </w:rPr>
        <w:t>1.10  投标预备会</w:t>
      </w:r>
      <w:bookmarkEnd w:id="201"/>
      <w:bookmarkEnd w:id="202"/>
      <w:bookmarkEnd w:id="203"/>
      <w:bookmarkEnd w:id="204"/>
      <w:bookmarkEnd w:id="205"/>
      <w:bookmarkEnd w:id="206"/>
      <w:bookmarkEnd w:id="207"/>
      <w:bookmarkEnd w:id="208"/>
      <w:bookmarkEnd w:id="209"/>
    </w:p>
    <w:p w14:paraId="2A104B2B">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1.10.1  投标人须知前附表规定召开投标预备会的，招标人按投标人须知前附表规定的时间和地点召开投标预备会，澄清投标人提出的问题。</w:t>
      </w:r>
    </w:p>
    <w:p w14:paraId="00D25DF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1.10.2  投标人应在投标人须知前附表第</w:t>
      </w:r>
      <w:r>
        <w:rPr>
          <w:rFonts w:ascii="宋体" w:hAnsi="宋体"/>
          <w:kern w:val="0"/>
          <w:szCs w:val="21"/>
        </w:rPr>
        <w:t>2.2.4项</w:t>
      </w:r>
      <w:r>
        <w:rPr>
          <w:rFonts w:ascii="宋体" w:hAnsi="宋体"/>
          <w:snapToGrid w:val="0"/>
          <w:kern w:val="0"/>
          <w:szCs w:val="21"/>
        </w:rPr>
        <w:t>规定的时间前，以书面形式将提出的问题送达招标人，以便招标人澄清。</w:t>
      </w:r>
    </w:p>
    <w:p w14:paraId="17393F47">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1.10.3  招标人在投标人须知前附表规定的时间内，将对投标人所提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进行澄清。该澄清内容为招标文件的组成部分。</w:t>
      </w:r>
    </w:p>
    <w:p w14:paraId="202F163C">
      <w:pPr>
        <w:pStyle w:val="5"/>
        <w:snapToGrid w:val="0"/>
        <w:spacing w:before="0" w:after="0" w:line="360" w:lineRule="auto"/>
        <w:rPr>
          <w:rFonts w:ascii="宋体" w:hAnsi="宋体"/>
          <w:b w:val="0"/>
          <w:snapToGrid w:val="0"/>
          <w:sz w:val="24"/>
          <w:szCs w:val="24"/>
        </w:rPr>
      </w:pPr>
      <w:bookmarkStart w:id="210" w:name="_Toc200513138"/>
      <w:bookmarkStart w:id="211" w:name="_Toc24561"/>
      <w:bookmarkStart w:id="212" w:name="_Toc509218722"/>
      <w:bookmarkStart w:id="213" w:name="_Toc224103329"/>
      <w:bookmarkStart w:id="214" w:name="_Toc277082564"/>
      <w:bookmarkStart w:id="215" w:name="_Toc14914"/>
      <w:bookmarkStart w:id="216" w:name="_Toc287620697"/>
      <w:bookmarkStart w:id="217" w:name="_Toc287607758"/>
      <w:bookmarkStart w:id="218" w:name="_Toc430530447"/>
      <w:r>
        <w:rPr>
          <w:rFonts w:ascii="宋体" w:hAnsi="宋体"/>
          <w:b w:val="0"/>
          <w:snapToGrid w:val="0"/>
          <w:sz w:val="24"/>
          <w:szCs w:val="24"/>
        </w:rPr>
        <w:t>1.11  分包</w:t>
      </w:r>
      <w:bookmarkEnd w:id="210"/>
      <w:bookmarkEnd w:id="211"/>
      <w:bookmarkEnd w:id="212"/>
      <w:bookmarkEnd w:id="213"/>
      <w:bookmarkEnd w:id="214"/>
      <w:bookmarkEnd w:id="215"/>
      <w:bookmarkEnd w:id="216"/>
      <w:bookmarkEnd w:id="217"/>
      <w:bookmarkEnd w:id="218"/>
    </w:p>
    <w:p w14:paraId="7DBB8243">
      <w:pPr>
        <w:autoSpaceDE w:val="0"/>
        <w:autoSpaceDN w:val="0"/>
        <w:adjustRightInd w:val="0"/>
        <w:snapToGrid w:val="0"/>
        <w:spacing w:line="360" w:lineRule="auto"/>
        <w:ind w:firstLine="426"/>
        <w:rPr>
          <w:rFonts w:ascii="宋体" w:hAnsi="宋体"/>
          <w:snapToGrid w:val="0"/>
          <w:kern w:val="0"/>
          <w:szCs w:val="21"/>
        </w:rPr>
      </w:pPr>
      <w:r>
        <w:rPr>
          <w:rFonts w:ascii="宋体" w:hAnsi="宋体"/>
          <w:snapToGrid w:val="0"/>
          <w:kern w:val="0"/>
          <w:szCs w:val="21"/>
        </w:rPr>
        <w:t>投标人拟在中标后将中标项目的部分非主体、非关键性工作进行分包的，应符合投标人须知前附表规定的分包内容、分包金额和接受分包的第三人资质要求等限制性条件。</w:t>
      </w:r>
    </w:p>
    <w:p w14:paraId="1E8DC80E">
      <w:pPr>
        <w:pStyle w:val="5"/>
        <w:snapToGrid w:val="0"/>
        <w:spacing w:before="0" w:after="0" w:line="360" w:lineRule="auto"/>
        <w:rPr>
          <w:rFonts w:ascii="宋体" w:hAnsi="宋体"/>
          <w:b w:val="0"/>
          <w:snapToGrid w:val="0"/>
          <w:sz w:val="24"/>
          <w:szCs w:val="24"/>
        </w:rPr>
      </w:pPr>
      <w:bookmarkStart w:id="219" w:name="_Toc277082565"/>
      <w:bookmarkStart w:id="220" w:name="_Toc200513139"/>
      <w:bookmarkStart w:id="221" w:name="_Toc509218723"/>
      <w:bookmarkStart w:id="222" w:name="_Toc18273"/>
      <w:bookmarkStart w:id="223" w:name="_Toc287620698"/>
      <w:bookmarkStart w:id="224" w:name="_Toc224103330"/>
      <w:bookmarkStart w:id="225" w:name="_Toc430530448"/>
      <w:bookmarkStart w:id="226" w:name="_Toc287607759"/>
      <w:bookmarkStart w:id="227" w:name="_Toc21219"/>
      <w:r>
        <w:rPr>
          <w:rFonts w:ascii="宋体" w:hAnsi="宋体"/>
          <w:b w:val="0"/>
          <w:snapToGrid w:val="0"/>
          <w:sz w:val="24"/>
          <w:szCs w:val="24"/>
        </w:rPr>
        <w:t>1.12  偏离</w:t>
      </w:r>
      <w:bookmarkEnd w:id="219"/>
      <w:bookmarkEnd w:id="220"/>
      <w:bookmarkEnd w:id="221"/>
      <w:bookmarkEnd w:id="222"/>
      <w:bookmarkEnd w:id="223"/>
      <w:bookmarkEnd w:id="224"/>
      <w:bookmarkEnd w:id="225"/>
      <w:bookmarkEnd w:id="226"/>
      <w:bookmarkEnd w:id="227"/>
    </w:p>
    <w:p w14:paraId="70C18EE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投标人须知前附表允许投标文件偏离招标文件某些要求的，偏离应当符合招标文件规定 的偏离范围和幅度。</w:t>
      </w:r>
    </w:p>
    <w:p w14:paraId="0805E2D0">
      <w:pPr>
        <w:pStyle w:val="4"/>
        <w:spacing w:before="0" w:after="0" w:line="360" w:lineRule="auto"/>
        <w:rPr>
          <w:rFonts w:ascii="宋体" w:hAnsi="宋体"/>
          <w:b w:val="0"/>
          <w:snapToGrid w:val="0"/>
        </w:rPr>
      </w:pPr>
      <w:bookmarkStart w:id="228" w:name="_Toc200513140"/>
      <w:bookmarkStart w:id="229" w:name="_Toc287607760"/>
      <w:bookmarkStart w:id="230" w:name="_Toc30694"/>
      <w:bookmarkStart w:id="231" w:name="_Toc224103331"/>
      <w:bookmarkStart w:id="232" w:name="_Toc287620699"/>
      <w:bookmarkStart w:id="233" w:name="_Toc277082566"/>
      <w:bookmarkStart w:id="234" w:name="_Toc509218724"/>
      <w:bookmarkStart w:id="235" w:name="_Toc430530449"/>
      <w:bookmarkStart w:id="236" w:name="_Toc597"/>
      <w:r>
        <w:rPr>
          <w:rFonts w:ascii="宋体" w:hAnsi="宋体"/>
          <w:b w:val="0"/>
          <w:snapToGrid w:val="0"/>
        </w:rPr>
        <w:t>2.  招标文件</w:t>
      </w:r>
      <w:bookmarkEnd w:id="228"/>
      <w:bookmarkEnd w:id="229"/>
      <w:bookmarkEnd w:id="230"/>
      <w:bookmarkEnd w:id="231"/>
      <w:bookmarkEnd w:id="232"/>
      <w:bookmarkEnd w:id="233"/>
      <w:bookmarkEnd w:id="234"/>
      <w:bookmarkEnd w:id="235"/>
      <w:bookmarkEnd w:id="236"/>
    </w:p>
    <w:p w14:paraId="6AE2564A">
      <w:pPr>
        <w:pStyle w:val="5"/>
        <w:snapToGrid w:val="0"/>
        <w:spacing w:before="0" w:after="0" w:line="360" w:lineRule="auto"/>
        <w:rPr>
          <w:rFonts w:ascii="宋体" w:hAnsi="宋体"/>
          <w:b w:val="0"/>
          <w:snapToGrid w:val="0"/>
          <w:sz w:val="24"/>
          <w:szCs w:val="24"/>
        </w:rPr>
      </w:pPr>
      <w:bookmarkStart w:id="237" w:name="_Toc27553"/>
      <w:bookmarkStart w:id="238" w:name="_Toc287620700"/>
      <w:bookmarkStart w:id="239" w:name="_Toc509218725"/>
      <w:bookmarkStart w:id="240" w:name="_Toc19546"/>
      <w:bookmarkStart w:id="241" w:name="_Toc287607761"/>
      <w:bookmarkStart w:id="242" w:name="_Toc430530450"/>
      <w:bookmarkStart w:id="243" w:name="_Toc277082567"/>
      <w:bookmarkStart w:id="244" w:name="_Toc200513141"/>
      <w:bookmarkStart w:id="245" w:name="_Toc224103332"/>
      <w:r>
        <w:rPr>
          <w:rFonts w:ascii="宋体" w:hAnsi="宋体"/>
          <w:b w:val="0"/>
          <w:snapToGrid w:val="0"/>
          <w:sz w:val="24"/>
          <w:szCs w:val="24"/>
        </w:rPr>
        <w:t>2.1  招标文件的组成</w:t>
      </w:r>
      <w:bookmarkEnd w:id="237"/>
      <w:bookmarkEnd w:id="238"/>
      <w:bookmarkEnd w:id="239"/>
      <w:bookmarkEnd w:id="240"/>
      <w:bookmarkEnd w:id="241"/>
      <w:bookmarkEnd w:id="242"/>
      <w:bookmarkEnd w:id="243"/>
      <w:bookmarkEnd w:id="244"/>
      <w:bookmarkEnd w:id="245"/>
    </w:p>
    <w:p w14:paraId="1253FA79">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本招标文件包括：</w:t>
      </w:r>
    </w:p>
    <w:p w14:paraId="1723986B">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（1）招标公告；</w:t>
      </w:r>
    </w:p>
    <w:p w14:paraId="398F65BB">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（2）投标人须知；</w:t>
      </w:r>
    </w:p>
    <w:p w14:paraId="2BCD49E5">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（3）评标办法；</w:t>
      </w:r>
    </w:p>
    <w:p w14:paraId="4BA95C3F">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（4）合同条款及格式；</w:t>
      </w:r>
    </w:p>
    <w:p w14:paraId="311A2B39">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（5）工程量清单；</w:t>
      </w:r>
    </w:p>
    <w:p w14:paraId="365BD822">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（6）图纸；</w:t>
      </w:r>
    </w:p>
    <w:p w14:paraId="7FF61F00">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（7）技术标准和要求；</w:t>
      </w:r>
    </w:p>
    <w:p w14:paraId="065615CA">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（8）投标文件格式；</w:t>
      </w:r>
    </w:p>
    <w:p w14:paraId="430E4443">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（9）投标人须知前附表规定的其他材料。</w:t>
      </w:r>
    </w:p>
    <w:p w14:paraId="075377E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根据本章第1.10款、第2.2款和第2.3款对招标文件所作的澄清、修改，构成招标文件的组成部分。</w:t>
      </w:r>
    </w:p>
    <w:p w14:paraId="726C4580">
      <w:pPr>
        <w:pStyle w:val="5"/>
        <w:snapToGrid w:val="0"/>
        <w:spacing w:before="0" w:after="0" w:line="360" w:lineRule="auto"/>
        <w:rPr>
          <w:rFonts w:ascii="宋体" w:hAnsi="宋体"/>
          <w:b w:val="0"/>
          <w:snapToGrid w:val="0"/>
          <w:sz w:val="24"/>
          <w:szCs w:val="24"/>
        </w:rPr>
      </w:pPr>
      <w:bookmarkStart w:id="246" w:name="_Toc509218726"/>
      <w:bookmarkStart w:id="247" w:name="_Toc5111"/>
      <w:bookmarkStart w:id="248" w:name="_Toc22390"/>
      <w:bookmarkStart w:id="249" w:name="_Toc430530451"/>
      <w:r>
        <w:rPr>
          <w:rFonts w:ascii="宋体" w:hAnsi="宋体"/>
          <w:b w:val="0"/>
          <w:snapToGrid w:val="0"/>
          <w:sz w:val="24"/>
          <w:szCs w:val="24"/>
        </w:rPr>
        <w:t>2.2  招标文件的澄清</w:t>
      </w:r>
      <w:bookmarkEnd w:id="246"/>
      <w:bookmarkEnd w:id="247"/>
      <w:bookmarkEnd w:id="248"/>
      <w:bookmarkEnd w:id="249"/>
    </w:p>
    <w:p w14:paraId="3DD09891">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2.2.1  投标人应仔细阅读和检查招标文件的全部内容。如发现缺页或附件不全，应及时向招标人提出，以便补齐。如有疑问，应在投标人须知前附表规定的时间前</w:t>
      </w:r>
      <w:r>
        <w:rPr>
          <w:rFonts w:ascii="宋体" w:hAnsi="宋体"/>
          <w:kern w:val="0"/>
          <w:szCs w:val="21"/>
        </w:rPr>
        <w:t>在</w:t>
      </w:r>
      <w:r>
        <w:rPr>
          <w:rFonts w:hint="eastAsia" w:ascii="宋体" w:hAnsi="宋体"/>
          <w:kern w:val="0"/>
          <w:szCs w:val="21"/>
        </w:rPr>
        <w:t>相应法定网站提问</w:t>
      </w:r>
      <w:r>
        <w:rPr>
          <w:rFonts w:ascii="宋体" w:hAnsi="宋体"/>
          <w:snapToGrid w:val="0"/>
          <w:kern w:val="0"/>
          <w:szCs w:val="21"/>
        </w:rPr>
        <w:t>，要求招标人对招标文件予以澄清。</w:t>
      </w:r>
    </w:p>
    <w:p w14:paraId="25B69A87">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2.2.2  招标文件的澄清将在投标人须知前附表规定的投标截止时间15天前</w:t>
      </w:r>
      <w:r>
        <w:rPr>
          <w:rFonts w:ascii="宋体" w:hAnsi="宋体"/>
          <w:kern w:val="0"/>
          <w:szCs w:val="21"/>
        </w:rPr>
        <w:t>在</w:t>
      </w:r>
      <w:r>
        <w:rPr>
          <w:rFonts w:hint="eastAsia" w:ascii="宋体" w:hAnsi="宋体"/>
          <w:kern w:val="0"/>
          <w:szCs w:val="21"/>
        </w:rPr>
        <w:t>相应法定网站</w:t>
      </w:r>
      <w:r>
        <w:rPr>
          <w:rFonts w:ascii="宋体" w:hAnsi="宋体"/>
          <w:kern w:val="0"/>
          <w:szCs w:val="21"/>
        </w:rPr>
        <w:t>发布，</w:t>
      </w:r>
      <w:r>
        <w:rPr>
          <w:rFonts w:ascii="宋体" w:hAnsi="宋体"/>
          <w:snapToGrid w:val="0"/>
          <w:kern w:val="0"/>
          <w:szCs w:val="21"/>
        </w:rPr>
        <w:t>但不指明澄清问题的来源。如果澄清发出的时间距投标截止时间不足15天，相应延长投标截止时间。</w:t>
      </w:r>
    </w:p>
    <w:p w14:paraId="26F882A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ascii="宋体" w:hAnsi="宋体"/>
          <w:kern w:val="0"/>
          <w:szCs w:val="21"/>
        </w:rPr>
        <w:t>招标人对招标文件的</w:t>
      </w:r>
      <w:r>
        <w:rPr>
          <w:rFonts w:hint="eastAsia" w:ascii="宋体" w:hAnsi="宋体"/>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p w14:paraId="5395FAA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2.2.4  投标人对招标文件和</w:t>
      </w:r>
      <w:r>
        <w:rPr>
          <w:rFonts w:hint="eastAsia" w:ascii="宋体" w:hAnsi="宋体"/>
          <w:snapToGrid w:val="0"/>
          <w:kern w:val="0"/>
          <w:position w:val="-2"/>
          <w:szCs w:val="21"/>
        </w:rPr>
        <w:t>澄清</w:t>
      </w:r>
      <w:r>
        <w:rPr>
          <w:rFonts w:ascii="宋体" w:hAnsi="宋体"/>
          <w:snapToGrid w:val="0"/>
          <w:kern w:val="0"/>
          <w:position w:val="-2"/>
          <w:szCs w:val="21"/>
        </w:rPr>
        <w:t>修改仍有</w:t>
      </w:r>
      <w:r>
        <w:rPr>
          <w:rFonts w:hint="eastAsia" w:ascii="宋体" w:hAnsi="宋体"/>
          <w:snapToGrid w:val="0"/>
          <w:kern w:val="0"/>
          <w:position w:val="-2"/>
          <w:szCs w:val="21"/>
        </w:rPr>
        <w:t>异议</w:t>
      </w:r>
      <w:r>
        <w:rPr>
          <w:rFonts w:ascii="宋体" w:hAnsi="宋体"/>
          <w:snapToGrid w:val="0"/>
          <w:kern w:val="0"/>
          <w:position w:val="-2"/>
          <w:szCs w:val="21"/>
        </w:rPr>
        <w:t>的，可于投标截止时间10日前，</w:t>
      </w:r>
      <w:bookmarkStart w:id="250" w:name="OLE_LINK8"/>
      <w:r>
        <w:rPr>
          <w:rFonts w:hint="eastAsia" w:ascii="宋体" w:hAnsi="宋体"/>
          <w:snapToGrid w:val="0"/>
          <w:kern w:val="0"/>
          <w:szCs w:val="21"/>
        </w:rPr>
        <w:t>以书面形式</w:t>
      </w:r>
      <w:r>
        <w:rPr>
          <w:rFonts w:hint="eastAsia" w:ascii="宋体" w:hAnsi="宋体"/>
          <w:snapToGrid w:val="0"/>
          <w:kern w:val="0"/>
          <w:szCs w:val="21"/>
          <w:lang w:val="en-US" w:eastAsia="zh-CN"/>
        </w:rPr>
        <w:t>向</w:t>
      </w:r>
      <w:r>
        <w:rPr>
          <w:rFonts w:hint="eastAsia" w:ascii="宋体" w:hAnsi="宋体"/>
          <w:snapToGrid w:val="0"/>
          <w:kern w:val="0"/>
          <w:szCs w:val="21"/>
        </w:rPr>
        <w:t>招标人或招标代理机构</w:t>
      </w:r>
      <w:r>
        <w:rPr>
          <w:rFonts w:hint="eastAsia" w:ascii="宋体" w:hAnsi="宋体"/>
          <w:snapToGrid w:val="0"/>
          <w:kern w:val="0"/>
          <w:szCs w:val="21"/>
          <w:lang w:val="en-US" w:eastAsia="zh-CN"/>
        </w:rPr>
        <w:t>提出</w:t>
      </w:r>
      <w:bookmarkEnd w:id="250"/>
      <w:r>
        <w:rPr>
          <w:rFonts w:ascii="宋体" w:hAnsi="宋体"/>
          <w:snapToGrid w:val="0"/>
          <w:kern w:val="0"/>
          <w:szCs w:val="21"/>
        </w:rPr>
        <w:t>。招标人应将答复以</w:t>
      </w:r>
      <w:r>
        <w:rPr>
          <w:rFonts w:hint="eastAsia" w:ascii="宋体" w:hAnsi="宋体"/>
          <w:snapToGrid w:val="0"/>
          <w:kern w:val="0"/>
          <w:szCs w:val="21"/>
        </w:rPr>
        <w:t>修改</w:t>
      </w:r>
      <w:r>
        <w:rPr>
          <w:rFonts w:ascii="宋体" w:hAnsi="宋体"/>
          <w:snapToGrid w:val="0"/>
          <w:kern w:val="0"/>
          <w:szCs w:val="21"/>
        </w:rPr>
        <w:t>的形式在</w:t>
      </w:r>
      <w:r>
        <w:rPr>
          <w:rFonts w:hint="eastAsia" w:ascii="宋体" w:hAnsi="宋体"/>
          <w:kern w:val="0"/>
          <w:szCs w:val="21"/>
        </w:rPr>
        <w:t>相应法定网站</w:t>
      </w:r>
      <w:r>
        <w:rPr>
          <w:rFonts w:ascii="宋体" w:hAnsi="宋体"/>
          <w:kern w:val="0"/>
          <w:szCs w:val="21"/>
        </w:rPr>
        <w:t>发布</w:t>
      </w:r>
      <w:r>
        <w:rPr>
          <w:rFonts w:ascii="宋体" w:hAnsi="宋体"/>
          <w:snapToGrid w:val="0"/>
          <w:kern w:val="0"/>
          <w:szCs w:val="21"/>
        </w:rPr>
        <w:t>。</w:t>
      </w:r>
      <w:r>
        <w:rPr>
          <w:rFonts w:hint="eastAsia" w:ascii="宋体" w:hAnsi="宋体"/>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p w14:paraId="760CF954">
      <w:pPr>
        <w:pStyle w:val="5"/>
        <w:snapToGrid w:val="0"/>
        <w:spacing w:before="0" w:after="0" w:line="360" w:lineRule="auto"/>
        <w:rPr>
          <w:rFonts w:ascii="宋体" w:hAnsi="宋体"/>
          <w:b w:val="0"/>
          <w:snapToGrid w:val="0"/>
          <w:sz w:val="24"/>
          <w:szCs w:val="24"/>
        </w:rPr>
      </w:pPr>
      <w:bookmarkStart w:id="251" w:name="_Toc509218727"/>
      <w:bookmarkStart w:id="252" w:name="_Toc224103334"/>
      <w:bookmarkStart w:id="253" w:name="_Toc287620702"/>
      <w:bookmarkStart w:id="254" w:name="_Toc200513143"/>
      <w:bookmarkStart w:id="255" w:name="_Toc287607763"/>
      <w:bookmarkStart w:id="256" w:name="_Toc32740"/>
      <w:bookmarkStart w:id="257" w:name="_Toc31294"/>
      <w:bookmarkStart w:id="258" w:name="_Toc430530452"/>
      <w:bookmarkStart w:id="259" w:name="_Toc277082569"/>
      <w:r>
        <w:rPr>
          <w:rFonts w:ascii="宋体" w:hAnsi="宋体"/>
          <w:b w:val="0"/>
          <w:snapToGrid w:val="0"/>
          <w:sz w:val="24"/>
          <w:szCs w:val="24"/>
        </w:rPr>
        <w:t>2.3  招标文件的修改</w:t>
      </w:r>
      <w:bookmarkEnd w:id="251"/>
      <w:bookmarkEnd w:id="252"/>
      <w:bookmarkEnd w:id="253"/>
      <w:bookmarkEnd w:id="254"/>
      <w:bookmarkEnd w:id="255"/>
      <w:bookmarkEnd w:id="256"/>
      <w:bookmarkEnd w:id="257"/>
      <w:bookmarkEnd w:id="258"/>
      <w:bookmarkEnd w:id="259"/>
    </w:p>
    <w:p w14:paraId="640364D9">
      <w:pPr>
        <w:autoSpaceDE w:val="0"/>
        <w:autoSpaceDN w:val="0"/>
        <w:adjustRightInd w:val="0"/>
        <w:snapToGrid w:val="0"/>
        <w:spacing w:line="360" w:lineRule="auto"/>
        <w:ind w:firstLine="420"/>
        <w:rPr>
          <w:rFonts w:ascii="宋体" w:hAnsi="宋体"/>
          <w:snapToGrid w:val="0"/>
        </w:rPr>
      </w:pPr>
      <w:bookmarkStart w:id="260" w:name="_Toc287607764"/>
      <w:bookmarkStart w:id="261" w:name="_Toc277082570"/>
      <w:bookmarkStart w:id="262" w:name="_Toc224103335"/>
      <w:bookmarkStart w:id="263" w:name="_Toc287620703"/>
      <w:bookmarkStart w:id="264" w:name="_Toc200513144"/>
      <w:r>
        <w:rPr>
          <w:rFonts w:ascii="宋体" w:hAnsi="宋体"/>
          <w:snapToGrid w:val="0"/>
        </w:rPr>
        <w:t>按照本章第2.2款招标文件的澄清相关内容及方式执行。</w:t>
      </w:r>
    </w:p>
    <w:p w14:paraId="1457E4DA">
      <w:pPr>
        <w:pStyle w:val="4"/>
        <w:spacing w:before="0" w:after="0" w:line="360" w:lineRule="auto"/>
        <w:rPr>
          <w:rFonts w:ascii="宋体" w:hAnsi="宋体"/>
          <w:b w:val="0"/>
          <w:snapToGrid w:val="0"/>
        </w:rPr>
      </w:pPr>
      <w:bookmarkStart w:id="265" w:name="_Toc32443"/>
      <w:bookmarkStart w:id="266" w:name="_Toc1731"/>
      <w:bookmarkStart w:id="267" w:name="_Toc509218728"/>
      <w:bookmarkStart w:id="268" w:name="_Toc430530453"/>
      <w:r>
        <w:rPr>
          <w:rFonts w:ascii="宋体" w:hAnsi="宋体"/>
          <w:b w:val="0"/>
          <w:snapToGrid w:val="0"/>
        </w:rPr>
        <w:t>3.  投标文件</w:t>
      </w:r>
      <w:bookmarkEnd w:id="260"/>
      <w:bookmarkEnd w:id="261"/>
      <w:bookmarkEnd w:id="262"/>
      <w:bookmarkEnd w:id="263"/>
      <w:bookmarkEnd w:id="264"/>
      <w:bookmarkEnd w:id="265"/>
      <w:bookmarkEnd w:id="266"/>
      <w:bookmarkEnd w:id="267"/>
      <w:bookmarkEnd w:id="268"/>
    </w:p>
    <w:p w14:paraId="42EF83F4">
      <w:pPr>
        <w:pStyle w:val="5"/>
        <w:snapToGrid w:val="0"/>
        <w:spacing w:before="0" w:after="0" w:line="360" w:lineRule="auto"/>
        <w:rPr>
          <w:rFonts w:ascii="宋体" w:hAnsi="宋体"/>
          <w:b w:val="0"/>
          <w:snapToGrid w:val="0"/>
          <w:sz w:val="24"/>
          <w:szCs w:val="24"/>
        </w:rPr>
      </w:pPr>
      <w:bookmarkStart w:id="269" w:name="_Toc200513145"/>
      <w:bookmarkStart w:id="270" w:name="_Toc287620704"/>
      <w:bookmarkStart w:id="271" w:name="_Toc509218729"/>
      <w:bookmarkStart w:id="272" w:name="_Toc224103336"/>
      <w:bookmarkStart w:id="273" w:name="_Toc19340"/>
      <w:bookmarkStart w:id="274" w:name="_Toc287607765"/>
      <w:bookmarkStart w:id="275" w:name="_Toc22925"/>
      <w:bookmarkStart w:id="276" w:name="_Toc277082571"/>
      <w:bookmarkStart w:id="277" w:name="_Toc430530454"/>
      <w:r>
        <w:rPr>
          <w:rFonts w:ascii="宋体" w:hAnsi="宋体"/>
          <w:b w:val="0"/>
          <w:snapToGrid w:val="0"/>
          <w:sz w:val="24"/>
          <w:szCs w:val="24"/>
        </w:rPr>
        <w:t>3.1  投标文件的组成</w:t>
      </w:r>
      <w:bookmarkEnd w:id="269"/>
      <w:bookmarkEnd w:id="270"/>
      <w:bookmarkEnd w:id="271"/>
      <w:bookmarkEnd w:id="272"/>
      <w:bookmarkEnd w:id="273"/>
      <w:bookmarkEnd w:id="274"/>
      <w:bookmarkEnd w:id="275"/>
      <w:bookmarkEnd w:id="276"/>
      <w:bookmarkEnd w:id="277"/>
    </w:p>
    <w:p w14:paraId="136B07B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3.1.1 投标文件应包括下列内容：</w:t>
      </w:r>
    </w:p>
    <w:p w14:paraId="15A30A20">
      <w:pPr>
        <w:spacing w:line="360" w:lineRule="auto"/>
        <w:ind w:firstLine="420" w:firstLineChars="200"/>
        <w:rPr>
          <w:rFonts w:ascii="宋体" w:hAnsi="宋体"/>
        </w:rPr>
      </w:pPr>
      <w:r>
        <w:rPr>
          <w:rFonts w:hint="eastAsia" w:ascii="宋体" w:hAnsi="宋体"/>
        </w:rPr>
        <w:t>3.1.1.1投标函部分</w:t>
      </w:r>
    </w:p>
    <w:p w14:paraId="408FB773">
      <w:pPr>
        <w:spacing w:line="360" w:lineRule="auto"/>
        <w:ind w:firstLine="420" w:firstLineChars="200"/>
        <w:rPr>
          <w:rFonts w:ascii="宋体" w:hAnsi="宋体"/>
        </w:rPr>
      </w:pPr>
      <w:r>
        <w:rPr>
          <w:rFonts w:hint="eastAsia" w:ascii="宋体" w:hAnsi="宋体"/>
        </w:rPr>
        <w:t>（1）投标函</w:t>
      </w:r>
    </w:p>
    <w:p w14:paraId="176ECA4A">
      <w:pPr>
        <w:spacing w:line="360" w:lineRule="auto"/>
        <w:ind w:firstLine="420" w:firstLineChars="200"/>
        <w:rPr>
          <w:rFonts w:ascii="宋体" w:hAnsi="宋体"/>
        </w:rPr>
      </w:pPr>
      <w:r>
        <w:rPr>
          <w:rFonts w:hint="eastAsia" w:ascii="宋体" w:hAnsi="宋体"/>
        </w:rPr>
        <w:t>（2）投标函附录</w:t>
      </w:r>
    </w:p>
    <w:p w14:paraId="6267C110">
      <w:pPr>
        <w:spacing w:line="360" w:lineRule="auto"/>
        <w:ind w:firstLine="420" w:firstLineChars="200"/>
        <w:rPr>
          <w:rFonts w:ascii="宋体" w:hAnsi="宋体"/>
        </w:rPr>
      </w:pPr>
      <w:r>
        <w:rPr>
          <w:rFonts w:hint="eastAsia" w:ascii="宋体" w:hAnsi="宋体"/>
        </w:rPr>
        <w:t>（</w:t>
      </w:r>
      <w:r>
        <w:rPr>
          <w:rFonts w:hint="eastAsia" w:ascii="宋体" w:hAnsi="宋体"/>
          <w:lang w:val="en-US" w:eastAsia="zh-CN"/>
        </w:rPr>
        <w:t>3</w:t>
      </w:r>
      <w:r>
        <w:rPr>
          <w:rFonts w:hint="eastAsia" w:ascii="宋体" w:hAnsi="宋体"/>
        </w:rPr>
        <w:t>）投标报价合理性说明（如有）</w:t>
      </w:r>
    </w:p>
    <w:p w14:paraId="68D2ADEE">
      <w:pPr>
        <w:spacing w:line="360" w:lineRule="auto"/>
        <w:ind w:firstLine="420" w:firstLineChars="200"/>
        <w:rPr>
          <w:rFonts w:ascii="宋体" w:hAnsi="宋体"/>
        </w:rPr>
      </w:pPr>
      <w:r>
        <w:rPr>
          <w:rFonts w:hint="eastAsia" w:ascii="宋体" w:hAnsi="宋体"/>
        </w:rPr>
        <w:t>（</w:t>
      </w:r>
      <w:r>
        <w:rPr>
          <w:rFonts w:hint="eastAsia" w:ascii="宋体" w:hAnsi="宋体"/>
          <w:lang w:val="en-US" w:eastAsia="zh-CN"/>
        </w:rPr>
        <w:t>4</w:t>
      </w:r>
      <w:r>
        <w:rPr>
          <w:rFonts w:hint="eastAsia" w:ascii="宋体" w:hAnsi="宋体"/>
        </w:rPr>
        <w:t>）法定代表人身份证明或授权委托书</w:t>
      </w:r>
    </w:p>
    <w:p w14:paraId="0729B897">
      <w:pPr>
        <w:spacing w:line="360" w:lineRule="auto"/>
        <w:ind w:firstLine="420" w:firstLineChars="200"/>
        <w:rPr>
          <w:rFonts w:ascii="宋体" w:hAnsi="宋体"/>
        </w:rPr>
      </w:pPr>
      <w:r>
        <w:rPr>
          <w:rFonts w:hint="eastAsia" w:ascii="宋体" w:hAnsi="宋体"/>
        </w:rPr>
        <w:t>3.1.1.2</w:t>
      </w:r>
      <w:r>
        <w:rPr>
          <w:rFonts w:hint="eastAsia" w:ascii="宋体" w:hAnsi="宋体"/>
          <w:lang w:val="en-US" w:eastAsia="zh-CN"/>
        </w:rPr>
        <w:t>报价</w:t>
      </w:r>
      <w:r>
        <w:rPr>
          <w:rFonts w:hint="eastAsia" w:ascii="宋体" w:hAnsi="宋体"/>
        </w:rPr>
        <w:t>部分</w:t>
      </w:r>
    </w:p>
    <w:p w14:paraId="5A77DC49">
      <w:pPr>
        <w:spacing w:line="360" w:lineRule="auto"/>
        <w:ind w:firstLine="420" w:firstLineChars="200"/>
        <w:rPr>
          <w:rFonts w:ascii="宋体" w:hAnsi="宋体"/>
        </w:rPr>
      </w:pPr>
      <w:r>
        <w:rPr>
          <w:rFonts w:hint="eastAsia" w:ascii="宋体" w:hAnsi="宋体"/>
        </w:rPr>
        <w:t>（1）已标价工程量清单</w:t>
      </w:r>
    </w:p>
    <w:p w14:paraId="13D3C033">
      <w:pPr>
        <w:spacing w:line="360" w:lineRule="auto"/>
        <w:ind w:firstLine="420" w:firstLineChars="200"/>
        <w:rPr>
          <w:rFonts w:hint="eastAsia" w:ascii="宋体" w:hAnsi="宋体"/>
          <w:lang w:val="en-US" w:eastAsia="zh-CN"/>
        </w:rPr>
      </w:pPr>
      <w:r>
        <w:rPr>
          <w:rFonts w:hint="eastAsia" w:ascii="宋体" w:hAnsi="宋体"/>
          <w:lang w:val="en-US" w:eastAsia="zh-CN"/>
        </w:rPr>
        <w:t>3.1.1.3商务</w:t>
      </w:r>
      <w:r>
        <w:rPr>
          <w:rFonts w:hint="eastAsia" w:ascii="宋体" w:hAnsi="宋体"/>
        </w:rPr>
        <w:t>部分（</w:t>
      </w:r>
      <w:r>
        <w:rPr>
          <w:rFonts w:hint="eastAsia" w:ascii="宋体" w:hAnsi="宋体"/>
          <w:lang w:val="en-US" w:eastAsia="zh-CN"/>
        </w:rPr>
        <w:t>如有</w:t>
      </w:r>
      <w:r>
        <w:rPr>
          <w:rFonts w:hint="eastAsia" w:ascii="宋体" w:hAnsi="宋体"/>
        </w:rPr>
        <w:t>）</w:t>
      </w:r>
    </w:p>
    <w:p w14:paraId="79C21112">
      <w:pPr>
        <w:spacing w:line="360" w:lineRule="auto"/>
        <w:ind w:firstLine="420" w:firstLineChars="200"/>
        <w:rPr>
          <w:rFonts w:ascii="宋体" w:hAnsi="宋体"/>
        </w:rPr>
      </w:pPr>
      <w:r>
        <w:rPr>
          <w:rFonts w:hint="eastAsia" w:ascii="宋体" w:hAnsi="宋体"/>
        </w:rPr>
        <w:t>3.1.1.</w:t>
      </w:r>
      <w:r>
        <w:rPr>
          <w:rFonts w:hint="eastAsia" w:ascii="宋体" w:hAnsi="宋体"/>
          <w:lang w:val="en-US" w:eastAsia="zh-CN"/>
        </w:rPr>
        <w:t>4</w:t>
      </w:r>
      <w:r>
        <w:rPr>
          <w:rFonts w:hint="eastAsia" w:ascii="宋体" w:hAnsi="宋体"/>
        </w:rPr>
        <w:t>技术部分（</w:t>
      </w:r>
      <w:r>
        <w:rPr>
          <w:rFonts w:hint="eastAsia" w:ascii="宋体" w:hAnsi="宋体"/>
          <w:lang w:val="en-US" w:eastAsia="zh-CN"/>
        </w:rPr>
        <w:t>如有</w:t>
      </w:r>
      <w:r>
        <w:rPr>
          <w:rFonts w:hint="eastAsia" w:ascii="宋体" w:hAnsi="宋体"/>
        </w:rPr>
        <w:t>）</w:t>
      </w:r>
    </w:p>
    <w:p w14:paraId="4757CAEF">
      <w:pPr>
        <w:spacing w:line="360" w:lineRule="auto"/>
        <w:ind w:firstLine="420" w:firstLineChars="200"/>
        <w:rPr>
          <w:rFonts w:ascii="宋体" w:hAnsi="宋体"/>
        </w:rPr>
      </w:pPr>
      <w:r>
        <w:rPr>
          <w:rFonts w:hint="eastAsia" w:ascii="宋体" w:hAnsi="宋体"/>
        </w:rPr>
        <w:t>3.1.1.</w:t>
      </w:r>
      <w:r>
        <w:rPr>
          <w:rFonts w:hint="eastAsia" w:ascii="宋体" w:hAnsi="宋体"/>
          <w:lang w:val="en-US" w:eastAsia="zh-CN"/>
        </w:rPr>
        <w:t>5</w:t>
      </w:r>
      <w:r>
        <w:rPr>
          <w:rFonts w:hint="eastAsia" w:ascii="宋体" w:hAnsi="宋体"/>
        </w:rPr>
        <w:t>资格审查部分</w:t>
      </w:r>
    </w:p>
    <w:p w14:paraId="4FB06194">
      <w:pPr>
        <w:spacing w:line="360" w:lineRule="auto"/>
        <w:ind w:firstLine="420" w:firstLineChars="200"/>
        <w:rPr>
          <w:rFonts w:ascii="宋体" w:hAnsi="宋体"/>
        </w:rPr>
      </w:pPr>
      <w:r>
        <w:rPr>
          <w:rFonts w:hint="eastAsia" w:ascii="宋体" w:hAnsi="宋体"/>
        </w:rPr>
        <w:t>（1）法定代表人身份证明或授权委托书</w:t>
      </w:r>
    </w:p>
    <w:p w14:paraId="1826EA2A">
      <w:pPr>
        <w:spacing w:line="360" w:lineRule="auto"/>
        <w:ind w:firstLine="420" w:firstLineChars="200"/>
        <w:rPr>
          <w:rFonts w:ascii="宋体" w:hAnsi="宋体"/>
        </w:rPr>
      </w:pPr>
      <w:r>
        <w:rPr>
          <w:rFonts w:hint="eastAsia" w:ascii="宋体" w:hAnsi="宋体"/>
        </w:rPr>
        <w:t>（2）</w:t>
      </w:r>
      <w:r>
        <w:rPr>
          <w:rFonts w:hint="eastAsia" w:ascii="宋体" w:hAnsi="宋体"/>
          <w:lang w:val="en-US" w:eastAsia="zh-CN"/>
        </w:rPr>
        <w:t>共同投标协议</w:t>
      </w:r>
      <w:r>
        <w:rPr>
          <w:rFonts w:hint="eastAsia" w:ascii="宋体" w:hAnsi="宋体"/>
        </w:rPr>
        <w:t>（如有）</w:t>
      </w:r>
    </w:p>
    <w:p w14:paraId="6C6DEB26">
      <w:pPr>
        <w:spacing w:line="360" w:lineRule="auto"/>
        <w:ind w:firstLine="420" w:firstLineChars="200"/>
        <w:rPr>
          <w:rFonts w:ascii="宋体" w:hAnsi="宋体"/>
        </w:rPr>
      </w:pPr>
      <w:r>
        <w:rPr>
          <w:rFonts w:hint="eastAsia" w:ascii="宋体" w:hAnsi="宋体"/>
        </w:rPr>
        <w:t>（3）承诺</w:t>
      </w:r>
    </w:p>
    <w:p w14:paraId="1546A1CC">
      <w:pPr>
        <w:spacing w:line="360" w:lineRule="auto"/>
        <w:ind w:firstLine="420" w:firstLineChars="200"/>
        <w:rPr>
          <w:rFonts w:hint="eastAsia" w:ascii="宋体" w:hAnsi="宋体"/>
        </w:rPr>
      </w:pPr>
      <w:r>
        <w:rPr>
          <w:rFonts w:hint="eastAsia" w:ascii="宋体" w:hAnsi="宋体"/>
        </w:rPr>
        <w:t>（</w:t>
      </w:r>
      <w:r>
        <w:rPr>
          <w:rFonts w:hint="eastAsia" w:ascii="宋体" w:hAnsi="宋体"/>
          <w:lang w:val="en-US" w:eastAsia="zh-CN"/>
        </w:rPr>
        <w:t>4</w:t>
      </w:r>
      <w:r>
        <w:rPr>
          <w:rFonts w:hint="eastAsia" w:ascii="宋体" w:hAnsi="宋体"/>
        </w:rPr>
        <w:t>）其他资料</w:t>
      </w:r>
    </w:p>
    <w:p w14:paraId="014236B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3.1.2  投标人须知前附表规定不接受联合体投标的，或投标人没有组成联合体的，投标文件不包括</w:t>
      </w:r>
      <w:r>
        <w:rPr>
          <w:rFonts w:hint="eastAsia" w:ascii="宋体" w:hAnsi="宋体"/>
          <w:lang w:val="en-US" w:eastAsia="zh-CN"/>
        </w:rPr>
        <w:t>共同投标协议</w:t>
      </w:r>
      <w:r>
        <w:rPr>
          <w:rFonts w:ascii="宋体" w:hAnsi="宋体"/>
          <w:snapToGrid w:val="0"/>
          <w:kern w:val="0"/>
          <w:szCs w:val="21"/>
        </w:rPr>
        <w:t>。</w:t>
      </w:r>
    </w:p>
    <w:p w14:paraId="63D9918C">
      <w:pPr>
        <w:pStyle w:val="5"/>
        <w:snapToGrid w:val="0"/>
        <w:spacing w:before="0" w:after="0" w:line="360" w:lineRule="auto"/>
        <w:rPr>
          <w:rFonts w:ascii="宋体" w:hAnsi="宋体"/>
          <w:b w:val="0"/>
          <w:snapToGrid w:val="0"/>
          <w:sz w:val="24"/>
          <w:szCs w:val="24"/>
        </w:rPr>
      </w:pPr>
      <w:bookmarkStart w:id="278" w:name="_Toc224103337"/>
      <w:bookmarkStart w:id="279" w:name="_Toc9049"/>
      <w:bookmarkStart w:id="280" w:name="_Toc200513146"/>
      <w:bookmarkStart w:id="281" w:name="_Toc277082572"/>
      <w:bookmarkStart w:id="282" w:name="_Toc287607766"/>
      <w:bookmarkStart w:id="283" w:name="_Toc9606"/>
      <w:bookmarkStart w:id="284" w:name="_Toc509218730"/>
      <w:bookmarkStart w:id="285" w:name="_Toc430530455"/>
      <w:bookmarkStart w:id="286" w:name="_Toc287620705"/>
      <w:r>
        <w:rPr>
          <w:rFonts w:ascii="宋体" w:hAnsi="宋体"/>
          <w:b w:val="0"/>
          <w:snapToGrid w:val="0"/>
          <w:sz w:val="24"/>
          <w:szCs w:val="24"/>
        </w:rPr>
        <w:t>3.2  投标报价</w:t>
      </w:r>
      <w:bookmarkEnd w:id="278"/>
      <w:bookmarkEnd w:id="279"/>
      <w:bookmarkEnd w:id="280"/>
      <w:bookmarkEnd w:id="281"/>
      <w:bookmarkEnd w:id="282"/>
      <w:bookmarkEnd w:id="283"/>
      <w:bookmarkEnd w:id="284"/>
      <w:bookmarkEnd w:id="285"/>
      <w:bookmarkEnd w:id="286"/>
    </w:p>
    <w:p w14:paraId="61DB26A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3.2.1  投标人应按第五章“工程量清单”的要求填写相应表格。</w:t>
      </w:r>
    </w:p>
    <w:p w14:paraId="2CBB2BC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3.2.2</w:t>
      </w:r>
      <w:r>
        <w:rPr>
          <w:rFonts w:hint="eastAsia" w:ascii="宋体" w:hAnsi="宋体"/>
          <w:snapToGrid w:val="0"/>
          <w:kern w:val="0"/>
          <w:szCs w:val="21"/>
        </w:rPr>
        <w:t xml:space="preserve">  </w:t>
      </w:r>
      <w:r>
        <w:rPr>
          <w:rFonts w:ascii="宋体" w:hAnsi="宋体"/>
          <w:snapToGrid w:val="0"/>
          <w:kern w:val="0"/>
          <w:szCs w:val="21"/>
        </w:rPr>
        <w:t>投标人在投标截止时间前修改投标函中的投标总报价，应同时修改第五章“工程量清单”中的相应报价。此修改须符合本章第 4.3 款的有关要求。</w:t>
      </w:r>
    </w:p>
    <w:p w14:paraId="7B2DC4FA">
      <w:pPr>
        <w:pStyle w:val="5"/>
        <w:snapToGrid w:val="0"/>
        <w:spacing w:before="0" w:after="0" w:line="360" w:lineRule="auto"/>
        <w:rPr>
          <w:rFonts w:ascii="宋体" w:hAnsi="宋体"/>
          <w:b w:val="0"/>
          <w:snapToGrid w:val="0"/>
          <w:sz w:val="24"/>
          <w:szCs w:val="24"/>
        </w:rPr>
      </w:pPr>
      <w:bookmarkStart w:id="287" w:name="_Toc200513147"/>
      <w:bookmarkStart w:id="288" w:name="_Toc224103338"/>
      <w:bookmarkStart w:id="289" w:name="_Toc277082573"/>
      <w:bookmarkStart w:id="290" w:name="_Toc509218731"/>
      <w:bookmarkStart w:id="291" w:name="_Toc14821"/>
      <w:bookmarkStart w:id="292" w:name="_Toc287607767"/>
      <w:bookmarkStart w:id="293" w:name="_Toc287620706"/>
      <w:bookmarkStart w:id="294" w:name="_Toc430530456"/>
      <w:bookmarkStart w:id="295" w:name="_Toc17662"/>
      <w:r>
        <w:rPr>
          <w:rFonts w:ascii="宋体" w:hAnsi="宋体"/>
          <w:b w:val="0"/>
          <w:snapToGrid w:val="0"/>
          <w:sz w:val="24"/>
          <w:szCs w:val="24"/>
        </w:rPr>
        <w:t>3.3  投标有效期</w:t>
      </w:r>
      <w:bookmarkEnd w:id="287"/>
      <w:bookmarkEnd w:id="288"/>
      <w:bookmarkEnd w:id="289"/>
      <w:bookmarkEnd w:id="290"/>
      <w:bookmarkEnd w:id="291"/>
      <w:bookmarkEnd w:id="292"/>
      <w:bookmarkEnd w:id="293"/>
      <w:bookmarkEnd w:id="294"/>
      <w:bookmarkEnd w:id="295"/>
    </w:p>
    <w:p w14:paraId="17D2ED9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3.3.1  在投标人须知前附表规定的投标有效期内，投标人不得要求撤销或修改其投标文件。</w:t>
      </w:r>
    </w:p>
    <w:p w14:paraId="2412B8B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kern w:val="0"/>
          <w:szCs w:val="21"/>
        </w:rPr>
        <w:t>（适用于投标保证金采用投标保函形式的）</w:t>
      </w:r>
    </w:p>
    <w:p w14:paraId="26E5CAC2">
      <w:pPr>
        <w:autoSpaceDE w:val="0"/>
        <w:autoSpaceDN w:val="0"/>
        <w:adjustRightInd w:val="0"/>
        <w:snapToGrid w:val="0"/>
        <w:spacing w:line="360" w:lineRule="auto"/>
        <w:ind w:firstLine="420" w:firstLineChars="200"/>
        <w:rPr>
          <w:rFonts w:ascii="宋体" w:hAnsi="宋体" w:cs="MingLiU"/>
          <w:snapToGrid w:val="0"/>
          <w:kern w:val="0"/>
          <w:szCs w:val="21"/>
        </w:rPr>
      </w:pPr>
      <w:r>
        <w:rPr>
          <w:rFonts w:hint="eastAsia" w:ascii="宋体" w:hAnsi="宋体" w:cs="MingLiU"/>
          <w:snapToGrid w:val="0"/>
          <w:kern w:val="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5524B5FF">
      <w:pPr>
        <w:pStyle w:val="5"/>
        <w:keepNext w:val="0"/>
        <w:keepLines w:val="0"/>
        <w:snapToGrid w:val="0"/>
        <w:spacing w:before="0" w:after="0" w:line="360" w:lineRule="auto"/>
        <w:rPr>
          <w:rFonts w:ascii="宋体" w:hAnsi="宋体"/>
          <w:b w:val="0"/>
          <w:snapToGrid w:val="0"/>
          <w:sz w:val="24"/>
          <w:szCs w:val="24"/>
        </w:rPr>
      </w:pPr>
      <w:bookmarkStart w:id="296" w:name="_Toc430530457"/>
      <w:bookmarkStart w:id="297" w:name="_Toc277082574"/>
      <w:bookmarkStart w:id="298" w:name="_Toc509218732"/>
      <w:bookmarkStart w:id="299" w:name="_Toc287620707"/>
      <w:bookmarkStart w:id="300" w:name="_Toc224103339"/>
      <w:bookmarkStart w:id="301" w:name="_Toc200513148"/>
      <w:bookmarkStart w:id="302" w:name="_Toc287607768"/>
      <w:bookmarkStart w:id="303" w:name="_Toc11029"/>
      <w:bookmarkStart w:id="304" w:name="_Toc21081"/>
      <w:r>
        <w:rPr>
          <w:rFonts w:ascii="宋体" w:hAnsi="宋体"/>
          <w:b w:val="0"/>
          <w:snapToGrid w:val="0"/>
          <w:sz w:val="24"/>
          <w:szCs w:val="24"/>
        </w:rPr>
        <w:t>3.4  投标</w:t>
      </w:r>
      <w:bookmarkEnd w:id="296"/>
      <w:bookmarkEnd w:id="297"/>
      <w:bookmarkEnd w:id="298"/>
      <w:bookmarkEnd w:id="299"/>
      <w:bookmarkEnd w:id="300"/>
      <w:bookmarkEnd w:id="301"/>
      <w:bookmarkEnd w:id="302"/>
      <w:r>
        <w:rPr>
          <w:rFonts w:hint="eastAsia" w:ascii="宋体" w:hAnsi="宋体"/>
          <w:b w:val="0"/>
          <w:snapToGrid w:val="0"/>
          <w:sz w:val="24"/>
          <w:szCs w:val="24"/>
        </w:rPr>
        <w:t>保证金</w:t>
      </w:r>
      <w:bookmarkEnd w:id="303"/>
      <w:bookmarkEnd w:id="304"/>
    </w:p>
    <w:p w14:paraId="7CE9B33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3.4.1  投标人在递交投标文件的同时，应按投标人须知前附表的规定递交投标保证金，并作为其投标文件的组成部分。联合体投标的，其投标保证金由牵头人递交，并应符合投标人须知前附表的规定。</w:t>
      </w:r>
    </w:p>
    <w:p w14:paraId="35C80191">
      <w:pPr>
        <w:autoSpaceDE w:val="0"/>
        <w:autoSpaceDN w:val="0"/>
        <w:adjustRightInd w:val="0"/>
        <w:snapToGrid w:val="0"/>
        <w:spacing w:line="360" w:lineRule="auto"/>
        <w:ind w:left="12" w:leftChars="6" w:firstLine="405" w:firstLineChars="193"/>
        <w:rPr>
          <w:rFonts w:ascii="宋体" w:hAnsi="宋体"/>
          <w:snapToGrid w:val="0"/>
          <w:kern w:val="0"/>
          <w:szCs w:val="21"/>
        </w:rPr>
      </w:pPr>
      <w:r>
        <w:rPr>
          <w:rFonts w:ascii="宋体" w:hAnsi="宋体"/>
          <w:snapToGrid w:val="0"/>
          <w:kern w:val="0"/>
          <w:szCs w:val="21"/>
        </w:rPr>
        <w:t>3.4.2  投标人不按本章第 3.4.1 项要求提交投标保证金的，其投标文件作否决投标处理。</w:t>
      </w:r>
    </w:p>
    <w:p w14:paraId="5BD25123">
      <w:pPr>
        <w:autoSpaceDE w:val="0"/>
        <w:autoSpaceDN w:val="0"/>
        <w:adjustRightInd w:val="0"/>
        <w:snapToGrid w:val="0"/>
        <w:spacing w:line="360" w:lineRule="auto"/>
        <w:ind w:left="12" w:leftChars="6" w:firstLine="405" w:firstLineChars="193"/>
        <w:rPr>
          <w:rFonts w:ascii="宋体" w:hAnsi="宋体"/>
          <w:snapToGrid w:val="0"/>
          <w:kern w:val="0"/>
          <w:szCs w:val="21"/>
        </w:rPr>
      </w:pPr>
      <w:r>
        <w:rPr>
          <w:rFonts w:ascii="宋体" w:hAnsi="宋体"/>
          <w:snapToGrid w:val="0"/>
          <w:kern w:val="0"/>
          <w:szCs w:val="21"/>
        </w:rPr>
        <w:t>3.4.3  投标</w:t>
      </w:r>
      <w:r>
        <w:rPr>
          <w:rFonts w:ascii="宋体" w:hAnsi="宋体"/>
          <w:snapToGrid w:val="0"/>
          <w:kern w:val="0"/>
          <w:position w:val="-2"/>
          <w:szCs w:val="21"/>
        </w:rPr>
        <w:t>保证金（投标保函）</w:t>
      </w:r>
      <w:r>
        <w:rPr>
          <w:rFonts w:ascii="宋体" w:hAnsi="宋体"/>
          <w:snapToGrid w:val="0"/>
          <w:kern w:val="0"/>
          <w:szCs w:val="21"/>
        </w:rPr>
        <w:t>退还：见投标人须知前附表</w:t>
      </w:r>
      <w:r>
        <w:rPr>
          <w:rFonts w:ascii="宋体" w:hAnsi="宋体"/>
          <w:snapToGrid w:val="0"/>
          <w:kern w:val="0"/>
          <w:position w:val="-2"/>
          <w:szCs w:val="21"/>
        </w:rPr>
        <w:t>。</w:t>
      </w:r>
    </w:p>
    <w:p w14:paraId="5B34C31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3.4.4  有下列情形之一的，投标保证金</w:t>
      </w:r>
      <w:r>
        <w:rPr>
          <w:rFonts w:hint="eastAsia" w:asciiTheme="minorEastAsia" w:hAnsiTheme="minorEastAsia" w:eastAsiaTheme="minorEastAsia"/>
          <w:color w:val="auto"/>
          <w:highlight w:val="none"/>
          <w:lang w:val="en-US" w:eastAsia="zh-CN"/>
        </w:rPr>
        <w:t>以现金形式交纳的</w:t>
      </w:r>
      <w:r>
        <w:rPr>
          <w:rFonts w:ascii="宋体" w:hAnsi="宋体"/>
          <w:snapToGrid w:val="0"/>
          <w:kern w:val="0"/>
          <w:szCs w:val="21"/>
        </w:rPr>
        <w:t>将不予退还</w:t>
      </w:r>
      <w:r>
        <w:rPr>
          <w:rFonts w:hint="eastAsia" w:asciiTheme="minorEastAsia" w:hAnsiTheme="minorEastAsia" w:eastAsiaTheme="minorEastAsia"/>
          <w:color w:val="auto"/>
          <w:highlight w:val="none"/>
          <w:lang w:eastAsia="zh-CN"/>
        </w:rPr>
        <w:t>，以保函形式交纳的由保函开立人支付保函担保的与投标保证金等额的款项</w:t>
      </w:r>
      <w:r>
        <w:rPr>
          <w:rFonts w:ascii="宋体" w:hAnsi="宋体"/>
          <w:snapToGrid w:val="0"/>
          <w:kern w:val="0"/>
          <w:szCs w:val="21"/>
        </w:rPr>
        <w:t>：</w:t>
      </w:r>
    </w:p>
    <w:p w14:paraId="1DB86BA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（1）投标人在规定的投标有效期内撤销或修改其投标文件；</w:t>
      </w:r>
    </w:p>
    <w:p w14:paraId="5DBA3F7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w:t>
      </w:r>
      <w:r>
        <w:rPr>
          <w:rFonts w:hint="eastAsia" w:ascii="宋体" w:hAnsi="宋体"/>
          <w:kern w:val="0"/>
          <w:szCs w:val="21"/>
        </w:rPr>
        <w:t>中标人在收到中标通知书后，无正当理由不与招标人订立合同，在签订合同时向招标人提出附加条件，或者不按照招标文件要求提交履约保证金</w:t>
      </w:r>
      <w:r>
        <w:rPr>
          <w:rFonts w:ascii="宋体" w:hAnsi="宋体"/>
          <w:snapToGrid w:val="0"/>
          <w:kern w:val="0"/>
          <w:szCs w:val="21"/>
        </w:rPr>
        <w:t>；</w:t>
      </w:r>
    </w:p>
    <w:p w14:paraId="0432036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lang w:val="en-US" w:eastAsia="zh-CN"/>
        </w:rPr>
        <w:t>3</w:t>
      </w:r>
      <w:r>
        <w:rPr>
          <w:rFonts w:ascii="宋体" w:hAnsi="宋体"/>
          <w:snapToGrid w:val="0"/>
          <w:kern w:val="0"/>
          <w:szCs w:val="21"/>
        </w:rPr>
        <w:t>）违反本章第9.2</w:t>
      </w:r>
      <w:r>
        <w:rPr>
          <w:rFonts w:hint="eastAsia" w:ascii="宋体" w:hAnsi="宋体"/>
          <w:snapToGrid w:val="0"/>
          <w:kern w:val="0"/>
          <w:szCs w:val="21"/>
        </w:rPr>
        <w:t>款</w:t>
      </w:r>
      <w:r>
        <w:rPr>
          <w:rFonts w:ascii="宋体" w:hAnsi="宋体"/>
          <w:snapToGrid w:val="0"/>
          <w:kern w:val="0"/>
          <w:szCs w:val="21"/>
        </w:rPr>
        <w:t>对投标人的纪律要求的；</w:t>
      </w:r>
    </w:p>
    <w:p w14:paraId="3F1F666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lang w:val="en-US" w:eastAsia="zh-CN"/>
        </w:rPr>
        <w:t>4</w:t>
      </w:r>
      <w:r>
        <w:rPr>
          <w:rFonts w:ascii="宋体" w:hAnsi="宋体"/>
          <w:snapToGrid w:val="0"/>
          <w:kern w:val="0"/>
          <w:szCs w:val="21"/>
        </w:rPr>
        <w:t>）法律法规规定的其他情形。</w:t>
      </w:r>
    </w:p>
    <w:p w14:paraId="73AB1DB5">
      <w:pPr>
        <w:tabs>
          <w:tab w:val="left" w:pos="611"/>
          <w:tab w:val="left" w:pos="669"/>
        </w:tabs>
        <w:snapToGrid w:val="0"/>
        <w:spacing w:line="360" w:lineRule="auto"/>
        <w:ind w:firstLine="420" w:firstLineChars="200"/>
        <w:rPr>
          <w:rFonts w:hint="eastAsia" w:ascii="宋体" w:hAnsi="宋体" w:eastAsia="宋体"/>
          <w:snapToGrid w:val="0"/>
          <w:kern w:val="0"/>
          <w:szCs w:val="21"/>
          <w:lang w:val="en-US" w:eastAsia="zh-CN"/>
        </w:rPr>
      </w:pPr>
      <w:r>
        <w:rPr>
          <w:rFonts w:ascii="宋体" w:hAnsi="宋体"/>
          <w:snapToGrid w:val="0"/>
          <w:kern w:val="0"/>
          <w:szCs w:val="21"/>
        </w:rPr>
        <w:t>3.4.5</w:t>
      </w:r>
      <w:r>
        <w:rPr>
          <w:rFonts w:hint="eastAsia" w:ascii="宋体" w:hAnsi="宋体"/>
          <w:snapToGrid w:val="0"/>
          <w:kern w:val="0"/>
          <w:szCs w:val="21"/>
          <w:lang w:val="en-US" w:eastAsia="zh-CN"/>
        </w:rPr>
        <w:t xml:space="preserve"> </w:t>
      </w:r>
      <w:r>
        <w:rPr>
          <w:rFonts w:hint="eastAsia" w:ascii="宋体" w:hAnsi="宋体" w:eastAsia="宋体" w:cs="宋体"/>
          <w:color w:val="auto"/>
          <w:highlight w:val="none"/>
        </w:rPr>
        <w:t>投标保证金的其他要求：</w:t>
      </w:r>
    </w:p>
    <w:p w14:paraId="3882D00F">
      <w:pPr>
        <w:tabs>
          <w:tab w:val="left" w:pos="611"/>
          <w:tab w:val="left" w:pos="669"/>
        </w:tabs>
        <w:snapToGrid w:val="0"/>
        <w:spacing w:line="360" w:lineRule="auto"/>
        <w:ind w:firstLine="420" w:firstLineChars="200"/>
        <w:rPr>
          <w:rFonts w:ascii="宋体" w:hAnsi="宋体"/>
          <w:kern w:val="0"/>
        </w:rPr>
      </w:pPr>
      <w:r>
        <w:rPr>
          <w:rFonts w:ascii="宋体" w:hAnsi="宋体"/>
          <w:kern w:val="0"/>
        </w:rPr>
        <w:t>（1）投标保证金为无条件担保；</w:t>
      </w:r>
    </w:p>
    <w:p w14:paraId="17FA2072">
      <w:pPr>
        <w:tabs>
          <w:tab w:val="left" w:pos="611"/>
          <w:tab w:val="left" w:pos="669"/>
        </w:tabs>
        <w:snapToGrid w:val="0"/>
        <w:spacing w:line="360" w:lineRule="auto"/>
        <w:ind w:firstLine="420" w:firstLineChars="200"/>
        <w:rPr>
          <w:rFonts w:ascii="宋体" w:hAnsi="宋体"/>
          <w:kern w:val="0"/>
        </w:rPr>
      </w:pPr>
      <w:r>
        <w:rPr>
          <w:rFonts w:ascii="宋体" w:hAnsi="宋体"/>
          <w:kern w:val="0"/>
        </w:rPr>
        <w:t>（2）投标保证金的受益人为招标人</w:t>
      </w:r>
      <w:r>
        <w:rPr>
          <w:rFonts w:hint="eastAsia" w:ascii="宋体" w:hAnsi="宋体"/>
          <w:kern w:val="0"/>
        </w:rPr>
        <w:t>。</w:t>
      </w:r>
    </w:p>
    <w:p w14:paraId="67D12C65">
      <w:pPr>
        <w:pStyle w:val="5"/>
        <w:keepNext w:val="0"/>
        <w:keepLines w:val="0"/>
        <w:snapToGrid w:val="0"/>
        <w:spacing w:before="0" w:after="0" w:line="360" w:lineRule="auto"/>
        <w:rPr>
          <w:rFonts w:ascii="宋体" w:hAnsi="宋体"/>
          <w:b w:val="0"/>
          <w:snapToGrid w:val="0"/>
          <w:sz w:val="24"/>
          <w:szCs w:val="24"/>
        </w:rPr>
      </w:pPr>
      <w:bookmarkStart w:id="305" w:name="_Toc287620709"/>
      <w:bookmarkStart w:id="306" w:name="_Toc277082576"/>
      <w:bookmarkStart w:id="307" w:name="_Toc509218734"/>
      <w:bookmarkStart w:id="308" w:name="_Toc16727"/>
      <w:bookmarkStart w:id="309" w:name="_Toc224103341"/>
      <w:bookmarkStart w:id="310" w:name="_Toc287607770"/>
      <w:bookmarkStart w:id="311" w:name="_Toc2848"/>
      <w:bookmarkStart w:id="312" w:name="_Toc200513150"/>
      <w:bookmarkStart w:id="313" w:name="_Toc430530459"/>
      <w:r>
        <w:rPr>
          <w:rFonts w:ascii="宋体" w:hAnsi="宋体"/>
          <w:b w:val="0"/>
          <w:snapToGrid w:val="0"/>
          <w:sz w:val="24"/>
          <w:szCs w:val="24"/>
        </w:rPr>
        <w:t>3.5  资格审查资料</w:t>
      </w:r>
      <w:bookmarkEnd w:id="305"/>
      <w:bookmarkEnd w:id="306"/>
      <w:bookmarkEnd w:id="307"/>
      <w:bookmarkEnd w:id="308"/>
      <w:bookmarkEnd w:id="309"/>
      <w:bookmarkEnd w:id="310"/>
      <w:bookmarkEnd w:id="311"/>
      <w:bookmarkEnd w:id="312"/>
      <w:bookmarkEnd w:id="313"/>
    </w:p>
    <w:p w14:paraId="6D123973">
      <w:pPr>
        <w:autoSpaceDE w:val="0"/>
        <w:autoSpaceDN w:val="0"/>
        <w:adjustRightInd w:val="0"/>
        <w:snapToGrid w:val="0"/>
        <w:spacing w:line="360" w:lineRule="auto"/>
        <w:ind w:left="103" w:leftChars="49" w:right="37" w:firstLine="420" w:firstLineChars="200"/>
        <w:rPr>
          <w:rFonts w:ascii="宋体" w:hAnsi="宋体"/>
          <w:szCs w:val="21"/>
        </w:rPr>
      </w:pPr>
      <w:r>
        <w:rPr>
          <w:rFonts w:ascii="宋体" w:hAnsi="宋体"/>
          <w:szCs w:val="21"/>
        </w:rPr>
        <w:t>投标人</w:t>
      </w:r>
      <w:r>
        <w:rPr>
          <w:rFonts w:hint="eastAsia" w:ascii="宋体" w:hAnsi="宋体"/>
          <w:szCs w:val="21"/>
        </w:rPr>
        <w:t>应附</w:t>
      </w:r>
      <w:r>
        <w:rPr>
          <w:rFonts w:hint="eastAsia" w:ascii="宋体" w:hAnsi="宋体"/>
          <w:kern w:val="0"/>
          <w:szCs w:val="21"/>
        </w:rPr>
        <w:t>投标人须知前附表第1</w:t>
      </w:r>
      <w:r>
        <w:rPr>
          <w:rFonts w:ascii="宋体" w:hAnsi="宋体"/>
          <w:kern w:val="0"/>
          <w:szCs w:val="21"/>
        </w:rPr>
        <w:t>.4.1项</w:t>
      </w:r>
      <w:r>
        <w:rPr>
          <w:rFonts w:hint="eastAsia" w:ascii="宋体" w:hAnsi="宋体"/>
          <w:kern w:val="0"/>
          <w:szCs w:val="21"/>
        </w:rPr>
        <w:t>中要求的相关证明材料</w:t>
      </w:r>
      <w:r>
        <w:rPr>
          <w:rFonts w:ascii="宋体" w:hAnsi="宋体"/>
          <w:szCs w:val="21"/>
        </w:rPr>
        <w:t>。</w:t>
      </w:r>
    </w:p>
    <w:p w14:paraId="263F3C9C">
      <w:pPr>
        <w:autoSpaceDE w:val="0"/>
        <w:autoSpaceDN w:val="0"/>
        <w:adjustRightInd w:val="0"/>
        <w:snapToGrid w:val="0"/>
        <w:spacing w:line="360" w:lineRule="auto"/>
        <w:ind w:left="103" w:leftChars="49" w:right="37" w:firstLine="420" w:firstLineChars="200"/>
        <w:rPr>
          <w:rFonts w:ascii="宋体" w:hAnsi="宋体"/>
          <w:snapToGrid w:val="0"/>
          <w:kern w:val="0"/>
          <w:szCs w:val="21"/>
        </w:rPr>
      </w:pPr>
      <w:r>
        <w:rPr>
          <w:rFonts w:hint="eastAsia" w:ascii="宋体" w:hAnsi="宋体"/>
          <w:snapToGrid w:val="0"/>
          <w:kern w:val="0"/>
          <w:szCs w:val="21"/>
        </w:rPr>
        <w:t>投标人须知前附表规定接受联合体投标的，详见投标人须知前附表联合体投标相关内容。</w:t>
      </w:r>
    </w:p>
    <w:p w14:paraId="24A0217D">
      <w:pPr>
        <w:pStyle w:val="5"/>
        <w:snapToGrid w:val="0"/>
        <w:spacing w:before="0" w:after="0" w:line="360" w:lineRule="auto"/>
        <w:rPr>
          <w:rFonts w:ascii="宋体" w:hAnsi="宋体"/>
          <w:b w:val="0"/>
          <w:snapToGrid w:val="0"/>
          <w:sz w:val="24"/>
          <w:szCs w:val="24"/>
        </w:rPr>
      </w:pPr>
      <w:bookmarkStart w:id="314" w:name="_Toc430530460"/>
      <w:bookmarkStart w:id="315" w:name="_Toc6300"/>
      <w:bookmarkStart w:id="316" w:name="_Toc200513151"/>
      <w:bookmarkStart w:id="317" w:name="_Toc224103342"/>
      <w:bookmarkStart w:id="318" w:name="_Toc277082577"/>
      <w:bookmarkStart w:id="319" w:name="_Toc509218735"/>
      <w:bookmarkStart w:id="320" w:name="_Toc287620710"/>
      <w:bookmarkStart w:id="321" w:name="_Toc7817"/>
      <w:bookmarkStart w:id="322" w:name="_Toc287607771"/>
      <w:r>
        <w:rPr>
          <w:rFonts w:ascii="宋体" w:hAnsi="宋体"/>
          <w:b w:val="0"/>
          <w:snapToGrid w:val="0"/>
          <w:sz w:val="24"/>
          <w:szCs w:val="24"/>
        </w:rPr>
        <w:t>3.6  备选投标方案</w:t>
      </w:r>
      <w:bookmarkEnd w:id="314"/>
      <w:bookmarkEnd w:id="315"/>
      <w:bookmarkEnd w:id="316"/>
      <w:bookmarkEnd w:id="317"/>
      <w:bookmarkEnd w:id="318"/>
      <w:bookmarkEnd w:id="319"/>
      <w:bookmarkEnd w:id="320"/>
      <w:bookmarkEnd w:id="321"/>
      <w:bookmarkEnd w:id="322"/>
    </w:p>
    <w:p w14:paraId="6B799E5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除投标人须知前附表另有规定外，投标人不得递交备选投标方案。允许投标人递交备选投标方案的，只有中标人所递交的备选投标方案方可予以考虑。评标委员会认为中标人的备 选投标方案优于其按照招标文件要求编制的投标方案的，招标人可以接受该备选投标方案。</w:t>
      </w:r>
    </w:p>
    <w:p w14:paraId="6AB1E2D1">
      <w:pPr>
        <w:pStyle w:val="5"/>
        <w:snapToGrid w:val="0"/>
        <w:spacing w:before="0" w:after="0" w:line="360" w:lineRule="auto"/>
        <w:rPr>
          <w:rFonts w:ascii="宋体" w:hAnsi="宋体"/>
          <w:b w:val="0"/>
          <w:snapToGrid w:val="0"/>
          <w:sz w:val="24"/>
          <w:szCs w:val="24"/>
        </w:rPr>
      </w:pPr>
      <w:bookmarkStart w:id="323" w:name="_Toc15887"/>
      <w:bookmarkStart w:id="324" w:name="_Toc430530461"/>
      <w:bookmarkStart w:id="325" w:name="_Toc277082578"/>
      <w:bookmarkStart w:id="326" w:name="_Toc224103343"/>
      <w:bookmarkStart w:id="327" w:name="_Toc509218736"/>
      <w:bookmarkStart w:id="328" w:name="_Toc200513152"/>
      <w:bookmarkStart w:id="329" w:name="_Toc287620711"/>
      <w:bookmarkStart w:id="330" w:name="_Toc287607772"/>
      <w:bookmarkStart w:id="331" w:name="_Toc25349"/>
      <w:r>
        <w:rPr>
          <w:rFonts w:ascii="宋体" w:hAnsi="宋体"/>
          <w:b w:val="0"/>
          <w:snapToGrid w:val="0"/>
          <w:sz w:val="24"/>
          <w:szCs w:val="24"/>
        </w:rPr>
        <w:t>3.7  投标文件的编制</w:t>
      </w:r>
      <w:bookmarkEnd w:id="323"/>
      <w:bookmarkEnd w:id="324"/>
      <w:bookmarkEnd w:id="325"/>
      <w:bookmarkEnd w:id="326"/>
      <w:bookmarkEnd w:id="327"/>
      <w:bookmarkEnd w:id="328"/>
      <w:bookmarkEnd w:id="329"/>
      <w:bookmarkEnd w:id="330"/>
      <w:bookmarkEnd w:id="331"/>
    </w:p>
    <w:p w14:paraId="063AFA5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3.7.1  投标文件应按第八章“投标文件格式”进行编写，如有必要，可以增加附页，作为投标文件的组成部分。其中，投标函附录在满足招标文件实质性要求的基础上，可以提出比招标文件要求更有利于招标人的承诺。</w:t>
      </w:r>
    </w:p>
    <w:p w14:paraId="43D55F8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3.7.2  投标文件应当对招标文件有关工期、投标有效期、质量要求、技术标准和要求、招标范围等实质性内容做出响应。</w:t>
      </w:r>
    </w:p>
    <w:p w14:paraId="6C5A5E3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 xml:space="preserve">3.7.3  </w:t>
      </w:r>
      <w:r>
        <w:rPr>
          <w:rFonts w:hint="eastAsia" w:ascii="宋体" w:hAnsi="宋体"/>
          <w:snapToGrid w:val="0"/>
          <w:kern w:val="0"/>
          <w:position w:val="-2"/>
          <w:szCs w:val="21"/>
        </w:rPr>
        <w:t>投标文件的签名盖章要求：按本章投标人须知前附表第3.7.3项执行。</w:t>
      </w:r>
    </w:p>
    <w:p w14:paraId="0FBDE6C9">
      <w:pPr>
        <w:autoSpaceDE w:val="0"/>
        <w:autoSpaceDN w:val="0"/>
        <w:adjustRightInd w:val="0"/>
        <w:snapToGrid w:val="0"/>
        <w:spacing w:line="360" w:lineRule="auto"/>
        <w:ind w:right="-164" w:firstLine="420" w:firstLineChars="200"/>
        <w:rPr>
          <w:rFonts w:ascii="宋体" w:hAnsi="宋体"/>
          <w:snapToGrid w:val="0"/>
          <w:kern w:val="0"/>
          <w:szCs w:val="21"/>
        </w:rPr>
      </w:pPr>
      <w:r>
        <w:rPr>
          <w:rFonts w:ascii="宋体" w:hAnsi="宋体"/>
          <w:snapToGrid w:val="0"/>
          <w:kern w:val="0"/>
          <w:szCs w:val="21"/>
        </w:rPr>
        <w:t xml:space="preserve">3.7.4  </w:t>
      </w:r>
      <w:r>
        <w:rPr>
          <w:rFonts w:hint="eastAsia" w:ascii="宋体" w:hAnsi="宋体"/>
          <w:snapToGrid w:val="0"/>
          <w:kern w:val="0"/>
          <w:szCs w:val="21"/>
        </w:rPr>
        <w:t>投标文件份数：</w:t>
      </w:r>
      <w:r>
        <w:rPr>
          <w:rFonts w:hint="eastAsia" w:ascii="宋体" w:hAnsi="宋体"/>
          <w:kern w:val="0"/>
          <w:szCs w:val="21"/>
        </w:rPr>
        <w:t>投标人网上提交加密投标文件一份</w:t>
      </w:r>
      <w:r>
        <w:rPr>
          <w:rFonts w:ascii="宋体" w:hAnsi="宋体"/>
          <w:kern w:val="0"/>
          <w:szCs w:val="21"/>
        </w:rPr>
        <w:t>。</w:t>
      </w:r>
    </w:p>
    <w:p w14:paraId="77AEA28E">
      <w:pPr>
        <w:autoSpaceDE w:val="0"/>
        <w:autoSpaceDN w:val="0"/>
        <w:adjustRightInd w:val="0"/>
        <w:snapToGrid w:val="0"/>
        <w:spacing w:line="360" w:lineRule="auto"/>
        <w:ind w:right="-109" w:firstLine="420" w:firstLineChars="200"/>
        <w:rPr>
          <w:rFonts w:ascii="宋体" w:hAnsi="宋体"/>
          <w:snapToGrid w:val="0"/>
          <w:kern w:val="0"/>
          <w:szCs w:val="21"/>
        </w:rPr>
      </w:pPr>
      <w:r>
        <w:rPr>
          <w:rFonts w:ascii="宋体" w:hAnsi="宋体"/>
          <w:snapToGrid w:val="0"/>
          <w:kern w:val="0"/>
          <w:szCs w:val="21"/>
        </w:rPr>
        <w:t>3.7.5  投标文件</w:t>
      </w:r>
      <w:r>
        <w:rPr>
          <w:rFonts w:hint="eastAsia" w:ascii="宋体" w:hAnsi="宋体"/>
          <w:snapToGrid w:val="0"/>
          <w:kern w:val="0"/>
          <w:szCs w:val="21"/>
        </w:rPr>
        <w:t>应按规定格式排版</w:t>
      </w:r>
      <w:r>
        <w:rPr>
          <w:rFonts w:ascii="宋体" w:hAnsi="宋体"/>
          <w:snapToGrid w:val="0"/>
          <w:kern w:val="0"/>
          <w:szCs w:val="21"/>
        </w:rPr>
        <w:t>，并编制目录，具体</w:t>
      </w:r>
      <w:r>
        <w:rPr>
          <w:rFonts w:hint="eastAsia" w:ascii="宋体" w:hAnsi="宋体"/>
          <w:snapToGrid w:val="0"/>
          <w:kern w:val="0"/>
          <w:szCs w:val="21"/>
        </w:rPr>
        <w:t>编制</w:t>
      </w:r>
      <w:r>
        <w:rPr>
          <w:rFonts w:ascii="宋体" w:hAnsi="宋体"/>
          <w:snapToGrid w:val="0"/>
          <w:kern w:val="0"/>
          <w:szCs w:val="21"/>
        </w:rPr>
        <w:t>要求见投标人须知前附表规定。</w:t>
      </w:r>
    </w:p>
    <w:p w14:paraId="7B0129E1">
      <w:pPr>
        <w:pStyle w:val="4"/>
        <w:keepNext w:val="0"/>
        <w:keepLines w:val="0"/>
        <w:spacing w:before="0" w:after="0" w:line="360" w:lineRule="auto"/>
        <w:rPr>
          <w:rFonts w:ascii="宋体" w:hAnsi="宋体"/>
          <w:b w:val="0"/>
          <w:snapToGrid w:val="0"/>
        </w:rPr>
      </w:pPr>
      <w:bookmarkStart w:id="332" w:name="_Toc287607773"/>
      <w:bookmarkStart w:id="333" w:name="_Toc13041"/>
      <w:bookmarkStart w:id="334" w:name="_Toc509218737"/>
      <w:bookmarkStart w:id="335" w:name="_Toc224103344"/>
      <w:bookmarkStart w:id="336" w:name="_Toc277082579"/>
      <w:bookmarkStart w:id="337" w:name="_Toc430530462"/>
      <w:bookmarkStart w:id="338" w:name="_Toc287620712"/>
      <w:bookmarkStart w:id="339" w:name="_Toc200513153"/>
      <w:bookmarkStart w:id="340" w:name="_Toc20108"/>
      <w:r>
        <w:rPr>
          <w:rFonts w:ascii="宋体" w:hAnsi="宋体"/>
          <w:b w:val="0"/>
          <w:snapToGrid w:val="0"/>
        </w:rPr>
        <w:t>4.  投标</w:t>
      </w:r>
      <w:bookmarkEnd w:id="332"/>
      <w:bookmarkEnd w:id="333"/>
      <w:bookmarkEnd w:id="334"/>
      <w:bookmarkEnd w:id="335"/>
      <w:bookmarkEnd w:id="336"/>
      <w:bookmarkEnd w:id="337"/>
      <w:bookmarkEnd w:id="338"/>
      <w:bookmarkEnd w:id="339"/>
      <w:bookmarkEnd w:id="340"/>
    </w:p>
    <w:p w14:paraId="1699233B">
      <w:pPr>
        <w:pStyle w:val="5"/>
        <w:keepNext w:val="0"/>
        <w:keepLines w:val="0"/>
        <w:snapToGrid w:val="0"/>
        <w:spacing w:before="0" w:after="0" w:line="360" w:lineRule="auto"/>
        <w:rPr>
          <w:rFonts w:ascii="宋体" w:hAnsi="宋体"/>
          <w:b w:val="0"/>
          <w:snapToGrid w:val="0"/>
          <w:sz w:val="24"/>
          <w:szCs w:val="24"/>
        </w:rPr>
      </w:pPr>
      <w:bookmarkStart w:id="341" w:name="_Toc224103345"/>
      <w:bookmarkStart w:id="342" w:name="_Toc430530463"/>
      <w:bookmarkStart w:id="343" w:name="_Toc30667"/>
      <w:bookmarkStart w:id="344" w:name="_Toc200513154"/>
      <w:bookmarkStart w:id="345" w:name="_Toc287620713"/>
      <w:bookmarkStart w:id="346" w:name="_Toc277082580"/>
      <w:bookmarkStart w:id="347" w:name="_Toc14708"/>
      <w:bookmarkStart w:id="348" w:name="_Toc509218738"/>
      <w:bookmarkStart w:id="349" w:name="_Toc287607774"/>
      <w:r>
        <w:rPr>
          <w:rFonts w:ascii="宋体" w:hAnsi="宋体"/>
          <w:b w:val="0"/>
          <w:snapToGrid w:val="0"/>
          <w:sz w:val="24"/>
          <w:szCs w:val="24"/>
        </w:rPr>
        <w:t>4.1  投标文件的密封和标记</w:t>
      </w:r>
      <w:bookmarkEnd w:id="341"/>
      <w:bookmarkEnd w:id="342"/>
      <w:bookmarkEnd w:id="343"/>
      <w:bookmarkEnd w:id="344"/>
      <w:bookmarkEnd w:id="345"/>
      <w:bookmarkEnd w:id="346"/>
      <w:bookmarkEnd w:id="347"/>
      <w:bookmarkEnd w:id="348"/>
      <w:bookmarkEnd w:id="349"/>
    </w:p>
    <w:p w14:paraId="4856D2F5">
      <w:pPr>
        <w:autoSpaceDE w:val="0"/>
        <w:autoSpaceDN w:val="0"/>
        <w:adjustRightInd w:val="0"/>
        <w:snapToGrid w:val="0"/>
        <w:spacing w:line="360" w:lineRule="auto"/>
        <w:ind w:firstLine="420" w:firstLineChars="200"/>
        <w:rPr>
          <w:rFonts w:ascii="宋体" w:hAnsi="宋体"/>
          <w:snapToGrid w:val="0"/>
          <w:kern w:val="0"/>
          <w:szCs w:val="21"/>
        </w:rPr>
      </w:pPr>
      <w:bookmarkStart w:id="350" w:name="_Toc200513155"/>
      <w:r>
        <w:rPr>
          <w:rFonts w:ascii="宋体" w:hAnsi="宋体"/>
          <w:snapToGrid w:val="0"/>
          <w:kern w:val="0"/>
          <w:szCs w:val="21"/>
        </w:rPr>
        <w:t>4.1.1  投标文件的密封</w:t>
      </w:r>
      <w:r>
        <w:rPr>
          <w:rFonts w:hint="eastAsia" w:ascii="宋体" w:hAnsi="宋体"/>
          <w:snapToGrid w:val="0"/>
          <w:kern w:val="0"/>
          <w:szCs w:val="21"/>
        </w:rPr>
        <w:t>：</w:t>
      </w:r>
      <w:r>
        <w:rPr>
          <w:rFonts w:ascii="宋体" w:hAnsi="宋体"/>
          <w:snapToGrid w:val="0"/>
          <w:kern w:val="0"/>
          <w:szCs w:val="21"/>
        </w:rPr>
        <w:t>见投标人须知前附表。</w:t>
      </w:r>
    </w:p>
    <w:p w14:paraId="147180C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4.1.2  投标文件的封套上应写明的内容</w:t>
      </w:r>
      <w:r>
        <w:rPr>
          <w:rFonts w:hint="eastAsia" w:ascii="宋体" w:hAnsi="宋体"/>
          <w:snapToGrid w:val="0"/>
          <w:kern w:val="0"/>
          <w:szCs w:val="21"/>
        </w:rPr>
        <w:t>：</w:t>
      </w:r>
      <w:r>
        <w:rPr>
          <w:rFonts w:ascii="宋体" w:hAnsi="宋体"/>
          <w:snapToGrid w:val="0"/>
          <w:kern w:val="0"/>
          <w:szCs w:val="21"/>
        </w:rPr>
        <w:t>见投标人须知前附表。</w:t>
      </w:r>
    </w:p>
    <w:p w14:paraId="232EFE36">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4.1.3  电子投标文件的加密</w:t>
      </w:r>
    </w:p>
    <w:p w14:paraId="63F806AC">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加密的电子投标文件应按照本章</w:t>
      </w:r>
      <w:r>
        <w:rPr>
          <w:rFonts w:ascii="宋体" w:hAnsi="宋体"/>
          <w:snapToGrid w:val="0"/>
          <w:kern w:val="0"/>
          <w:szCs w:val="21"/>
        </w:rPr>
        <w:t>投标人须知前附表</w:t>
      </w:r>
      <w:r>
        <w:rPr>
          <w:rFonts w:hint="eastAsia" w:ascii="宋体" w:hAnsi="宋体"/>
          <w:snapToGrid w:val="0"/>
          <w:kern w:val="0"/>
          <w:szCs w:val="21"/>
        </w:rPr>
        <w:t>第</w:t>
      </w:r>
      <w:r>
        <w:rPr>
          <w:rFonts w:hint="eastAsia" w:ascii="宋体" w:hAnsi="宋体"/>
          <w:snapToGrid w:val="0"/>
          <w:kern w:val="0"/>
          <w:szCs w:val="21"/>
          <w:lang w:val="en-US" w:eastAsia="zh-CN"/>
        </w:rPr>
        <w:t>10.6款相关</w:t>
      </w:r>
      <w:r>
        <w:rPr>
          <w:rFonts w:hint="eastAsia" w:ascii="宋体" w:hAnsi="宋体"/>
          <w:snapToGrid w:val="0"/>
          <w:kern w:val="0"/>
          <w:szCs w:val="21"/>
        </w:rPr>
        <w:t>要求制作并加密，未按要求加密的电子投标文件，将无法上传至重庆市电子招投标系统，逾期未完成上传投标文件的，视为撤回投标文件。</w:t>
      </w:r>
    </w:p>
    <w:p w14:paraId="17C9A8D5">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4.1.4  不加密电子投标文件的密封</w:t>
      </w:r>
    </w:p>
    <w:p w14:paraId="7775DAE8">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投标人如需递交不加密电子投标文件（光盘备份）应单独封装，并在封套的封口处加盖投标人单位法人章。</w:t>
      </w:r>
    </w:p>
    <w:p w14:paraId="7EE7A2A8">
      <w:pPr>
        <w:pStyle w:val="5"/>
        <w:keepNext w:val="0"/>
        <w:keepLines w:val="0"/>
        <w:snapToGrid w:val="0"/>
        <w:spacing w:before="0" w:after="0" w:line="360" w:lineRule="auto"/>
        <w:rPr>
          <w:rFonts w:ascii="宋体" w:hAnsi="宋体"/>
          <w:b w:val="0"/>
          <w:snapToGrid w:val="0"/>
          <w:sz w:val="24"/>
          <w:szCs w:val="24"/>
        </w:rPr>
      </w:pPr>
      <w:bookmarkStart w:id="351" w:name="_Toc287620714"/>
      <w:bookmarkStart w:id="352" w:name="_Toc9972"/>
      <w:bookmarkStart w:id="353" w:name="_Toc277082581"/>
      <w:bookmarkStart w:id="354" w:name="_Toc224103346"/>
      <w:bookmarkStart w:id="355" w:name="_Toc1329"/>
      <w:bookmarkStart w:id="356" w:name="_Toc287607775"/>
      <w:bookmarkStart w:id="357" w:name="_Toc509218739"/>
      <w:bookmarkStart w:id="358" w:name="_Toc430530464"/>
      <w:r>
        <w:rPr>
          <w:rFonts w:ascii="宋体" w:hAnsi="宋体"/>
          <w:b w:val="0"/>
          <w:snapToGrid w:val="0"/>
          <w:sz w:val="24"/>
          <w:szCs w:val="24"/>
        </w:rPr>
        <w:t>4.2  投标文件的递交</w:t>
      </w:r>
      <w:bookmarkEnd w:id="350"/>
      <w:bookmarkEnd w:id="351"/>
      <w:bookmarkEnd w:id="352"/>
      <w:bookmarkEnd w:id="353"/>
      <w:bookmarkEnd w:id="354"/>
      <w:bookmarkEnd w:id="355"/>
      <w:bookmarkEnd w:id="356"/>
      <w:bookmarkEnd w:id="357"/>
      <w:bookmarkEnd w:id="358"/>
    </w:p>
    <w:p w14:paraId="4B8AD5B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4.2.1  投标人应在投标人须知前附表第 2.2.2 项规定的投标截止时间前递交投标文件。</w:t>
      </w:r>
    </w:p>
    <w:p w14:paraId="5534A86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4.2.2  投标人递交投标文件的地点：见投标人须知前附表。</w:t>
      </w:r>
    </w:p>
    <w:p w14:paraId="385E83F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4.2.3  除投标人须知前附表另有规定外，投标人所递交的投标文件不予退还。</w:t>
      </w:r>
    </w:p>
    <w:p w14:paraId="6F00CE8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4.2.4  招标人收到投标文件后，由</w:t>
      </w:r>
      <w:r>
        <w:rPr>
          <w:rFonts w:hint="eastAsia" w:ascii="宋体" w:hAnsi="宋体" w:cs="宋体"/>
          <w:szCs w:val="21"/>
        </w:rPr>
        <w:t>重庆市电子招投标系统</w:t>
      </w:r>
      <w:r>
        <w:rPr>
          <w:rFonts w:ascii="宋体" w:hAnsi="宋体"/>
          <w:snapToGrid w:val="0"/>
          <w:kern w:val="0"/>
          <w:szCs w:val="21"/>
        </w:rPr>
        <w:t>向投标人出具签收凭证。</w:t>
      </w:r>
    </w:p>
    <w:p w14:paraId="4954115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4.2.5  逾期送达的或者未送达指定地点的投标文件，招标人不予受理。</w:t>
      </w:r>
    </w:p>
    <w:p w14:paraId="04F4E432">
      <w:pPr>
        <w:pStyle w:val="5"/>
        <w:keepNext w:val="0"/>
        <w:keepLines w:val="0"/>
        <w:snapToGrid w:val="0"/>
        <w:spacing w:before="0" w:after="0" w:line="360" w:lineRule="auto"/>
        <w:rPr>
          <w:rFonts w:ascii="宋体" w:hAnsi="宋体"/>
          <w:b w:val="0"/>
          <w:snapToGrid w:val="0"/>
          <w:sz w:val="24"/>
          <w:szCs w:val="24"/>
        </w:rPr>
      </w:pPr>
      <w:bookmarkStart w:id="359" w:name="_Toc224103347"/>
      <w:bookmarkStart w:id="360" w:name="_Toc13779"/>
      <w:bookmarkStart w:id="361" w:name="_Toc509218740"/>
      <w:bookmarkStart w:id="362" w:name="_Toc430530465"/>
      <w:bookmarkStart w:id="363" w:name="_Toc287620715"/>
      <w:bookmarkStart w:id="364" w:name="_Toc277082582"/>
      <w:bookmarkStart w:id="365" w:name="_Toc287607776"/>
      <w:bookmarkStart w:id="366" w:name="_Toc200513156"/>
      <w:bookmarkStart w:id="367" w:name="_Toc28608"/>
      <w:r>
        <w:rPr>
          <w:rFonts w:ascii="宋体" w:hAnsi="宋体"/>
          <w:b w:val="0"/>
          <w:snapToGrid w:val="0"/>
          <w:sz w:val="24"/>
          <w:szCs w:val="24"/>
        </w:rPr>
        <w:t>4.3  投标文件的修改与撤回</w:t>
      </w:r>
      <w:bookmarkEnd w:id="359"/>
      <w:bookmarkEnd w:id="360"/>
      <w:bookmarkEnd w:id="361"/>
      <w:bookmarkEnd w:id="362"/>
      <w:bookmarkEnd w:id="363"/>
      <w:bookmarkEnd w:id="364"/>
      <w:bookmarkEnd w:id="365"/>
      <w:bookmarkEnd w:id="366"/>
      <w:bookmarkEnd w:id="367"/>
    </w:p>
    <w:p w14:paraId="700BD5C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4.3.1  在投标人须知前附表第2.2.2项规定的投标截止时间前，投标人可以修改或撤回已递交的投标文件。</w:t>
      </w:r>
      <w:r>
        <w:rPr>
          <w:rFonts w:hint="eastAsia" w:ascii="宋体" w:hAnsi="宋体" w:cs="宋体"/>
          <w:szCs w:val="21"/>
        </w:rPr>
        <w:t>投标人修改投标文件的，应按照本章第 3.7.3 项的要求重新对投标文件进行电子签章，再按照本章第 4.2 款的要求提交。</w:t>
      </w:r>
    </w:p>
    <w:p w14:paraId="4AC5EF2D">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4.3.2  投标人对加密的电子投标文件进行撤回的，在重庆市电子招投标系统直接进行撤回操作；任何情况下，投标人都有义务保证其递交的加密的电子投标文件和不加密电子投标文件（光盘备份）的内容保持一致，否则造成的后果由投标人自行承担。</w:t>
      </w:r>
    </w:p>
    <w:p w14:paraId="30B533AC">
      <w:pPr>
        <w:pStyle w:val="4"/>
        <w:keepNext w:val="0"/>
        <w:keepLines w:val="0"/>
        <w:spacing w:before="0" w:after="0" w:line="360" w:lineRule="auto"/>
        <w:rPr>
          <w:rFonts w:ascii="宋体" w:hAnsi="宋体"/>
          <w:b w:val="0"/>
          <w:snapToGrid w:val="0"/>
        </w:rPr>
      </w:pPr>
      <w:bookmarkStart w:id="368" w:name="_Toc19876"/>
      <w:bookmarkStart w:id="369" w:name="_Toc4955"/>
      <w:bookmarkStart w:id="370" w:name="_Toc287607777"/>
      <w:bookmarkStart w:id="371" w:name="_Toc287620716"/>
      <w:bookmarkStart w:id="372" w:name="_Toc430530466"/>
      <w:bookmarkStart w:id="373" w:name="_Toc509218741"/>
      <w:bookmarkStart w:id="374" w:name="_Toc224103348"/>
      <w:bookmarkStart w:id="375" w:name="_Toc277082583"/>
      <w:bookmarkStart w:id="376" w:name="_Toc200513157"/>
      <w:r>
        <w:rPr>
          <w:rFonts w:ascii="宋体" w:hAnsi="宋体"/>
          <w:b w:val="0"/>
          <w:snapToGrid w:val="0"/>
        </w:rPr>
        <w:t>5.  开标</w:t>
      </w:r>
      <w:bookmarkEnd w:id="368"/>
      <w:bookmarkEnd w:id="369"/>
      <w:bookmarkEnd w:id="370"/>
      <w:bookmarkEnd w:id="371"/>
      <w:bookmarkEnd w:id="372"/>
      <w:bookmarkEnd w:id="373"/>
      <w:bookmarkEnd w:id="374"/>
      <w:bookmarkEnd w:id="375"/>
      <w:bookmarkEnd w:id="376"/>
    </w:p>
    <w:p w14:paraId="41F8871F">
      <w:pPr>
        <w:pStyle w:val="5"/>
        <w:keepNext w:val="0"/>
        <w:keepLines w:val="0"/>
        <w:snapToGrid w:val="0"/>
        <w:spacing w:before="0" w:after="0" w:line="360" w:lineRule="auto"/>
        <w:rPr>
          <w:rFonts w:ascii="宋体" w:hAnsi="宋体"/>
          <w:b w:val="0"/>
          <w:snapToGrid w:val="0"/>
          <w:sz w:val="24"/>
          <w:szCs w:val="24"/>
        </w:rPr>
      </w:pPr>
      <w:bookmarkStart w:id="377" w:name="_Toc509218742"/>
      <w:bookmarkStart w:id="378" w:name="_Toc224103349"/>
      <w:bookmarkStart w:id="379" w:name="_Toc287620717"/>
      <w:bookmarkStart w:id="380" w:name="_Toc200513158"/>
      <w:bookmarkStart w:id="381" w:name="_Toc430530467"/>
      <w:bookmarkStart w:id="382" w:name="_Toc1678"/>
      <w:bookmarkStart w:id="383" w:name="_Toc287607778"/>
      <w:bookmarkStart w:id="384" w:name="_Toc277082584"/>
      <w:bookmarkStart w:id="385" w:name="_Toc32425"/>
      <w:r>
        <w:rPr>
          <w:rFonts w:ascii="宋体" w:hAnsi="宋体"/>
          <w:b w:val="0"/>
          <w:snapToGrid w:val="0"/>
          <w:sz w:val="24"/>
          <w:szCs w:val="24"/>
        </w:rPr>
        <w:t>5.1  开标时间和地点</w:t>
      </w:r>
      <w:bookmarkEnd w:id="377"/>
      <w:bookmarkEnd w:id="378"/>
      <w:bookmarkEnd w:id="379"/>
      <w:bookmarkEnd w:id="380"/>
      <w:bookmarkEnd w:id="381"/>
      <w:bookmarkEnd w:id="382"/>
      <w:bookmarkEnd w:id="383"/>
      <w:bookmarkEnd w:id="384"/>
      <w:bookmarkEnd w:id="385"/>
    </w:p>
    <w:p w14:paraId="36BAC095">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 xml:space="preserve">5.1.1  </w:t>
      </w:r>
      <w:r>
        <w:rPr>
          <w:rFonts w:ascii="宋体" w:hAnsi="宋体"/>
          <w:snapToGrid w:val="0"/>
          <w:kern w:val="0"/>
          <w:szCs w:val="21"/>
        </w:rPr>
        <w:t>招标人在投标人须知前附表第 2.2.2 项规定的投标截止时间（开标时间）和投标人须知前附表规定的地点公开开标，并邀请所有投标人的法定代表人或其委托代理人准时参加。</w:t>
      </w:r>
    </w:p>
    <w:p w14:paraId="5A259A84">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5.1.2  投标人在投标人须知前附表第 5.1.2 项规定的解密时间内在线或到开标现场完成投标文件解密工作。</w:t>
      </w:r>
    </w:p>
    <w:p w14:paraId="197D33F0">
      <w:pPr>
        <w:pStyle w:val="5"/>
        <w:keepNext w:val="0"/>
        <w:keepLines w:val="0"/>
        <w:snapToGrid w:val="0"/>
        <w:spacing w:before="0" w:after="0" w:line="360" w:lineRule="auto"/>
        <w:rPr>
          <w:rFonts w:ascii="宋体" w:hAnsi="宋体"/>
          <w:b w:val="0"/>
          <w:snapToGrid w:val="0"/>
          <w:sz w:val="24"/>
          <w:szCs w:val="24"/>
        </w:rPr>
      </w:pPr>
      <w:bookmarkStart w:id="386" w:name="_Toc277082585"/>
      <w:bookmarkStart w:id="387" w:name="_Toc287607779"/>
      <w:bookmarkStart w:id="388" w:name="_Toc287620718"/>
      <w:bookmarkStart w:id="389" w:name="_Toc200513159"/>
      <w:bookmarkStart w:id="390" w:name="_Toc430530468"/>
      <w:bookmarkStart w:id="391" w:name="_Toc509218743"/>
      <w:bookmarkStart w:id="392" w:name="_Toc12729"/>
      <w:bookmarkStart w:id="393" w:name="_Toc224103350"/>
      <w:bookmarkStart w:id="394" w:name="_Toc31363"/>
      <w:r>
        <w:rPr>
          <w:rFonts w:ascii="宋体" w:hAnsi="宋体"/>
          <w:b w:val="0"/>
          <w:snapToGrid w:val="0"/>
          <w:sz w:val="24"/>
          <w:szCs w:val="24"/>
        </w:rPr>
        <w:t>5.2  开标程序</w:t>
      </w:r>
      <w:bookmarkEnd w:id="386"/>
      <w:bookmarkEnd w:id="387"/>
      <w:bookmarkEnd w:id="388"/>
      <w:bookmarkEnd w:id="389"/>
      <w:bookmarkEnd w:id="390"/>
      <w:bookmarkEnd w:id="391"/>
      <w:bookmarkEnd w:id="392"/>
      <w:bookmarkEnd w:id="393"/>
      <w:bookmarkEnd w:id="394"/>
    </w:p>
    <w:p w14:paraId="122AEC7B">
      <w:pPr>
        <w:autoSpaceDE w:val="0"/>
        <w:autoSpaceDN w:val="0"/>
        <w:adjustRightInd w:val="0"/>
        <w:snapToGrid w:val="0"/>
        <w:spacing w:line="360" w:lineRule="auto"/>
        <w:ind w:firstLine="420" w:firstLineChars="200"/>
        <w:rPr>
          <w:rFonts w:ascii="宋体" w:hAnsi="宋体"/>
          <w:szCs w:val="21"/>
        </w:rPr>
      </w:pPr>
      <w:bookmarkStart w:id="395" w:name="_Toc224103351"/>
      <w:bookmarkStart w:id="396" w:name="_Toc277082586"/>
      <w:bookmarkStart w:id="397" w:name="_Toc287607780"/>
      <w:bookmarkStart w:id="398" w:name="_Toc200513160"/>
      <w:bookmarkStart w:id="399" w:name="_Toc287620719"/>
      <w:r>
        <w:rPr>
          <w:rFonts w:ascii="宋体" w:hAnsi="宋体"/>
          <w:szCs w:val="21"/>
        </w:rPr>
        <w:t>详见投标人须知前附表第5.2款开标程序。</w:t>
      </w:r>
    </w:p>
    <w:p w14:paraId="3BA5A212">
      <w:pPr>
        <w:pStyle w:val="5"/>
        <w:keepNext w:val="0"/>
        <w:keepLines w:val="0"/>
        <w:snapToGrid w:val="0"/>
        <w:spacing w:before="0" w:after="0" w:line="360" w:lineRule="auto"/>
        <w:rPr>
          <w:rFonts w:ascii="宋体" w:hAnsi="宋体"/>
          <w:b w:val="0"/>
          <w:snapToGrid w:val="0"/>
          <w:sz w:val="24"/>
          <w:szCs w:val="24"/>
        </w:rPr>
      </w:pPr>
      <w:bookmarkStart w:id="400" w:name="_Toc12630"/>
      <w:bookmarkStart w:id="401" w:name="_Toc1390"/>
      <w:r>
        <w:rPr>
          <w:rFonts w:ascii="宋体" w:hAnsi="宋体"/>
          <w:b w:val="0"/>
          <w:snapToGrid w:val="0"/>
          <w:sz w:val="24"/>
          <w:szCs w:val="24"/>
        </w:rPr>
        <w:t>5.</w:t>
      </w:r>
      <w:r>
        <w:rPr>
          <w:rFonts w:hint="eastAsia" w:ascii="宋体" w:hAnsi="宋体"/>
          <w:b w:val="0"/>
          <w:snapToGrid w:val="0"/>
          <w:sz w:val="24"/>
          <w:szCs w:val="24"/>
        </w:rPr>
        <w:t>3</w:t>
      </w:r>
      <w:r>
        <w:rPr>
          <w:rFonts w:ascii="宋体" w:hAnsi="宋体"/>
          <w:b w:val="0"/>
          <w:snapToGrid w:val="0"/>
          <w:sz w:val="24"/>
          <w:szCs w:val="24"/>
        </w:rPr>
        <w:t xml:space="preserve">  </w:t>
      </w:r>
      <w:r>
        <w:rPr>
          <w:rFonts w:hint="eastAsia" w:ascii="宋体" w:hAnsi="宋体"/>
          <w:b w:val="0"/>
          <w:snapToGrid w:val="0"/>
          <w:sz w:val="24"/>
          <w:szCs w:val="24"/>
        </w:rPr>
        <w:t>开标异议</w:t>
      </w:r>
      <w:bookmarkEnd w:id="400"/>
      <w:bookmarkEnd w:id="401"/>
    </w:p>
    <w:p w14:paraId="5CDB7796">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投标人对开标有异议的，应在开标现场或在线（不见面开标适用）提出，开标现场提出异议的，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szCs w:val="21"/>
        </w:rPr>
        <w:t>。</w:t>
      </w:r>
    </w:p>
    <w:p w14:paraId="741B7944">
      <w:pPr>
        <w:pStyle w:val="4"/>
        <w:keepNext w:val="0"/>
        <w:keepLines w:val="0"/>
        <w:spacing w:before="0" w:after="0" w:line="360" w:lineRule="auto"/>
        <w:rPr>
          <w:rFonts w:ascii="宋体" w:hAnsi="宋体"/>
          <w:b w:val="0"/>
          <w:snapToGrid w:val="0"/>
        </w:rPr>
      </w:pPr>
      <w:bookmarkStart w:id="402" w:name="_Toc17889"/>
      <w:bookmarkStart w:id="403" w:name="_Toc8875"/>
      <w:bookmarkStart w:id="404" w:name="_Toc509218744"/>
      <w:bookmarkStart w:id="405" w:name="_Toc430530469"/>
      <w:r>
        <w:rPr>
          <w:rFonts w:ascii="宋体" w:hAnsi="宋体"/>
          <w:b w:val="0"/>
          <w:snapToGrid w:val="0"/>
        </w:rPr>
        <w:t>6.  评标</w:t>
      </w:r>
      <w:bookmarkEnd w:id="395"/>
      <w:bookmarkEnd w:id="396"/>
      <w:bookmarkEnd w:id="397"/>
      <w:bookmarkEnd w:id="398"/>
      <w:bookmarkEnd w:id="399"/>
      <w:bookmarkEnd w:id="402"/>
      <w:bookmarkEnd w:id="403"/>
      <w:bookmarkEnd w:id="404"/>
      <w:bookmarkEnd w:id="405"/>
    </w:p>
    <w:p w14:paraId="720C313C">
      <w:pPr>
        <w:pStyle w:val="5"/>
        <w:keepNext w:val="0"/>
        <w:keepLines w:val="0"/>
        <w:snapToGrid w:val="0"/>
        <w:spacing w:before="0" w:after="0" w:line="360" w:lineRule="auto"/>
        <w:rPr>
          <w:rFonts w:ascii="宋体" w:hAnsi="宋体"/>
          <w:b w:val="0"/>
          <w:snapToGrid w:val="0"/>
          <w:sz w:val="24"/>
          <w:szCs w:val="24"/>
        </w:rPr>
      </w:pPr>
      <w:bookmarkStart w:id="406" w:name="_Toc287620720"/>
      <w:bookmarkStart w:id="407" w:name="_Toc24645"/>
      <w:bookmarkStart w:id="408" w:name="_Toc430530470"/>
      <w:bookmarkStart w:id="409" w:name="_Toc509218745"/>
      <w:bookmarkStart w:id="410" w:name="_Toc224103352"/>
      <w:bookmarkStart w:id="411" w:name="_Toc3696"/>
      <w:bookmarkStart w:id="412" w:name="_Toc277082587"/>
      <w:bookmarkStart w:id="413" w:name="_Toc287607781"/>
      <w:bookmarkStart w:id="414" w:name="_Toc200513161"/>
      <w:r>
        <w:rPr>
          <w:rFonts w:ascii="宋体" w:hAnsi="宋体"/>
          <w:b w:val="0"/>
          <w:snapToGrid w:val="0"/>
          <w:sz w:val="24"/>
          <w:szCs w:val="24"/>
        </w:rPr>
        <w:t>6.1  评标委员会</w:t>
      </w:r>
      <w:bookmarkEnd w:id="406"/>
      <w:bookmarkEnd w:id="407"/>
      <w:bookmarkEnd w:id="408"/>
      <w:bookmarkEnd w:id="409"/>
      <w:bookmarkEnd w:id="410"/>
      <w:bookmarkEnd w:id="411"/>
      <w:bookmarkEnd w:id="412"/>
      <w:bookmarkEnd w:id="413"/>
      <w:bookmarkEnd w:id="414"/>
    </w:p>
    <w:p w14:paraId="6F8DE08C">
      <w:pPr>
        <w:autoSpaceDE w:val="0"/>
        <w:autoSpaceDN w:val="0"/>
        <w:adjustRightInd w:val="0"/>
        <w:snapToGrid w:val="0"/>
        <w:spacing w:line="360" w:lineRule="auto"/>
        <w:ind w:firstLine="420" w:firstLineChars="200"/>
        <w:rPr>
          <w:rFonts w:ascii="宋体" w:hAnsi="宋体"/>
          <w:b/>
          <w:snapToGrid w:val="0"/>
          <w:kern w:val="0"/>
          <w:szCs w:val="21"/>
        </w:rPr>
      </w:pPr>
      <w:r>
        <w:rPr>
          <w:rFonts w:ascii="宋体" w:hAnsi="宋体"/>
          <w:snapToGrid w:val="0"/>
          <w:kern w:val="0"/>
          <w:szCs w:val="21"/>
        </w:rPr>
        <w:t>6.1.1  评标由招标人依据法律法规和相关规范性文件组建的评标委员会负责。</w:t>
      </w:r>
    </w:p>
    <w:p w14:paraId="2A43A6C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6.1.2  评标委员会成员有下列情形之一的，应当回避：</w:t>
      </w:r>
    </w:p>
    <w:p w14:paraId="0F3AECD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（1）投标人或投标人的主要负责人的近亲属；</w:t>
      </w:r>
    </w:p>
    <w:p w14:paraId="70607B2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（2）项目主管部门或者</w:t>
      </w:r>
      <w:r>
        <w:rPr>
          <w:rFonts w:hint="eastAsia" w:ascii="宋体" w:hAnsi="宋体"/>
          <w:snapToGrid w:val="0"/>
          <w:kern w:val="0"/>
          <w:szCs w:val="21"/>
        </w:rPr>
        <w:t>项目</w:t>
      </w:r>
      <w:r>
        <w:rPr>
          <w:rFonts w:ascii="宋体" w:hAnsi="宋体"/>
          <w:snapToGrid w:val="0"/>
          <w:kern w:val="0"/>
          <w:szCs w:val="21"/>
        </w:rPr>
        <w:t>行政监督部门的人员；</w:t>
      </w:r>
    </w:p>
    <w:p w14:paraId="4159EEB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（3）与投标人有利害关系，可能影响对投标公正评审的；</w:t>
      </w:r>
    </w:p>
    <w:p w14:paraId="79015DC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（4）曾因在招标、评标以及其他与招标投标有关活动中从事违法行为而受过行政处罚或刑事处罚的</w:t>
      </w:r>
      <w:r>
        <w:rPr>
          <w:rFonts w:hint="eastAsia" w:ascii="宋体" w:hAnsi="宋体"/>
          <w:snapToGrid w:val="0"/>
          <w:kern w:val="0"/>
          <w:szCs w:val="21"/>
        </w:rPr>
        <w:t>；</w:t>
      </w:r>
    </w:p>
    <w:p w14:paraId="166764D5">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（5）法律法规规定的其他情形。</w:t>
      </w:r>
    </w:p>
    <w:p w14:paraId="6124B512">
      <w:pPr>
        <w:pStyle w:val="98"/>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22CEC9C9">
      <w:pPr>
        <w:pStyle w:val="5"/>
        <w:snapToGrid w:val="0"/>
        <w:spacing w:before="0" w:after="0" w:line="360" w:lineRule="auto"/>
        <w:rPr>
          <w:rFonts w:ascii="宋体" w:hAnsi="宋体"/>
          <w:b w:val="0"/>
          <w:snapToGrid w:val="0"/>
          <w:sz w:val="24"/>
          <w:szCs w:val="24"/>
        </w:rPr>
      </w:pPr>
      <w:bookmarkStart w:id="415" w:name="_Toc430530471"/>
      <w:bookmarkStart w:id="416" w:name="_Toc224103353"/>
      <w:bookmarkStart w:id="417" w:name="_Toc4752"/>
      <w:bookmarkStart w:id="418" w:name="_Toc509218746"/>
      <w:bookmarkStart w:id="419" w:name="_Toc277082588"/>
      <w:bookmarkStart w:id="420" w:name="_Toc200513162"/>
      <w:bookmarkStart w:id="421" w:name="_Toc18499"/>
      <w:bookmarkStart w:id="422" w:name="_Toc287607782"/>
      <w:bookmarkStart w:id="423" w:name="_Toc287620721"/>
      <w:r>
        <w:rPr>
          <w:rFonts w:ascii="宋体" w:hAnsi="宋体"/>
          <w:b w:val="0"/>
          <w:snapToGrid w:val="0"/>
          <w:sz w:val="24"/>
          <w:szCs w:val="24"/>
        </w:rPr>
        <w:t>6.2  评标原则</w:t>
      </w:r>
      <w:bookmarkEnd w:id="415"/>
      <w:bookmarkEnd w:id="416"/>
      <w:bookmarkEnd w:id="417"/>
      <w:bookmarkEnd w:id="418"/>
      <w:bookmarkEnd w:id="419"/>
      <w:bookmarkEnd w:id="420"/>
      <w:bookmarkEnd w:id="421"/>
      <w:bookmarkEnd w:id="422"/>
      <w:bookmarkEnd w:id="423"/>
    </w:p>
    <w:p w14:paraId="1A9C326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评标活动遵循公平、公正、科学和择优的原则。</w:t>
      </w:r>
    </w:p>
    <w:p w14:paraId="5EF159AB">
      <w:pPr>
        <w:pStyle w:val="5"/>
        <w:snapToGrid w:val="0"/>
        <w:spacing w:before="0" w:after="0" w:line="360" w:lineRule="auto"/>
        <w:rPr>
          <w:rFonts w:ascii="宋体" w:hAnsi="宋体"/>
          <w:b w:val="0"/>
          <w:snapToGrid w:val="0"/>
          <w:sz w:val="24"/>
          <w:szCs w:val="24"/>
        </w:rPr>
      </w:pPr>
      <w:bookmarkStart w:id="424" w:name="_Toc430530472"/>
      <w:bookmarkStart w:id="425" w:name="_Toc509218747"/>
      <w:bookmarkStart w:id="426" w:name="_Toc31031"/>
      <w:bookmarkStart w:id="427" w:name="_Toc287607783"/>
      <w:bookmarkStart w:id="428" w:name="_Toc277082589"/>
      <w:bookmarkStart w:id="429" w:name="_Toc200513163"/>
      <w:bookmarkStart w:id="430" w:name="_Toc224103354"/>
      <w:bookmarkStart w:id="431" w:name="_Toc11793"/>
      <w:bookmarkStart w:id="432" w:name="_Toc287620722"/>
      <w:r>
        <w:rPr>
          <w:rFonts w:ascii="宋体" w:hAnsi="宋体"/>
          <w:b w:val="0"/>
          <w:snapToGrid w:val="0"/>
          <w:sz w:val="24"/>
          <w:szCs w:val="24"/>
        </w:rPr>
        <w:t>6.3  评标</w:t>
      </w:r>
      <w:bookmarkEnd w:id="424"/>
      <w:bookmarkEnd w:id="425"/>
      <w:bookmarkEnd w:id="426"/>
      <w:bookmarkEnd w:id="427"/>
      <w:bookmarkEnd w:id="428"/>
      <w:bookmarkEnd w:id="429"/>
      <w:bookmarkEnd w:id="430"/>
      <w:bookmarkEnd w:id="431"/>
      <w:bookmarkEnd w:id="432"/>
    </w:p>
    <w:p w14:paraId="6F524FA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评标委员会按照第三章“评标办法”规定的方法、评审因素、标准和程序对投标文件进行评审。第三章“评标办法”没有规定的方法、评审因素和标准，不得作为评标依据。</w:t>
      </w:r>
    </w:p>
    <w:p w14:paraId="1119A902">
      <w:pPr>
        <w:pStyle w:val="4"/>
        <w:spacing w:before="0" w:after="0" w:line="360" w:lineRule="auto"/>
        <w:rPr>
          <w:rFonts w:ascii="宋体" w:hAnsi="宋体"/>
          <w:b w:val="0"/>
          <w:snapToGrid w:val="0"/>
        </w:rPr>
      </w:pPr>
      <w:bookmarkStart w:id="433" w:name="_Toc200513164"/>
      <w:bookmarkStart w:id="434" w:name="_Toc25283"/>
      <w:bookmarkStart w:id="435" w:name="_Toc224103355"/>
      <w:bookmarkStart w:id="436" w:name="_Toc287620723"/>
      <w:bookmarkStart w:id="437" w:name="_Toc287607784"/>
      <w:bookmarkStart w:id="438" w:name="_Toc1752"/>
      <w:bookmarkStart w:id="439" w:name="_Toc509218748"/>
      <w:bookmarkStart w:id="440" w:name="_Toc430530473"/>
      <w:bookmarkStart w:id="441" w:name="_Toc277082590"/>
      <w:r>
        <w:rPr>
          <w:rFonts w:ascii="宋体" w:hAnsi="宋体"/>
          <w:b w:val="0"/>
          <w:snapToGrid w:val="0"/>
        </w:rPr>
        <w:t>7.  合同授予</w:t>
      </w:r>
      <w:bookmarkEnd w:id="433"/>
      <w:bookmarkEnd w:id="434"/>
      <w:bookmarkEnd w:id="435"/>
      <w:bookmarkEnd w:id="436"/>
      <w:bookmarkEnd w:id="437"/>
      <w:bookmarkEnd w:id="438"/>
      <w:bookmarkEnd w:id="439"/>
      <w:bookmarkEnd w:id="440"/>
      <w:bookmarkEnd w:id="441"/>
    </w:p>
    <w:p w14:paraId="548C5143">
      <w:pPr>
        <w:pStyle w:val="5"/>
        <w:snapToGrid w:val="0"/>
        <w:spacing w:before="0" w:after="0" w:line="360" w:lineRule="auto"/>
        <w:rPr>
          <w:rFonts w:ascii="宋体" w:hAnsi="宋体"/>
          <w:b w:val="0"/>
          <w:snapToGrid w:val="0"/>
          <w:sz w:val="24"/>
          <w:szCs w:val="24"/>
        </w:rPr>
      </w:pPr>
      <w:bookmarkStart w:id="442" w:name="_Toc287607785"/>
      <w:bookmarkStart w:id="443" w:name="_Toc200513165"/>
      <w:bookmarkStart w:id="444" w:name="_Toc287620724"/>
      <w:bookmarkStart w:id="445" w:name="_Toc10916"/>
      <w:bookmarkStart w:id="446" w:name="_Toc224103356"/>
      <w:bookmarkStart w:id="447" w:name="_Toc29325"/>
      <w:bookmarkStart w:id="448" w:name="_Toc277082591"/>
      <w:bookmarkStart w:id="449" w:name="_Toc509218749"/>
      <w:bookmarkStart w:id="450" w:name="_Toc430530474"/>
      <w:r>
        <w:rPr>
          <w:rFonts w:ascii="宋体" w:hAnsi="宋体"/>
          <w:b w:val="0"/>
          <w:snapToGrid w:val="0"/>
          <w:sz w:val="24"/>
          <w:szCs w:val="24"/>
        </w:rPr>
        <w:t>7.1  定标方式</w:t>
      </w:r>
      <w:bookmarkEnd w:id="442"/>
      <w:bookmarkEnd w:id="443"/>
      <w:bookmarkEnd w:id="444"/>
      <w:bookmarkEnd w:id="445"/>
      <w:bookmarkEnd w:id="446"/>
      <w:bookmarkEnd w:id="447"/>
      <w:bookmarkEnd w:id="448"/>
      <w:bookmarkEnd w:id="449"/>
      <w:bookmarkEnd w:id="450"/>
    </w:p>
    <w:p w14:paraId="46589993">
      <w:pPr>
        <w:spacing w:line="360" w:lineRule="auto"/>
        <w:ind w:firstLine="420" w:firstLineChars="200"/>
        <w:rPr>
          <w:rFonts w:ascii="宋体" w:hAnsi="宋体"/>
          <w:szCs w:val="21"/>
        </w:rPr>
      </w:pPr>
      <w:r>
        <w:rPr>
          <w:rFonts w:ascii="宋体" w:hAnsi="宋体"/>
          <w:szCs w:val="21"/>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84006B5">
      <w:pPr>
        <w:spacing w:line="360" w:lineRule="auto"/>
        <w:ind w:firstLine="420" w:firstLineChars="200"/>
        <w:rPr>
          <w:rFonts w:ascii="宋体" w:hAnsi="宋体"/>
          <w:szCs w:val="21"/>
        </w:rPr>
      </w:pPr>
      <w:r>
        <w:rPr>
          <w:rFonts w:ascii="宋体" w:hAnsi="宋体"/>
          <w:snapToGrid w:val="0"/>
          <w:kern w:val="0"/>
          <w:szCs w:val="21"/>
        </w:rPr>
        <w:t>评标委员会推荐中标候选人的人数</w:t>
      </w:r>
      <w:r>
        <w:rPr>
          <w:rFonts w:hint="eastAsia" w:ascii="宋体" w:hAnsi="宋体"/>
          <w:snapToGrid w:val="0"/>
          <w:kern w:val="0"/>
          <w:szCs w:val="21"/>
        </w:rPr>
        <w:t>：</w:t>
      </w:r>
      <w:r>
        <w:rPr>
          <w:rFonts w:ascii="宋体" w:hAnsi="宋体"/>
          <w:snapToGrid w:val="0"/>
          <w:kern w:val="0"/>
          <w:szCs w:val="21"/>
        </w:rPr>
        <w:t>见投标人须知前附表。</w:t>
      </w:r>
    </w:p>
    <w:p w14:paraId="1FA1B0CD">
      <w:pPr>
        <w:pStyle w:val="5"/>
        <w:snapToGrid w:val="0"/>
        <w:spacing w:before="0" w:after="0" w:line="360" w:lineRule="auto"/>
        <w:rPr>
          <w:rFonts w:ascii="宋体" w:hAnsi="宋体"/>
          <w:b w:val="0"/>
          <w:snapToGrid w:val="0"/>
          <w:sz w:val="24"/>
          <w:szCs w:val="24"/>
        </w:rPr>
      </w:pPr>
      <w:bookmarkStart w:id="451" w:name="_Toc509218750"/>
      <w:bookmarkStart w:id="452" w:name="_Toc25828"/>
      <w:bookmarkStart w:id="453" w:name="_Toc22780"/>
      <w:bookmarkStart w:id="454" w:name="_Toc430530475"/>
      <w:r>
        <w:rPr>
          <w:rFonts w:ascii="宋体" w:hAnsi="宋体"/>
          <w:b w:val="0"/>
          <w:snapToGrid w:val="0"/>
          <w:sz w:val="24"/>
          <w:szCs w:val="24"/>
        </w:rPr>
        <w:t>7.2  中标公示及中标通知</w:t>
      </w:r>
      <w:bookmarkEnd w:id="451"/>
      <w:bookmarkEnd w:id="452"/>
      <w:bookmarkEnd w:id="453"/>
      <w:bookmarkEnd w:id="454"/>
    </w:p>
    <w:p w14:paraId="2233E90F">
      <w:pPr>
        <w:autoSpaceDE w:val="0"/>
        <w:autoSpaceDN w:val="0"/>
        <w:adjustRightInd w:val="0"/>
        <w:snapToGrid w:val="0"/>
        <w:spacing w:line="360" w:lineRule="auto"/>
        <w:ind w:firstLine="420" w:firstLineChars="200"/>
        <w:rPr>
          <w:rFonts w:ascii="宋体" w:hAnsi="宋体"/>
          <w:szCs w:val="21"/>
        </w:rPr>
      </w:pPr>
      <w:r>
        <w:rPr>
          <w:rFonts w:ascii="宋体" w:hAnsi="宋体"/>
          <w:snapToGrid w:val="0"/>
          <w:kern w:val="0"/>
          <w:szCs w:val="21"/>
        </w:rPr>
        <w:t>招标人在收到评标报告之日起3日内公示中标候选人，公示期不得少于3日</w:t>
      </w:r>
      <w:r>
        <w:rPr>
          <w:rFonts w:hint="eastAsia" w:ascii="宋体" w:hAnsi="宋体"/>
          <w:szCs w:val="21"/>
        </w:rPr>
        <w:t>。</w:t>
      </w:r>
    </w:p>
    <w:p w14:paraId="1C55182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在本章第 3.3 款规定的投标有效期内，且未有投标人的异议与投诉，招标人以书面形式向中标人发出中标通知书。</w:t>
      </w:r>
    </w:p>
    <w:p w14:paraId="4637C06A">
      <w:pPr>
        <w:pStyle w:val="5"/>
        <w:snapToGrid w:val="0"/>
        <w:spacing w:before="0" w:after="0" w:line="360" w:lineRule="auto"/>
        <w:rPr>
          <w:rFonts w:ascii="宋体" w:hAnsi="宋体"/>
          <w:b w:val="0"/>
          <w:snapToGrid w:val="0"/>
          <w:sz w:val="24"/>
          <w:szCs w:val="24"/>
        </w:rPr>
      </w:pPr>
      <w:bookmarkStart w:id="455" w:name="_Toc287620726"/>
      <w:bookmarkStart w:id="456" w:name="_Toc224103358"/>
      <w:bookmarkStart w:id="457" w:name="_Toc25134"/>
      <w:bookmarkStart w:id="458" w:name="_Toc200513167"/>
      <w:bookmarkStart w:id="459" w:name="_Toc509218751"/>
      <w:bookmarkStart w:id="460" w:name="_Toc17913"/>
      <w:bookmarkStart w:id="461" w:name="_Toc430530476"/>
      <w:bookmarkStart w:id="462" w:name="_Toc287607787"/>
      <w:bookmarkStart w:id="463" w:name="_Toc277082593"/>
      <w:r>
        <w:rPr>
          <w:rFonts w:ascii="宋体" w:hAnsi="宋体"/>
          <w:b w:val="0"/>
          <w:snapToGrid w:val="0"/>
          <w:sz w:val="24"/>
          <w:szCs w:val="24"/>
        </w:rPr>
        <w:t>7.3  履约担保</w:t>
      </w:r>
      <w:bookmarkEnd w:id="455"/>
      <w:bookmarkEnd w:id="456"/>
      <w:bookmarkEnd w:id="457"/>
      <w:bookmarkEnd w:id="458"/>
      <w:bookmarkEnd w:id="459"/>
      <w:bookmarkEnd w:id="460"/>
      <w:bookmarkEnd w:id="461"/>
      <w:bookmarkEnd w:id="462"/>
      <w:bookmarkEnd w:id="463"/>
    </w:p>
    <w:p w14:paraId="1516DC5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6040722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7.3.2  中标人不能按本章第 7.3.1 项要求提交履约担保的，视为放弃中标，其投标保证金</w:t>
      </w:r>
      <w:r>
        <w:rPr>
          <w:rFonts w:hint="eastAsia" w:asciiTheme="minorEastAsia" w:hAnsiTheme="minorEastAsia" w:eastAsiaTheme="minorEastAsia"/>
          <w:color w:val="auto"/>
          <w:highlight w:val="none"/>
        </w:rPr>
        <w:t>以现金形式交纳的</w:t>
      </w:r>
      <w:r>
        <w:rPr>
          <w:rFonts w:ascii="宋体" w:hAnsi="宋体"/>
          <w:snapToGrid w:val="0"/>
          <w:kern w:val="0"/>
          <w:szCs w:val="21"/>
        </w:rPr>
        <w:t>不予退还</w:t>
      </w:r>
      <w:r>
        <w:rPr>
          <w:rFonts w:hint="eastAsia" w:asciiTheme="minorEastAsia" w:hAnsiTheme="minorEastAsia" w:eastAsiaTheme="minorEastAsia"/>
          <w:color w:val="auto"/>
          <w:highlight w:val="none"/>
        </w:rPr>
        <w:t>，以保函形式交纳的由保函开立人支付保函担保的与投标保证金等额的款项</w:t>
      </w:r>
      <w:r>
        <w:rPr>
          <w:rFonts w:ascii="宋体" w:hAnsi="宋体"/>
          <w:snapToGrid w:val="0"/>
          <w:kern w:val="0"/>
          <w:szCs w:val="21"/>
        </w:rPr>
        <w:t>，给招标人造成的损失超过投标保证金数额的，中标人还应当对超过部分予以赔偿。</w:t>
      </w:r>
    </w:p>
    <w:p w14:paraId="5EA56F90">
      <w:pPr>
        <w:pStyle w:val="5"/>
        <w:snapToGrid w:val="0"/>
        <w:spacing w:before="0" w:after="0" w:line="360" w:lineRule="auto"/>
        <w:rPr>
          <w:rFonts w:ascii="宋体" w:hAnsi="宋体"/>
          <w:b w:val="0"/>
          <w:snapToGrid w:val="0"/>
          <w:sz w:val="24"/>
          <w:szCs w:val="24"/>
        </w:rPr>
      </w:pPr>
      <w:bookmarkStart w:id="464" w:name="_Toc14613"/>
      <w:bookmarkStart w:id="465" w:name="_Toc20325"/>
      <w:bookmarkStart w:id="466" w:name="_Toc277082594"/>
      <w:bookmarkStart w:id="467" w:name="_Toc287607788"/>
      <w:bookmarkStart w:id="468" w:name="_Toc287620727"/>
      <w:bookmarkStart w:id="469" w:name="_Toc224103359"/>
      <w:bookmarkStart w:id="470" w:name="_Toc200513168"/>
      <w:bookmarkStart w:id="471" w:name="_Toc430530477"/>
      <w:bookmarkStart w:id="472" w:name="_Toc509218752"/>
      <w:r>
        <w:rPr>
          <w:rFonts w:ascii="宋体" w:hAnsi="宋体"/>
          <w:b w:val="0"/>
          <w:snapToGrid w:val="0"/>
          <w:sz w:val="24"/>
          <w:szCs w:val="24"/>
        </w:rPr>
        <w:t>7.4  签订合同</w:t>
      </w:r>
      <w:bookmarkEnd w:id="464"/>
      <w:bookmarkEnd w:id="465"/>
      <w:bookmarkEnd w:id="466"/>
      <w:bookmarkEnd w:id="467"/>
      <w:bookmarkEnd w:id="468"/>
      <w:bookmarkEnd w:id="469"/>
      <w:bookmarkEnd w:id="470"/>
      <w:bookmarkEnd w:id="471"/>
      <w:bookmarkEnd w:id="472"/>
    </w:p>
    <w:p w14:paraId="7CE467F1">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7.4.1 </w:t>
      </w:r>
      <w:r>
        <w:rPr>
          <w:rFonts w:hint="eastAsia" w:ascii="宋体" w:hAnsi="宋体"/>
          <w:snapToGrid w:val="0"/>
          <w:kern w:val="0"/>
          <w:szCs w:val="21"/>
        </w:rPr>
        <w:t xml:space="preserve"> </w:t>
      </w:r>
      <w:r>
        <w:rPr>
          <w:rFonts w:ascii="宋体" w:hAnsi="宋体"/>
          <w:snapToGrid w:val="0"/>
          <w:kern w:val="0"/>
          <w:szCs w:val="21"/>
        </w:rPr>
        <w:t>招标人和中标人应当自中标通知书发出之日起 30 天内，根据招标文件和中标人的投标文件订立书面合同。中标人</w:t>
      </w:r>
      <w:r>
        <w:rPr>
          <w:rFonts w:hint="eastAsia" w:ascii="宋体" w:hAnsi="宋体"/>
          <w:snapToGrid w:val="0"/>
          <w:kern w:val="0"/>
          <w:szCs w:val="21"/>
        </w:rPr>
        <w:t>放弃中标项目，</w:t>
      </w:r>
      <w:r>
        <w:rPr>
          <w:rFonts w:ascii="宋体" w:hAnsi="宋体"/>
          <w:snapToGrid w:val="0"/>
          <w:kern w:val="0"/>
          <w:szCs w:val="21"/>
        </w:rPr>
        <w:t>无正当理由</w:t>
      </w:r>
      <w:r>
        <w:rPr>
          <w:rFonts w:hint="eastAsia" w:ascii="宋体" w:hAnsi="宋体"/>
          <w:snapToGrid w:val="0"/>
          <w:kern w:val="0"/>
          <w:szCs w:val="21"/>
        </w:rPr>
        <w:t>不与招标人签订合同，在签订合同时向招标人提出附加条件或者更改合同实质性内容</w:t>
      </w:r>
      <w:r>
        <w:rPr>
          <w:rFonts w:ascii="宋体" w:hAnsi="宋体"/>
          <w:snapToGrid w:val="0"/>
          <w:kern w:val="0"/>
          <w:szCs w:val="21"/>
        </w:rPr>
        <w:t>，</w:t>
      </w:r>
      <w:r>
        <w:rPr>
          <w:rFonts w:hint="eastAsia" w:ascii="宋体" w:hAnsi="宋体" w:cs="宋体"/>
          <w:szCs w:val="21"/>
        </w:rPr>
        <w:t>或不按照招标文件要求提交履约保证金的，</w:t>
      </w:r>
      <w:r>
        <w:rPr>
          <w:rFonts w:ascii="宋体" w:hAnsi="宋体"/>
          <w:snapToGrid w:val="0"/>
          <w:kern w:val="0"/>
          <w:szCs w:val="21"/>
        </w:rPr>
        <w:t>招标人取消其中标资格，其投标保证金</w:t>
      </w:r>
      <w:r>
        <w:rPr>
          <w:rFonts w:hint="eastAsia" w:ascii="宋体" w:hAnsi="宋体"/>
          <w:snapToGrid w:val="0"/>
          <w:kern w:val="0"/>
          <w:szCs w:val="21"/>
        </w:rPr>
        <w:t>以现金形式</w:t>
      </w:r>
      <w:r>
        <w:rPr>
          <w:rFonts w:hint="eastAsia" w:ascii="宋体" w:hAnsi="宋体"/>
          <w:snapToGrid w:val="0"/>
          <w:kern w:val="0"/>
          <w:szCs w:val="21"/>
          <w:lang w:eastAsia="zh-CN"/>
        </w:rPr>
        <w:t>交纳</w:t>
      </w:r>
      <w:r>
        <w:rPr>
          <w:rFonts w:hint="eastAsia" w:ascii="宋体" w:hAnsi="宋体"/>
          <w:snapToGrid w:val="0"/>
          <w:kern w:val="0"/>
          <w:szCs w:val="21"/>
        </w:rPr>
        <w:t>的</w:t>
      </w:r>
      <w:r>
        <w:rPr>
          <w:rFonts w:ascii="宋体" w:hAnsi="宋体"/>
          <w:snapToGrid w:val="0"/>
          <w:kern w:val="0"/>
          <w:szCs w:val="21"/>
        </w:rPr>
        <w:t>不予退还</w:t>
      </w:r>
      <w:r>
        <w:rPr>
          <w:rFonts w:hint="eastAsia" w:ascii="宋体" w:hAnsi="宋体"/>
          <w:snapToGrid w:val="0"/>
          <w:kern w:val="0"/>
          <w:szCs w:val="21"/>
        </w:rPr>
        <w:t>，以保函形式</w:t>
      </w:r>
      <w:r>
        <w:rPr>
          <w:rFonts w:hint="eastAsia" w:ascii="宋体" w:hAnsi="宋体"/>
          <w:snapToGrid w:val="0"/>
          <w:kern w:val="0"/>
          <w:szCs w:val="21"/>
          <w:lang w:eastAsia="zh-CN"/>
        </w:rPr>
        <w:t>交纳</w:t>
      </w:r>
      <w:r>
        <w:rPr>
          <w:rFonts w:hint="eastAsia" w:ascii="宋体" w:hAnsi="宋体"/>
          <w:snapToGrid w:val="0"/>
          <w:kern w:val="0"/>
          <w:szCs w:val="21"/>
        </w:rPr>
        <w:t>的由保函开立人支付保函担保的与投标保证金等额的款项</w:t>
      </w:r>
      <w:r>
        <w:rPr>
          <w:rFonts w:ascii="宋体" w:hAnsi="宋体"/>
          <w:snapToGrid w:val="0"/>
          <w:kern w:val="0"/>
          <w:szCs w:val="21"/>
        </w:rPr>
        <w:t>；给招标人造成的损失超过投标保证金数额的，中标人还应当对超过部分予以赔偿。</w:t>
      </w:r>
    </w:p>
    <w:p w14:paraId="46D4CE1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7.4.2  发出中标通知书后，招标人无正当理由拒签合同的，招标人向中标人退还投标保证金；给中标人造成损失的，还应当赔偿损失。</w:t>
      </w:r>
    </w:p>
    <w:p w14:paraId="3D87CE1C">
      <w:pPr>
        <w:pStyle w:val="4"/>
        <w:spacing w:before="0" w:after="0" w:line="360" w:lineRule="auto"/>
        <w:rPr>
          <w:rFonts w:ascii="宋体" w:hAnsi="宋体"/>
          <w:b w:val="0"/>
          <w:snapToGrid w:val="0"/>
        </w:rPr>
      </w:pPr>
      <w:bookmarkStart w:id="473" w:name="_Toc8377"/>
      <w:bookmarkStart w:id="474" w:name="_Toc287620728"/>
      <w:bookmarkStart w:id="475" w:name="_Toc287607789"/>
      <w:bookmarkStart w:id="476" w:name="_Toc277082595"/>
      <w:bookmarkStart w:id="477" w:name="_Toc200513169"/>
      <w:bookmarkStart w:id="478" w:name="_Toc224103360"/>
      <w:bookmarkStart w:id="479" w:name="_Toc430530478"/>
      <w:bookmarkStart w:id="480" w:name="_Toc509218753"/>
      <w:bookmarkStart w:id="481" w:name="_Toc23787"/>
      <w:r>
        <w:rPr>
          <w:rFonts w:ascii="宋体" w:hAnsi="宋体"/>
          <w:b w:val="0"/>
          <w:snapToGrid w:val="0"/>
        </w:rPr>
        <w:t>8.  重新招标和不再招标</w:t>
      </w:r>
      <w:bookmarkEnd w:id="473"/>
      <w:bookmarkEnd w:id="474"/>
      <w:bookmarkEnd w:id="475"/>
      <w:bookmarkEnd w:id="476"/>
      <w:bookmarkEnd w:id="477"/>
      <w:bookmarkEnd w:id="478"/>
      <w:bookmarkEnd w:id="479"/>
      <w:bookmarkEnd w:id="480"/>
      <w:bookmarkEnd w:id="481"/>
    </w:p>
    <w:p w14:paraId="4B1F350E">
      <w:pPr>
        <w:pStyle w:val="5"/>
        <w:snapToGrid w:val="0"/>
        <w:spacing w:before="0" w:after="0" w:line="360" w:lineRule="auto"/>
        <w:rPr>
          <w:rFonts w:ascii="宋体" w:hAnsi="宋体"/>
          <w:b w:val="0"/>
          <w:snapToGrid w:val="0"/>
          <w:sz w:val="24"/>
          <w:szCs w:val="24"/>
        </w:rPr>
      </w:pPr>
      <w:bookmarkStart w:id="482" w:name="_Toc224103361"/>
      <w:bookmarkStart w:id="483" w:name="_Toc200513170"/>
      <w:bookmarkStart w:id="484" w:name="_Toc277082596"/>
      <w:bookmarkStart w:id="485" w:name="_Toc287620729"/>
      <w:bookmarkStart w:id="486" w:name="_Toc287607790"/>
      <w:bookmarkStart w:id="487" w:name="_Toc430530479"/>
      <w:bookmarkStart w:id="488" w:name="_Toc509218754"/>
      <w:bookmarkStart w:id="489" w:name="_Toc6481"/>
      <w:bookmarkStart w:id="490" w:name="_Toc26499"/>
      <w:r>
        <w:rPr>
          <w:rFonts w:ascii="宋体" w:hAnsi="宋体"/>
          <w:b w:val="0"/>
          <w:snapToGrid w:val="0"/>
          <w:sz w:val="24"/>
          <w:szCs w:val="24"/>
        </w:rPr>
        <w:t>8.1  重新招标</w:t>
      </w:r>
      <w:bookmarkEnd w:id="482"/>
      <w:bookmarkEnd w:id="483"/>
      <w:bookmarkEnd w:id="484"/>
      <w:bookmarkEnd w:id="485"/>
      <w:bookmarkEnd w:id="486"/>
      <w:bookmarkEnd w:id="487"/>
      <w:bookmarkEnd w:id="488"/>
      <w:r>
        <w:rPr>
          <w:rFonts w:hint="eastAsia" w:ascii="宋体" w:hAnsi="宋体"/>
          <w:b w:val="0"/>
          <w:snapToGrid w:val="0"/>
          <w:sz w:val="24"/>
          <w:szCs w:val="24"/>
        </w:rPr>
        <w:t>的情形</w:t>
      </w:r>
      <w:bookmarkEnd w:id="489"/>
      <w:bookmarkEnd w:id="490"/>
    </w:p>
    <w:p w14:paraId="74E6A28F">
      <w:pPr>
        <w:autoSpaceDE w:val="0"/>
        <w:autoSpaceDN w:val="0"/>
        <w:adjustRightInd w:val="0"/>
        <w:snapToGrid w:val="0"/>
        <w:spacing w:line="360" w:lineRule="auto"/>
        <w:ind w:firstLine="420" w:firstLineChars="200"/>
        <w:rPr>
          <w:rFonts w:ascii="宋体" w:hAnsi="宋体"/>
          <w:snapToGrid w:val="0"/>
          <w:kern w:val="0"/>
          <w:szCs w:val="21"/>
        </w:rPr>
      </w:pPr>
      <w:bookmarkStart w:id="491" w:name="OLE_LINK5"/>
      <w:r>
        <w:rPr>
          <w:rFonts w:hint="eastAsia" w:ascii="宋体" w:hAnsi="宋体"/>
          <w:snapToGrid w:val="0"/>
          <w:kern w:val="0"/>
          <w:szCs w:val="21"/>
        </w:rPr>
        <w:t>重新招标的情形：</w:t>
      </w:r>
      <w:r>
        <w:rPr>
          <w:rFonts w:ascii="宋体" w:hAnsi="宋体"/>
          <w:snapToGrid w:val="0"/>
          <w:kern w:val="0"/>
          <w:szCs w:val="21"/>
        </w:rPr>
        <w:t>见投标人须知前附表</w:t>
      </w:r>
      <w:r>
        <w:rPr>
          <w:rFonts w:hint="eastAsia" w:ascii="宋体" w:hAnsi="宋体"/>
          <w:snapToGrid w:val="0"/>
          <w:kern w:val="0"/>
          <w:szCs w:val="21"/>
        </w:rPr>
        <w:t>。</w:t>
      </w:r>
      <w:bookmarkEnd w:id="491"/>
    </w:p>
    <w:p w14:paraId="63C7EEC8">
      <w:pPr>
        <w:pStyle w:val="5"/>
        <w:snapToGrid w:val="0"/>
        <w:spacing w:before="0" w:after="0" w:line="360" w:lineRule="auto"/>
        <w:rPr>
          <w:rFonts w:ascii="宋体" w:hAnsi="宋体"/>
          <w:b w:val="0"/>
          <w:snapToGrid w:val="0"/>
          <w:sz w:val="24"/>
          <w:szCs w:val="24"/>
        </w:rPr>
      </w:pPr>
      <w:bookmarkStart w:id="492" w:name="_Toc224103362"/>
      <w:bookmarkStart w:id="493" w:name="_Toc200513171"/>
      <w:bookmarkStart w:id="494" w:name="_Toc287607791"/>
      <w:bookmarkStart w:id="495" w:name="_Toc430530480"/>
      <w:bookmarkStart w:id="496" w:name="_Toc287620730"/>
      <w:bookmarkStart w:id="497" w:name="_Toc277082597"/>
      <w:bookmarkStart w:id="498" w:name="_Toc2480"/>
      <w:bookmarkStart w:id="499" w:name="_Toc22064"/>
      <w:bookmarkStart w:id="500" w:name="_Toc509218755"/>
      <w:r>
        <w:rPr>
          <w:rFonts w:ascii="宋体" w:hAnsi="宋体"/>
          <w:b w:val="0"/>
          <w:snapToGrid w:val="0"/>
          <w:sz w:val="24"/>
          <w:szCs w:val="24"/>
        </w:rPr>
        <w:t xml:space="preserve">8.2  </w:t>
      </w:r>
      <w:r>
        <w:rPr>
          <w:rFonts w:hint="eastAsia" w:ascii="宋体" w:hAnsi="宋体"/>
          <w:b w:val="0"/>
          <w:snapToGrid w:val="0"/>
          <w:sz w:val="24"/>
          <w:szCs w:val="24"/>
        </w:rPr>
        <w:t>重新</w:t>
      </w:r>
      <w:r>
        <w:rPr>
          <w:rFonts w:ascii="宋体" w:hAnsi="宋体"/>
          <w:b w:val="0"/>
          <w:snapToGrid w:val="0"/>
          <w:sz w:val="24"/>
          <w:szCs w:val="24"/>
        </w:rPr>
        <w:t>招标和不再招标</w:t>
      </w:r>
      <w:bookmarkEnd w:id="492"/>
      <w:bookmarkEnd w:id="493"/>
      <w:bookmarkEnd w:id="494"/>
      <w:bookmarkEnd w:id="495"/>
      <w:bookmarkEnd w:id="496"/>
      <w:bookmarkEnd w:id="497"/>
      <w:bookmarkEnd w:id="498"/>
      <w:bookmarkEnd w:id="499"/>
      <w:bookmarkEnd w:id="500"/>
    </w:p>
    <w:p w14:paraId="5F9BF902">
      <w:pPr>
        <w:autoSpaceDE w:val="0"/>
        <w:autoSpaceDN w:val="0"/>
        <w:adjustRightInd w:val="0"/>
        <w:snapToGrid w:val="0"/>
        <w:spacing w:line="360" w:lineRule="auto"/>
        <w:ind w:firstLine="420"/>
        <w:rPr>
          <w:rFonts w:ascii="宋体" w:hAnsi="宋体"/>
          <w:snapToGrid w:val="0"/>
          <w:kern w:val="0"/>
          <w:szCs w:val="21"/>
        </w:rPr>
      </w:pPr>
      <w:r>
        <w:rPr>
          <w:rFonts w:hint="eastAsia" w:ascii="宋体" w:hAnsi="宋体"/>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kern w:val="0"/>
          <w:szCs w:val="21"/>
        </w:rPr>
        <w:t>。</w:t>
      </w:r>
    </w:p>
    <w:p w14:paraId="1652C309">
      <w:pPr>
        <w:pStyle w:val="4"/>
        <w:spacing w:before="0" w:after="0" w:line="360" w:lineRule="auto"/>
        <w:rPr>
          <w:rFonts w:ascii="宋体" w:hAnsi="宋体"/>
          <w:b w:val="0"/>
          <w:snapToGrid w:val="0"/>
        </w:rPr>
      </w:pPr>
      <w:bookmarkStart w:id="501" w:name="_Toc12297"/>
      <w:bookmarkStart w:id="502" w:name="_Toc509218756"/>
      <w:bookmarkStart w:id="503" w:name="_Toc9979"/>
      <w:bookmarkStart w:id="504" w:name="_Toc287620731"/>
      <w:bookmarkStart w:id="505" w:name="_Toc430530481"/>
      <w:bookmarkStart w:id="506" w:name="_Toc277082598"/>
      <w:bookmarkStart w:id="507" w:name="_Toc224103363"/>
      <w:bookmarkStart w:id="508" w:name="_Toc287607792"/>
      <w:bookmarkStart w:id="509" w:name="_Toc200513172"/>
      <w:r>
        <w:rPr>
          <w:rFonts w:ascii="宋体" w:hAnsi="宋体"/>
          <w:b w:val="0"/>
          <w:snapToGrid w:val="0"/>
        </w:rPr>
        <w:t>9.  纪律和监督</w:t>
      </w:r>
      <w:bookmarkEnd w:id="501"/>
      <w:bookmarkEnd w:id="502"/>
      <w:bookmarkEnd w:id="503"/>
      <w:bookmarkEnd w:id="504"/>
      <w:bookmarkEnd w:id="505"/>
      <w:bookmarkEnd w:id="506"/>
      <w:bookmarkEnd w:id="507"/>
      <w:bookmarkEnd w:id="508"/>
      <w:bookmarkEnd w:id="509"/>
    </w:p>
    <w:p w14:paraId="5082F660">
      <w:pPr>
        <w:pStyle w:val="5"/>
        <w:snapToGrid w:val="0"/>
        <w:spacing w:before="0" w:after="0" w:line="360" w:lineRule="auto"/>
        <w:rPr>
          <w:rFonts w:ascii="宋体" w:hAnsi="宋体"/>
          <w:b w:val="0"/>
          <w:snapToGrid w:val="0"/>
          <w:sz w:val="24"/>
          <w:szCs w:val="24"/>
        </w:rPr>
      </w:pPr>
      <w:bookmarkStart w:id="510" w:name="_Toc287607793"/>
      <w:bookmarkStart w:id="511" w:name="_Toc224103364"/>
      <w:bookmarkStart w:id="512" w:name="_Toc200513173"/>
      <w:bookmarkStart w:id="513" w:name="_Toc1229"/>
      <w:bookmarkStart w:id="514" w:name="_Toc17810"/>
      <w:bookmarkStart w:id="515" w:name="_Toc430530482"/>
      <w:bookmarkStart w:id="516" w:name="_Toc509218757"/>
      <w:bookmarkStart w:id="517" w:name="_Toc277082599"/>
      <w:bookmarkStart w:id="518" w:name="_Toc287620732"/>
      <w:r>
        <w:rPr>
          <w:rFonts w:ascii="宋体" w:hAnsi="宋体"/>
          <w:b w:val="0"/>
          <w:snapToGrid w:val="0"/>
          <w:sz w:val="24"/>
          <w:szCs w:val="24"/>
        </w:rPr>
        <w:t>9.1  对招标人的纪律要求</w:t>
      </w:r>
      <w:bookmarkEnd w:id="510"/>
      <w:bookmarkEnd w:id="511"/>
      <w:bookmarkEnd w:id="512"/>
      <w:bookmarkEnd w:id="513"/>
      <w:bookmarkEnd w:id="514"/>
      <w:bookmarkEnd w:id="515"/>
      <w:bookmarkEnd w:id="516"/>
      <w:bookmarkEnd w:id="517"/>
      <w:bookmarkEnd w:id="518"/>
    </w:p>
    <w:p w14:paraId="7D201DBE">
      <w:pPr>
        <w:autoSpaceDE w:val="0"/>
        <w:autoSpaceDN w:val="0"/>
        <w:adjustRightInd w:val="0"/>
        <w:snapToGrid w:val="0"/>
        <w:spacing w:line="360" w:lineRule="auto"/>
        <w:ind w:firstLine="420"/>
        <w:rPr>
          <w:rFonts w:ascii="宋体" w:hAnsi="宋体"/>
        </w:rPr>
      </w:pPr>
      <w:r>
        <w:rPr>
          <w:rFonts w:ascii="宋体" w:hAnsi="宋体"/>
          <w:snapToGrid w:val="0"/>
          <w:kern w:val="0"/>
          <w:szCs w:val="21"/>
        </w:rPr>
        <w:t>招标人不得泄漏招标投标活动中应当保密的情况和资料，不得与投标人串通损害国家利益、社会公共利益或者他人合法权益，</w:t>
      </w:r>
      <w:r>
        <w:rPr>
          <w:rFonts w:ascii="宋体" w:hAnsi="宋体"/>
        </w:rPr>
        <w:t>禁止招标人与投标人串通投标。</w:t>
      </w:r>
    </w:p>
    <w:p w14:paraId="14D2D777">
      <w:pPr>
        <w:autoSpaceDE w:val="0"/>
        <w:autoSpaceDN w:val="0"/>
        <w:adjustRightInd w:val="0"/>
        <w:snapToGrid w:val="0"/>
        <w:spacing w:line="360" w:lineRule="auto"/>
        <w:ind w:firstLine="420"/>
        <w:rPr>
          <w:rFonts w:ascii="宋体" w:hAnsi="宋体"/>
        </w:rPr>
      </w:pPr>
      <w:r>
        <w:rPr>
          <w:rFonts w:ascii="宋体" w:hAnsi="宋体"/>
        </w:rPr>
        <w:t>有下列情形之一的，属于招标人与投标人串通投标：</w:t>
      </w:r>
    </w:p>
    <w:p w14:paraId="27E35092">
      <w:pPr>
        <w:autoSpaceDE w:val="0"/>
        <w:autoSpaceDN w:val="0"/>
        <w:adjustRightInd w:val="0"/>
        <w:snapToGrid w:val="0"/>
        <w:spacing w:line="360" w:lineRule="auto"/>
        <w:ind w:firstLine="420"/>
        <w:rPr>
          <w:rFonts w:ascii="宋体" w:hAnsi="宋体"/>
        </w:rPr>
      </w:pPr>
      <w:r>
        <w:rPr>
          <w:rFonts w:ascii="宋体" w:hAnsi="宋体"/>
        </w:rPr>
        <w:t>（1）招标人在开标前开启投标文件并将有关信息泄露给其他投标人</w:t>
      </w:r>
      <w:r>
        <w:rPr>
          <w:rFonts w:hint="eastAsia" w:ascii="宋体" w:hAnsi="宋体"/>
        </w:rPr>
        <w:t>；</w:t>
      </w:r>
    </w:p>
    <w:p w14:paraId="73F022C5">
      <w:pPr>
        <w:autoSpaceDE w:val="0"/>
        <w:autoSpaceDN w:val="0"/>
        <w:adjustRightInd w:val="0"/>
        <w:snapToGrid w:val="0"/>
        <w:spacing w:line="360" w:lineRule="auto"/>
        <w:ind w:firstLine="420"/>
        <w:rPr>
          <w:rFonts w:ascii="宋体" w:hAnsi="宋体"/>
        </w:rPr>
      </w:pPr>
      <w:r>
        <w:rPr>
          <w:rFonts w:ascii="宋体" w:hAnsi="宋体"/>
        </w:rPr>
        <w:t>（2）招标人直接或者间接向投标人泄露标底、评标委员会成员等信息；</w:t>
      </w:r>
    </w:p>
    <w:p w14:paraId="0625214B">
      <w:pPr>
        <w:autoSpaceDE w:val="0"/>
        <w:autoSpaceDN w:val="0"/>
        <w:adjustRightInd w:val="0"/>
        <w:snapToGrid w:val="0"/>
        <w:spacing w:line="360" w:lineRule="auto"/>
        <w:ind w:firstLine="420"/>
        <w:rPr>
          <w:rFonts w:ascii="宋体" w:hAnsi="宋体"/>
        </w:rPr>
      </w:pPr>
      <w:r>
        <w:rPr>
          <w:rFonts w:ascii="宋体" w:hAnsi="宋体"/>
        </w:rPr>
        <w:t>（3）招标人明示或者暗示投标人压低或者抬高投标报价；</w:t>
      </w:r>
    </w:p>
    <w:p w14:paraId="17B3EA0A">
      <w:pPr>
        <w:autoSpaceDE w:val="0"/>
        <w:autoSpaceDN w:val="0"/>
        <w:adjustRightInd w:val="0"/>
        <w:snapToGrid w:val="0"/>
        <w:spacing w:line="360" w:lineRule="auto"/>
        <w:ind w:firstLine="420"/>
        <w:rPr>
          <w:rFonts w:ascii="宋体" w:hAnsi="宋体"/>
        </w:rPr>
      </w:pPr>
      <w:r>
        <w:rPr>
          <w:rFonts w:ascii="宋体" w:hAnsi="宋体"/>
        </w:rPr>
        <w:t>（4）招标人授意投标人撤换、修改投标文件；</w:t>
      </w:r>
    </w:p>
    <w:p w14:paraId="39CED227">
      <w:pPr>
        <w:autoSpaceDE w:val="0"/>
        <w:autoSpaceDN w:val="0"/>
        <w:adjustRightInd w:val="0"/>
        <w:snapToGrid w:val="0"/>
        <w:spacing w:line="360" w:lineRule="auto"/>
        <w:ind w:firstLine="420"/>
        <w:rPr>
          <w:rFonts w:ascii="宋体" w:hAnsi="宋体"/>
        </w:rPr>
      </w:pPr>
      <w:r>
        <w:rPr>
          <w:rFonts w:ascii="宋体" w:hAnsi="宋体"/>
        </w:rPr>
        <w:t>（5）招标人明示或者暗示投标人为特定投标人中标提供方便；</w:t>
      </w:r>
    </w:p>
    <w:p w14:paraId="7D3B4028">
      <w:pPr>
        <w:autoSpaceDE w:val="0"/>
        <w:autoSpaceDN w:val="0"/>
        <w:adjustRightInd w:val="0"/>
        <w:snapToGrid w:val="0"/>
        <w:spacing w:line="360" w:lineRule="auto"/>
        <w:ind w:firstLine="420"/>
        <w:rPr>
          <w:rFonts w:ascii="宋体" w:hAnsi="宋体"/>
          <w:snapToGrid w:val="0"/>
          <w:kern w:val="0"/>
          <w:szCs w:val="21"/>
        </w:rPr>
      </w:pPr>
      <w:r>
        <w:rPr>
          <w:rFonts w:ascii="宋体" w:hAnsi="宋体"/>
        </w:rPr>
        <w:t>（6）招标人与投标人为谋求特定投标人中标而采取的其他串通行为。</w:t>
      </w:r>
    </w:p>
    <w:p w14:paraId="23C5AF80">
      <w:pPr>
        <w:pStyle w:val="5"/>
        <w:snapToGrid w:val="0"/>
        <w:spacing w:before="0" w:after="0" w:line="360" w:lineRule="auto"/>
        <w:ind w:firstLine="0" w:firstLineChars="0"/>
        <w:rPr>
          <w:rFonts w:ascii="宋体" w:hAnsi="宋体"/>
          <w:b w:val="0"/>
          <w:snapToGrid w:val="0"/>
          <w:sz w:val="24"/>
          <w:szCs w:val="24"/>
        </w:rPr>
      </w:pPr>
      <w:bookmarkStart w:id="519" w:name="_Toc224103365"/>
      <w:bookmarkStart w:id="520" w:name="_Toc25735"/>
      <w:bookmarkStart w:id="521" w:name="_Toc277082600"/>
      <w:bookmarkStart w:id="522" w:name="_Toc430530483"/>
      <w:bookmarkStart w:id="523" w:name="_Toc200513174"/>
      <w:bookmarkStart w:id="524" w:name="_Toc287620733"/>
      <w:bookmarkStart w:id="525" w:name="_Toc287607794"/>
      <w:bookmarkStart w:id="526" w:name="_Toc16537"/>
      <w:bookmarkStart w:id="527" w:name="_Toc509218758"/>
      <w:r>
        <w:rPr>
          <w:rFonts w:ascii="宋体" w:hAnsi="宋体"/>
          <w:b w:val="0"/>
          <w:snapToGrid w:val="0"/>
          <w:sz w:val="24"/>
          <w:szCs w:val="24"/>
        </w:rPr>
        <w:t>9.2  对投标人的纪律要求</w:t>
      </w:r>
      <w:bookmarkEnd w:id="519"/>
      <w:bookmarkEnd w:id="520"/>
      <w:bookmarkEnd w:id="521"/>
      <w:bookmarkEnd w:id="522"/>
      <w:bookmarkEnd w:id="523"/>
      <w:bookmarkEnd w:id="524"/>
      <w:bookmarkEnd w:id="525"/>
      <w:bookmarkEnd w:id="526"/>
      <w:bookmarkEnd w:id="527"/>
    </w:p>
    <w:p w14:paraId="13F34A0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ED5EAEE">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 xml:space="preserve">9.2.1  </w:t>
      </w:r>
      <w:r>
        <w:rPr>
          <w:rFonts w:ascii="宋体" w:hAnsi="宋体"/>
        </w:rPr>
        <w:t>有下列情形之一的，</w:t>
      </w:r>
      <w:r>
        <w:rPr>
          <w:rFonts w:ascii="宋体" w:hAnsi="宋体"/>
          <w:highlight w:val="none"/>
        </w:rPr>
        <w:t>属于</w:t>
      </w:r>
      <w:r>
        <w:rPr>
          <w:rFonts w:ascii="宋体" w:hAnsi="宋体"/>
        </w:rPr>
        <w:t>投标人相互串通投标：</w:t>
      </w:r>
    </w:p>
    <w:p w14:paraId="454E76AB">
      <w:pPr>
        <w:autoSpaceDE w:val="0"/>
        <w:autoSpaceDN w:val="0"/>
        <w:adjustRightInd w:val="0"/>
        <w:snapToGrid w:val="0"/>
        <w:spacing w:line="360" w:lineRule="auto"/>
        <w:ind w:firstLine="420" w:firstLineChars="200"/>
        <w:rPr>
          <w:rFonts w:ascii="宋体" w:hAnsi="宋体"/>
        </w:rPr>
      </w:pPr>
      <w:r>
        <w:rPr>
          <w:rFonts w:ascii="宋体" w:hAnsi="宋体"/>
        </w:rPr>
        <w:t>（1）</w:t>
      </w:r>
      <w:r>
        <w:rPr>
          <w:rFonts w:hint="eastAsia" w:ascii="宋体" w:hAnsi="宋体"/>
        </w:rPr>
        <w:t>投标人之间协商投标报价等投标文件的实质性内容</w:t>
      </w:r>
      <w:r>
        <w:rPr>
          <w:rFonts w:ascii="宋体" w:hAnsi="宋体"/>
        </w:rPr>
        <w:t>；</w:t>
      </w:r>
    </w:p>
    <w:p w14:paraId="678F4B2E">
      <w:pPr>
        <w:autoSpaceDE w:val="0"/>
        <w:autoSpaceDN w:val="0"/>
        <w:adjustRightInd w:val="0"/>
        <w:snapToGrid w:val="0"/>
        <w:spacing w:line="360" w:lineRule="auto"/>
        <w:ind w:firstLine="420" w:firstLineChars="200"/>
        <w:rPr>
          <w:rFonts w:ascii="宋体" w:hAnsi="宋体"/>
        </w:rPr>
      </w:pPr>
      <w:r>
        <w:rPr>
          <w:rFonts w:ascii="宋体" w:hAnsi="宋体"/>
        </w:rPr>
        <w:t>（2）投标人之间约定中标人；</w:t>
      </w:r>
    </w:p>
    <w:p w14:paraId="2188008F">
      <w:pPr>
        <w:autoSpaceDE w:val="0"/>
        <w:autoSpaceDN w:val="0"/>
        <w:adjustRightInd w:val="0"/>
        <w:snapToGrid w:val="0"/>
        <w:spacing w:line="360" w:lineRule="auto"/>
        <w:ind w:firstLine="420" w:firstLineChars="200"/>
        <w:rPr>
          <w:rFonts w:ascii="宋体" w:hAnsi="宋体"/>
        </w:rPr>
      </w:pPr>
      <w:r>
        <w:rPr>
          <w:rFonts w:ascii="宋体" w:hAnsi="宋体"/>
        </w:rPr>
        <w:t>（3）投标人之间约定部分投标人放弃投标或者中标；</w:t>
      </w:r>
    </w:p>
    <w:p w14:paraId="74092EB1">
      <w:pPr>
        <w:autoSpaceDE w:val="0"/>
        <w:autoSpaceDN w:val="0"/>
        <w:adjustRightInd w:val="0"/>
        <w:snapToGrid w:val="0"/>
        <w:spacing w:line="360" w:lineRule="auto"/>
        <w:ind w:firstLine="420" w:firstLineChars="200"/>
        <w:rPr>
          <w:rFonts w:ascii="宋体" w:hAnsi="宋体"/>
        </w:rPr>
      </w:pPr>
      <w:r>
        <w:rPr>
          <w:rFonts w:ascii="宋体" w:hAnsi="宋体"/>
        </w:rPr>
        <w:t>（4）属于同一集团、协会、商会等组织成员的投标人按照该组织要求协同投标；</w:t>
      </w:r>
    </w:p>
    <w:p w14:paraId="0622F66D">
      <w:pPr>
        <w:autoSpaceDE w:val="0"/>
        <w:autoSpaceDN w:val="0"/>
        <w:adjustRightInd w:val="0"/>
        <w:snapToGrid w:val="0"/>
        <w:spacing w:line="360" w:lineRule="auto"/>
        <w:ind w:firstLine="420" w:firstLineChars="200"/>
        <w:rPr>
          <w:rFonts w:ascii="宋体" w:hAnsi="宋体"/>
        </w:rPr>
      </w:pPr>
      <w:r>
        <w:rPr>
          <w:rFonts w:ascii="宋体" w:hAnsi="宋体"/>
        </w:rPr>
        <w:t>（5）投标人之间为谋取中标或者排斥特定投标人而采取的其他联合行动。</w:t>
      </w:r>
    </w:p>
    <w:p w14:paraId="353F810F">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9.2.2  </w:t>
      </w:r>
      <w:r>
        <w:rPr>
          <w:rFonts w:ascii="宋体" w:hAnsi="宋体"/>
        </w:rPr>
        <w:t>有下列情形之一的，</w:t>
      </w:r>
      <w:r>
        <w:rPr>
          <w:rFonts w:ascii="宋体" w:hAnsi="宋体"/>
          <w:highlight w:val="none"/>
        </w:rPr>
        <w:t>视为</w:t>
      </w:r>
      <w:r>
        <w:rPr>
          <w:rFonts w:ascii="宋体" w:hAnsi="宋体"/>
        </w:rPr>
        <w:t>投标人相互串通投标：</w:t>
      </w:r>
    </w:p>
    <w:p w14:paraId="4E62622F">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1</w:t>
      </w:r>
      <w:r>
        <w:rPr>
          <w:rFonts w:hint="eastAsia" w:ascii="宋体" w:hAnsi="宋体"/>
          <w:highlight w:val="none"/>
        </w:rPr>
        <w:t>）不同投标人的电子投标文件由同一台电子设备编制、打包、加密或者上传；</w:t>
      </w:r>
    </w:p>
    <w:p w14:paraId="2B46E097">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2</w:t>
      </w:r>
      <w:r>
        <w:rPr>
          <w:rFonts w:hint="eastAsia" w:ascii="宋体" w:hAnsi="宋体"/>
          <w:highlight w:val="none"/>
        </w:rPr>
        <w:t>）不同投标人的投标文件由同一投标人的电子设备打印、复印；</w:t>
      </w:r>
    </w:p>
    <w:p w14:paraId="33B2396A">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）不同投标人的投标报价用同一个预算编制软件密码锁制作或者出自同一投标人的电子文档；</w:t>
      </w:r>
    </w:p>
    <w:p w14:paraId="526E2F16">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4</w:t>
      </w:r>
      <w:r>
        <w:rPr>
          <w:rFonts w:hint="eastAsia" w:ascii="宋体" w:hAnsi="宋体"/>
          <w:highlight w:val="none"/>
        </w:rPr>
        <w:t>）不同投标人从同一个投标单位或者同一个自然人的互联网协议地址下载招标文件、上传投标文件；</w:t>
      </w:r>
    </w:p>
    <w:p w14:paraId="20E142A1">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5</w:t>
      </w:r>
      <w:r>
        <w:rPr>
          <w:rFonts w:hint="eastAsia" w:ascii="宋体" w:hAnsi="宋体"/>
          <w:highlight w:val="none"/>
        </w:rPr>
        <w:t>）不同投标人的投标保证金虽然经由投标人自己的基本账户转出，但所需资金来自同一单位或者个人的账户；</w:t>
      </w:r>
    </w:p>
    <w:p w14:paraId="68DD041F">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6</w:t>
      </w:r>
      <w:r>
        <w:rPr>
          <w:rFonts w:hint="eastAsia" w:ascii="宋体" w:hAnsi="宋体"/>
          <w:highlight w:val="none"/>
        </w:rPr>
        <w:t>）参加投标活动的人员为同一标段或者未划分标段的同一招标项目的其他投标人的在职人员；</w:t>
      </w:r>
    </w:p>
    <w:p w14:paraId="7B4DFF6D">
      <w:pPr>
        <w:autoSpaceDE w:val="0"/>
        <w:autoSpaceDN w:val="0"/>
        <w:adjustRightInd w:val="0"/>
        <w:snapToGrid w:val="0"/>
        <w:spacing w:line="360" w:lineRule="auto"/>
        <w:ind w:firstLine="420" w:firstLineChars="200"/>
        <w:rPr>
          <w:rFonts w:ascii="宋体" w:hAnsi="宋体"/>
        </w:rPr>
      </w:pPr>
      <w:r>
        <w:rPr>
          <w:rFonts w:hint="eastAsia" w:ascii="宋体" w:hAnsi="宋体"/>
          <w:highlight w:val="none"/>
        </w:rPr>
        <w:t>（</w:t>
      </w:r>
      <w:r>
        <w:rPr>
          <w:rFonts w:hint="eastAsia" w:ascii="宋体" w:hAnsi="宋体"/>
          <w:highlight w:val="none"/>
          <w:lang w:val="en-US" w:eastAsia="zh-CN"/>
        </w:rPr>
        <w:t>7</w:t>
      </w:r>
      <w:r>
        <w:rPr>
          <w:rFonts w:hint="eastAsia" w:ascii="宋体" w:hAnsi="宋体"/>
          <w:highlight w:val="none"/>
        </w:rPr>
        <w:t>）法律、法规规定的其他情形。</w:t>
      </w:r>
    </w:p>
    <w:p w14:paraId="346F601D">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9.2.3  </w:t>
      </w:r>
      <w:r>
        <w:rPr>
          <w:rFonts w:ascii="宋体" w:hAnsi="宋体"/>
        </w:rPr>
        <w:t>使用通过受让或者租借等方式获取的资格、资质证书投标的，属于以他人名义投标。</w:t>
      </w:r>
    </w:p>
    <w:p w14:paraId="020B387F">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9.2.4  </w:t>
      </w:r>
      <w:r>
        <w:rPr>
          <w:rFonts w:ascii="宋体" w:hAnsi="宋体"/>
        </w:rPr>
        <w:t>投标人有下列情形之一的，属于以其他方式弄虚作假的行为：</w:t>
      </w:r>
    </w:p>
    <w:p w14:paraId="793CF330">
      <w:pPr>
        <w:autoSpaceDE w:val="0"/>
        <w:autoSpaceDN w:val="0"/>
        <w:adjustRightInd w:val="0"/>
        <w:snapToGrid w:val="0"/>
        <w:spacing w:line="360" w:lineRule="auto"/>
        <w:ind w:firstLine="420" w:firstLineChars="200"/>
        <w:rPr>
          <w:rFonts w:ascii="宋体" w:hAnsi="宋体"/>
        </w:rPr>
      </w:pPr>
      <w:r>
        <w:rPr>
          <w:rFonts w:hint="eastAsia" w:ascii="宋体" w:hAnsi="宋体"/>
        </w:rPr>
        <w:t>（1）</w:t>
      </w:r>
      <w:r>
        <w:rPr>
          <w:rFonts w:ascii="宋体" w:hAnsi="宋体"/>
        </w:rPr>
        <w:t>使用伪造、变造的许可证件；</w:t>
      </w:r>
    </w:p>
    <w:p w14:paraId="7A69021A">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2</w:t>
      </w:r>
      <w:r>
        <w:rPr>
          <w:rFonts w:ascii="宋体" w:hAnsi="宋体"/>
        </w:rPr>
        <w:t>）提供虚假的财务状况或者业绩；</w:t>
      </w:r>
    </w:p>
    <w:p w14:paraId="373B5255">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3</w:t>
      </w:r>
      <w:r>
        <w:rPr>
          <w:rFonts w:ascii="宋体" w:hAnsi="宋体"/>
        </w:rPr>
        <w:t>）提供虚假的项目负责人或者主要技术人员简历、劳动关系证明；</w:t>
      </w:r>
    </w:p>
    <w:p w14:paraId="59C92694">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4</w:t>
      </w:r>
      <w:r>
        <w:rPr>
          <w:rFonts w:ascii="宋体" w:hAnsi="宋体"/>
        </w:rPr>
        <w:t>）提供虚假的信用状况；</w:t>
      </w:r>
    </w:p>
    <w:p w14:paraId="4DEDFE7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rPr>
        <w:t>（</w:t>
      </w:r>
      <w:r>
        <w:rPr>
          <w:rFonts w:hint="eastAsia" w:ascii="宋体" w:hAnsi="宋体"/>
        </w:rPr>
        <w:t>5</w:t>
      </w:r>
      <w:r>
        <w:rPr>
          <w:rFonts w:ascii="宋体" w:hAnsi="宋体"/>
        </w:rPr>
        <w:t>）其他弄虚作假的行为。</w:t>
      </w:r>
    </w:p>
    <w:p w14:paraId="7B27D4E4">
      <w:pPr>
        <w:pStyle w:val="5"/>
        <w:snapToGrid w:val="0"/>
        <w:spacing w:before="0" w:after="0" w:line="360" w:lineRule="auto"/>
        <w:rPr>
          <w:rFonts w:ascii="宋体" w:hAnsi="宋体"/>
          <w:b w:val="0"/>
          <w:snapToGrid w:val="0"/>
          <w:sz w:val="24"/>
          <w:szCs w:val="24"/>
        </w:rPr>
      </w:pPr>
      <w:bookmarkStart w:id="528" w:name="_Toc287620734"/>
      <w:bookmarkStart w:id="529" w:name="_Toc200513175"/>
      <w:bookmarkStart w:id="530" w:name="_Toc430530484"/>
      <w:bookmarkStart w:id="531" w:name="_Toc28175"/>
      <w:bookmarkStart w:id="532" w:name="_Toc287607795"/>
      <w:bookmarkStart w:id="533" w:name="_Toc19197"/>
      <w:bookmarkStart w:id="534" w:name="_Toc277082601"/>
      <w:bookmarkStart w:id="535" w:name="_Toc509218759"/>
      <w:bookmarkStart w:id="536" w:name="_Toc224103366"/>
      <w:r>
        <w:rPr>
          <w:rFonts w:ascii="宋体" w:hAnsi="宋体"/>
          <w:b w:val="0"/>
          <w:snapToGrid w:val="0"/>
          <w:sz w:val="24"/>
          <w:szCs w:val="24"/>
        </w:rPr>
        <w:t>9.3  对评标委员会成员的纪律要求</w:t>
      </w:r>
      <w:bookmarkEnd w:id="528"/>
      <w:bookmarkEnd w:id="529"/>
      <w:bookmarkEnd w:id="530"/>
      <w:bookmarkEnd w:id="531"/>
      <w:bookmarkEnd w:id="532"/>
      <w:bookmarkEnd w:id="533"/>
      <w:bookmarkEnd w:id="534"/>
      <w:bookmarkEnd w:id="535"/>
      <w:bookmarkEnd w:id="536"/>
    </w:p>
    <w:p w14:paraId="013BFED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kern w:val="0"/>
          <w:szCs w:val="21"/>
        </w:rPr>
        <w:t>，不得对招标文件中《否决投标情况一览表》以外的内容予以否决投标，否则对评标委员会成员按《重庆市综合评标专家库和评标专家管理暂行办法》进行处理。</w:t>
      </w:r>
    </w:p>
    <w:p w14:paraId="1D4FE3DF">
      <w:pPr>
        <w:pStyle w:val="5"/>
        <w:snapToGrid w:val="0"/>
        <w:spacing w:before="0" w:after="0" w:line="360" w:lineRule="auto"/>
        <w:rPr>
          <w:rFonts w:ascii="宋体" w:hAnsi="宋体"/>
          <w:b w:val="0"/>
          <w:snapToGrid w:val="0"/>
          <w:sz w:val="24"/>
          <w:szCs w:val="24"/>
        </w:rPr>
      </w:pPr>
      <w:bookmarkStart w:id="537" w:name="_Toc24888"/>
      <w:bookmarkStart w:id="538" w:name="_Toc509218760"/>
      <w:bookmarkStart w:id="539" w:name="_Toc287620735"/>
      <w:bookmarkStart w:id="540" w:name="_Toc200513176"/>
      <w:bookmarkStart w:id="541" w:name="_Toc430530485"/>
      <w:bookmarkStart w:id="542" w:name="_Toc287607796"/>
      <w:bookmarkStart w:id="543" w:name="_Toc224103367"/>
      <w:bookmarkStart w:id="544" w:name="_Toc277082602"/>
      <w:bookmarkStart w:id="545" w:name="_Toc26527"/>
      <w:r>
        <w:rPr>
          <w:rFonts w:ascii="宋体" w:hAnsi="宋体"/>
          <w:b w:val="0"/>
          <w:snapToGrid w:val="0"/>
          <w:sz w:val="24"/>
          <w:szCs w:val="24"/>
        </w:rPr>
        <w:t>9.4  对与评标活动有关的工作人员的纪律要求</w:t>
      </w:r>
      <w:bookmarkEnd w:id="537"/>
      <w:bookmarkEnd w:id="538"/>
      <w:bookmarkEnd w:id="539"/>
      <w:bookmarkEnd w:id="540"/>
      <w:bookmarkEnd w:id="541"/>
      <w:bookmarkEnd w:id="542"/>
      <w:bookmarkEnd w:id="543"/>
      <w:bookmarkEnd w:id="544"/>
      <w:bookmarkEnd w:id="545"/>
    </w:p>
    <w:p w14:paraId="07DAB7A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3F4BD1FF">
      <w:pPr>
        <w:pStyle w:val="5"/>
        <w:snapToGrid w:val="0"/>
        <w:spacing w:before="0" w:after="0" w:line="360" w:lineRule="auto"/>
        <w:rPr>
          <w:rFonts w:ascii="宋体" w:hAnsi="宋体"/>
          <w:b w:val="0"/>
          <w:snapToGrid w:val="0"/>
          <w:sz w:val="24"/>
          <w:szCs w:val="24"/>
        </w:rPr>
      </w:pPr>
      <w:bookmarkStart w:id="546" w:name="_Toc20362"/>
      <w:bookmarkStart w:id="547" w:name="_Toc509218761"/>
      <w:bookmarkStart w:id="548" w:name="_Toc277082603"/>
      <w:bookmarkStart w:id="549" w:name="_Toc200513177"/>
      <w:bookmarkStart w:id="550" w:name="_Toc287620736"/>
      <w:bookmarkStart w:id="551" w:name="_Toc16087"/>
      <w:bookmarkStart w:id="552" w:name="_Toc430530486"/>
      <w:bookmarkStart w:id="553" w:name="_Toc224103368"/>
      <w:bookmarkStart w:id="554" w:name="_Toc287607797"/>
      <w:r>
        <w:rPr>
          <w:rFonts w:ascii="宋体" w:hAnsi="宋体"/>
          <w:b w:val="0"/>
          <w:snapToGrid w:val="0"/>
          <w:sz w:val="24"/>
          <w:szCs w:val="24"/>
        </w:rPr>
        <w:t>9.5  投诉</w:t>
      </w:r>
      <w:bookmarkEnd w:id="546"/>
      <w:bookmarkEnd w:id="547"/>
      <w:bookmarkEnd w:id="548"/>
      <w:bookmarkEnd w:id="549"/>
      <w:bookmarkEnd w:id="550"/>
      <w:bookmarkEnd w:id="551"/>
      <w:bookmarkEnd w:id="552"/>
      <w:bookmarkEnd w:id="553"/>
      <w:bookmarkEnd w:id="554"/>
    </w:p>
    <w:p w14:paraId="024A170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投标人和其他利害关系人认为本次招标活动违反法律、法规和规章规定的，有权向有关行政监督部门投诉。</w:t>
      </w:r>
    </w:p>
    <w:p w14:paraId="3649536E">
      <w:pPr>
        <w:pStyle w:val="4"/>
        <w:spacing w:before="0" w:after="0" w:line="360" w:lineRule="auto"/>
        <w:rPr>
          <w:rFonts w:ascii="宋体" w:hAnsi="宋体"/>
          <w:b w:val="0"/>
          <w:snapToGrid w:val="0"/>
        </w:rPr>
      </w:pPr>
      <w:bookmarkStart w:id="555" w:name="_Toc6723"/>
      <w:bookmarkStart w:id="556" w:name="_Toc277082604"/>
      <w:bookmarkStart w:id="557" w:name="_Toc200513178"/>
      <w:bookmarkStart w:id="558" w:name="_Toc287620737"/>
      <w:bookmarkStart w:id="559" w:name="_Toc430530487"/>
      <w:bookmarkStart w:id="560" w:name="_Toc224103369"/>
      <w:bookmarkStart w:id="561" w:name="_Toc287607798"/>
      <w:bookmarkStart w:id="562" w:name="_Toc15839"/>
      <w:bookmarkStart w:id="563" w:name="_Toc509218762"/>
      <w:r>
        <w:rPr>
          <w:rFonts w:ascii="宋体" w:hAnsi="宋体"/>
          <w:b w:val="0"/>
          <w:snapToGrid w:val="0"/>
        </w:rPr>
        <w:t>10. 需要补充的其他内容</w:t>
      </w:r>
      <w:bookmarkEnd w:id="555"/>
      <w:bookmarkEnd w:id="556"/>
      <w:bookmarkEnd w:id="557"/>
      <w:bookmarkEnd w:id="558"/>
      <w:bookmarkEnd w:id="559"/>
      <w:bookmarkEnd w:id="560"/>
      <w:bookmarkEnd w:id="561"/>
      <w:bookmarkEnd w:id="562"/>
      <w:bookmarkEnd w:id="563"/>
    </w:p>
    <w:p w14:paraId="79088AA3">
      <w:pPr>
        <w:autoSpaceDE w:val="0"/>
        <w:autoSpaceDN w:val="0"/>
        <w:adjustRightInd w:val="0"/>
        <w:snapToGrid w:val="0"/>
        <w:spacing w:line="360" w:lineRule="auto"/>
        <w:ind w:firstLine="420" w:firstLineChars="200"/>
        <w:rPr>
          <w:rFonts w:ascii="宋体" w:hAnsi="宋体"/>
          <w:snapToGrid w:val="0"/>
          <w:kern w:val="0"/>
          <w:szCs w:val="21"/>
        </w:rPr>
        <w:sectPr>
          <w:footerReference r:id="rId6" w:type="default"/>
          <w:footerReference r:id="rId7" w:type="even"/>
          <w:pgSz w:w="11906" w:h="16838"/>
          <w:pgMar w:top="1304" w:right="1134" w:bottom="1304" w:left="1304" w:header="851" w:footer="992" w:gutter="0"/>
          <w:pgNumType w:fmt="decimal"/>
          <w:cols w:space="720" w:num="1"/>
          <w:docGrid w:type="lines" w:linePitch="312" w:charSpace="0"/>
        </w:sectPr>
      </w:pPr>
      <w:r>
        <w:rPr>
          <w:rFonts w:ascii="宋体" w:hAnsi="宋体"/>
          <w:snapToGrid w:val="0"/>
          <w:kern w:val="0"/>
          <w:szCs w:val="21"/>
        </w:rPr>
        <w:t>需要补充的其他内容：见投标人须知前附表。</w:t>
      </w:r>
    </w:p>
    <w:p w14:paraId="435C18E0">
      <w:pPr>
        <w:autoSpaceDE w:val="0"/>
        <w:autoSpaceDN w:val="0"/>
        <w:adjustRightInd w:val="0"/>
        <w:snapToGrid w:val="0"/>
        <w:spacing w:line="360" w:lineRule="auto"/>
        <w:ind w:firstLine="420" w:firstLineChars="200"/>
        <w:rPr>
          <w:rFonts w:ascii="宋体" w:hAnsi="宋体"/>
          <w:snapToGrid w:val="0"/>
          <w:kern w:val="0"/>
          <w:szCs w:val="21"/>
        </w:rPr>
      </w:pPr>
    </w:p>
    <w:p w14:paraId="2E8CF94E">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附表一：开标记录表</w:t>
      </w:r>
    </w:p>
    <w:p w14:paraId="4A68A9B6">
      <w:pPr>
        <w:autoSpaceDE w:val="0"/>
        <w:autoSpaceDN w:val="0"/>
        <w:adjustRightInd w:val="0"/>
        <w:snapToGrid w:val="0"/>
        <w:spacing w:line="360" w:lineRule="auto"/>
        <w:jc w:val="left"/>
        <w:rPr>
          <w:rFonts w:ascii="宋体" w:hAnsi="宋体"/>
          <w:b/>
          <w:snapToGrid w:val="0"/>
          <w:kern w:val="0"/>
        </w:rPr>
      </w:pPr>
    </w:p>
    <w:p w14:paraId="00EB61F7">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kern w:val="0"/>
          <w:sz w:val="28"/>
          <w:szCs w:val="28"/>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14:paraId="4981E216">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45"/>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14:paraId="551D4F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3953984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rPr>
            </w:pPr>
            <w:r>
              <w:rPr>
                <w:rFonts w:ascii="宋体" w:hAnsi="宋体"/>
                <w:snapToGrid w:val="0"/>
                <w:kern w:val="0"/>
                <w:szCs w:val="21"/>
              </w:rPr>
              <w:t>序号</w:t>
            </w:r>
          </w:p>
        </w:tc>
        <w:tc>
          <w:tcPr>
            <w:tcW w:w="3260" w:type="dxa"/>
            <w:vAlign w:val="center"/>
          </w:tcPr>
          <w:p w14:paraId="53B9997E">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rPr>
            </w:pPr>
            <w:r>
              <w:rPr>
                <w:rFonts w:ascii="宋体" w:hAnsi="宋体"/>
                <w:snapToGrid w:val="0"/>
                <w:kern w:val="0"/>
                <w:szCs w:val="21"/>
              </w:rPr>
              <w:t>投标人</w:t>
            </w:r>
          </w:p>
        </w:tc>
        <w:tc>
          <w:tcPr>
            <w:tcW w:w="1134" w:type="dxa"/>
            <w:vAlign w:val="center"/>
          </w:tcPr>
          <w:p w14:paraId="445DAD1F">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rPr>
            </w:pPr>
            <w:r>
              <w:rPr>
                <w:rFonts w:hint="eastAsia" w:ascii="宋体" w:hAnsi="宋体"/>
                <w:snapToGrid w:val="0"/>
                <w:kern w:val="0"/>
                <w:szCs w:val="21"/>
              </w:rPr>
              <w:t>解密情况</w:t>
            </w:r>
          </w:p>
        </w:tc>
        <w:tc>
          <w:tcPr>
            <w:tcW w:w="1559" w:type="dxa"/>
            <w:tcBorders>
              <w:right w:val="single" w:color="auto" w:sz="4" w:space="0"/>
            </w:tcBorders>
            <w:vAlign w:val="center"/>
          </w:tcPr>
          <w:p w14:paraId="4C784C1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rPr>
            </w:pPr>
            <w:r>
              <w:rPr>
                <w:rFonts w:ascii="宋体" w:hAnsi="宋体"/>
                <w:snapToGrid w:val="0"/>
                <w:kern w:val="0"/>
                <w:szCs w:val="21"/>
              </w:rPr>
              <w:t>投标总报价</w:t>
            </w:r>
          </w:p>
          <w:p w14:paraId="4D60619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snapToGrid w:val="0"/>
                <w:kern w:val="0"/>
                <w:szCs w:val="21"/>
                <w:lang w:eastAsia="zh-CN"/>
              </w:rPr>
            </w:pPr>
            <w:r>
              <w:rPr>
                <w:rFonts w:hint="eastAsia" w:ascii="宋体" w:hAnsi="宋体"/>
                <w:snapToGrid w:val="0"/>
                <w:kern w:val="0"/>
                <w:szCs w:val="21"/>
                <w:lang w:eastAsia="zh-CN"/>
              </w:rPr>
              <w:t>（</w:t>
            </w:r>
            <w:r>
              <w:rPr>
                <w:rFonts w:hint="eastAsia" w:ascii="宋体" w:hAnsi="宋体"/>
                <w:snapToGrid w:val="0"/>
                <w:kern w:val="0"/>
                <w:szCs w:val="21"/>
                <w:lang w:val="en-US" w:eastAsia="zh-CN"/>
              </w:rPr>
              <w:t>元</w:t>
            </w:r>
            <w:r>
              <w:rPr>
                <w:rFonts w:hint="eastAsia" w:ascii="宋体" w:hAnsi="宋体"/>
                <w:snapToGrid w:val="0"/>
                <w:kern w:val="0"/>
                <w:szCs w:val="21"/>
                <w:lang w:eastAsia="zh-CN"/>
              </w:rPr>
              <w:t>）</w:t>
            </w:r>
          </w:p>
        </w:tc>
        <w:tc>
          <w:tcPr>
            <w:tcW w:w="1560" w:type="dxa"/>
            <w:tcBorders>
              <w:left w:val="single" w:color="auto" w:sz="4" w:space="0"/>
            </w:tcBorders>
            <w:vAlign w:val="center"/>
          </w:tcPr>
          <w:p w14:paraId="68F1808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rPr>
            </w:pPr>
            <w:r>
              <w:rPr>
                <w:rFonts w:ascii="宋体" w:hAnsi="宋体"/>
                <w:snapToGrid w:val="0"/>
                <w:kern w:val="0"/>
                <w:szCs w:val="21"/>
              </w:rPr>
              <w:t>安全文明施工费暂定金额</w:t>
            </w:r>
          </w:p>
        </w:tc>
        <w:tc>
          <w:tcPr>
            <w:tcW w:w="1275" w:type="dxa"/>
            <w:vAlign w:val="center"/>
          </w:tcPr>
          <w:p w14:paraId="5867566E">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rPr>
            </w:pPr>
            <w:r>
              <w:rPr>
                <w:rFonts w:ascii="宋体" w:hAnsi="宋体"/>
                <w:snapToGrid w:val="0"/>
                <w:kern w:val="0"/>
                <w:szCs w:val="21"/>
              </w:rPr>
              <w:t>质量目标</w:t>
            </w:r>
          </w:p>
        </w:tc>
        <w:tc>
          <w:tcPr>
            <w:tcW w:w="993" w:type="dxa"/>
            <w:vAlign w:val="center"/>
          </w:tcPr>
          <w:p w14:paraId="6E1F4FF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rPr>
            </w:pPr>
            <w:r>
              <w:rPr>
                <w:rFonts w:ascii="宋体" w:hAnsi="宋体"/>
                <w:snapToGrid w:val="0"/>
                <w:kern w:val="0"/>
                <w:szCs w:val="21"/>
              </w:rPr>
              <w:t>工期</w:t>
            </w:r>
          </w:p>
        </w:tc>
        <w:tc>
          <w:tcPr>
            <w:tcW w:w="1285" w:type="dxa"/>
            <w:vAlign w:val="center"/>
          </w:tcPr>
          <w:p w14:paraId="13EDA3E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rPr>
            </w:pPr>
            <w:r>
              <w:rPr>
                <w:rFonts w:ascii="宋体" w:hAnsi="宋体"/>
                <w:snapToGrid w:val="0"/>
                <w:kern w:val="0"/>
                <w:szCs w:val="21"/>
              </w:rPr>
              <w:t>项目经理</w:t>
            </w:r>
          </w:p>
        </w:tc>
        <w:tc>
          <w:tcPr>
            <w:tcW w:w="947" w:type="dxa"/>
            <w:vAlign w:val="center"/>
          </w:tcPr>
          <w:p w14:paraId="7A1006C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rPr>
            </w:pPr>
            <w:r>
              <w:rPr>
                <w:rFonts w:ascii="宋体" w:hAnsi="宋体"/>
                <w:snapToGrid w:val="0"/>
                <w:kern w:val="0"/>
                <w:szCs w:val="21"/>
              </w:rPr>
              <w:t>备注</w:t>
            </w:r>
          </w:p>
        </w:tc>
        <w:tc>
          <w:tcPr>
            <w:tcW w:w="1311" w:type="dxa"/>
            <w:vAlign w:val="center"/>
          </w:tcPr>
          <w:p w14:paraId="4CA9D357">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rPr>
            </w:pPr>
            <w:r>
              <w:rPr>
                <w:rFonts w:ascii="宋体" w:hAnsi="宋体"/>
                <w:snapToGrid w:val="0"/>
                <w:kern w:val="0"/>
                <w:szCs w:val="21"/>
              </w:rPr>
              <w:t>签名</w:t>
            </w:r>
          </w:p>
        </w:tc>
      </w:tr>
      <w:tr w14:paraId="57E4F9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C811EE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3260" w:type="dxa"/>
            <w:vAlign w:val="center"/>
          </w:tcPr>
          <w:p w14:paraId="04FFFCE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134" w:type="dxa"/>
            <w:vAlign w:val="center"/>
          </w:tcPr>
          <w:p w14:paraId="58E5234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559" w:type="dxa"/>
            <w:tcBorders>
              <w:right w:val="single" w:color="auto" w:sz="4" w:space="0"/>
            </w:tcBorders>
            <w:vAlign w:val="center"/>
          </w:tcPr>
          <w:p w14:paraId="654AD9F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560" w:type="dxa"/>
            <w:tcBorders>
              <w:left w:val="single" w:color="auto" w:sz="4" w:space="0"/>
            </w:tcBorders>
            <w:vAlign w:val="center"/>
          </w:tcPr>
          <w:p w14:paraId="1A9E1A7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275" w:type="dxa"/>
            <w:vAlign w:val="center"/>
          </w:tcPr>
          <w:p w14:paraId="5249B61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993" w:type="dxa"/>
            <w:vAlign w:val="center"/>
          </w:tcPr>
          <w:p w14:paraId="79AD8E6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285" w:type="dxa"/>
            <w:vAlign w:val="center"/>
          </w:tcPr>
          <w:p w14:paraId="0968458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947" w:type="dxa"/>
            <w:vAlign w:val="center"/>
          </w:tcPr>
          <w:p w14:paraId="229FABA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311" w:type="dxa"/>
            <w:vAlign w:val="center"/>
          </w:tcPr>
          <w:p w14:paraId="5684546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r>
      <w:tr w14:paraId="023B82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7A0F29D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3260" w:type="dxa"/>
            <w:vAlign w:val="center"/>
          </w:tcPr>
          <w:p w14:paraId="72DB6D9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134" w:type="dxa"/>
            <w:vAlign w:val="center"/>
          </w:tcPr>
          <w:p w14:paraId="56C3B5B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559" w:type="dxa"/>
            <w:tcBorders>
              <w:right w:val="single" w:color="auto" w:sz="4" w:space="0"/>
            </w:tcBorders>
            <w:vAlign w:val="center"/>
          </w:tcPr>
          <w:p w14:paraId="34877DD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560" w:type="dxa"/>
            <w:tcBorders>
              <w:left w:val="single" w:color="auto" w:sz="4" w:space="0"/>
            </w:tcBorders>
            <w:vAlign w:val="center"/>
          </w:tcPr>
          <w:p w14:paraId="56F36D5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275" w:type="dxa"/>
            <w:vAlign w:val="center"/>
          </w:tcPr>
          <w:p w14:paraId="426A2CB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993" w:type="dxa"/>
            <w:vAlign w:val="center"/>
          </w:tcPr>
          <w:p w14:paraId="43D9E6E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285" w:type="dxa"/>
            <w:vAlign w:val="center"/>
          </w:tcPr>
          <w:p w14:paraId="2C934C5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947" w:type="dxa"/>
            <w:vAlign w:val="center"/>
          </w:tcPr>
          <w:p w14:paraId="59625D1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311" w:type="dxa"/>
            <w:vAlign w:val="center"/>
          </w:tcPr>
          <w:p w14:paraId="3CC564A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r>
      <w:tr w14:paraId="704D2B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0C42472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3260" w:type="dxa"/>
            <w:vAlign w:val="center"/>
          </w:tcPr>
          <w:p w14:paraId="4B215A6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134" w:type="dxa"/>
            <w:vAlign w:val="center"/>
          </w:tcPr>
          <w:p w14:paraId="1E8D3DE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559" w:type="dxa"/>
            <w:tcBorders>
              <w:right w:val="single" w:color="auto" w:sz="4" w:space="0"/>
            </w:tcBorders>
            <w:vAlign w:val="center"/>
          </w:tcPr>
          <w:p w14:paraId="1298D1D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560" w:type="dxa"/>
            <w:tcBorders>
              <w:left w:val="single" w:color="auto" w:sz="4" w:space="0"/>
            </w:tcBorders>
            <w:vAlign w:val="center"/>
          </w:tcPr>
          <w:p w14:paraId="46F81A6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275" w:type="dxa"/>
            <w:vAlign w:val="center"/>
          </w:tcPr>
          <w:p w14:paraId="65ACF82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993" w:type="dxa"/>
            <w:vAlign w:val="center"/>
          </w:tcPr>
          <w:p w14:paraId="3FD095A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285" w:type="dxa"/>
            <w:vAlign w:val="center"/>
          </w:tcPr>
          <w:p w14:paraId="4892B8C5">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947" w:type="dxa"/>
            <w:vAlign w:val="center"/>
          </w:tcPr>
          <w:p w14:paraId="019F18E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311" w:type="dxa"/>
            <w:vAlign w:val="center"/>
          </w:tcPr>
          <w:p w14:paraId="229E8AC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r>
      <w:tr w14:paraId="5BCBFD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7BE0A76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3260" w:type="dxa"/>
            <w:vAlign w:val="center"/>
          </w:tcPr>
          <w:p w14:paraId="7D9DDF4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134" w:type="dxa"/>
            <w:vAlign w:val="center"/>
          </w:tcPr>
          <w:p w14:paraId="3A6408B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559" w:type="dxa"/>
            <w:tcBorders>
              <w:right w:val="single" w:color="auto" w:sz="4" w:space="0"/>
            </w:tcBorders>
            <w:vAlign w:val="center"/>
          </w:tcPr>
          <w:p w14:paraId="79395AD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560" w:type="dxa"/>
            <w:tcBorders>
              <w:left w:val="single" w:color="auto" w:sz="4" w:space="0"/>
            </w:tcBorders>
            <w:vAlign w:val="center"/>
          </w:tcPr>
          <w:p w14:paraId="2967A46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275" w:type="dxa"/>
            <w:vAlign w:val="center"/>
          </w:tcPr>
          <w:p w14:paraId="3AA7C35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993" w:type="dxa"/>
            <w:vAlign w:val="center"/>
          </w:tcPr>
          <w:p w14:paraId="569E5EA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285" w:type="dxa"/>
            <w:vAlign w:val="center"/>
          </w:tcPr>
          <w:p w14:paraId="77D8189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947" w:type="dxa"/>
            <w:vAlign w:val="center"/>
          </w:tcPr>
          <w:p w14:paraId="4B92329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311" w:type="dxa"/>
            <w:vAlign w:val="center"/>
          </w:tcPr>
          <w:p w14:paraId="3D4123B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r>
      <w:tr w14:paraId="3630D5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6AF6606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3260" w:type="dxa"/>
            <w:vAlign w:val="center"/>
          </w:tcPr>
          <w:p w14:paraId="7D8E51A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134" w:type="dxa"/>
            <w:vAlign w:val="center"/>
          </w:tcPr>
          <w:p w14:paraId="08876887">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559" w:type="dxa"/>
            <w:tcBorders>
              <w:right w:val="single" w:color="auto" w:sz="4" w:space="0"/>
            </w:tcBorders>
            <w:vAlign w:val="center"/>
          </w:tcPr>
          <w:p w14:paraId="1AC0A06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560" w:type="dxa"/>
            <w:tcBorders>
              <w:left w:val="single" w:color="auto" w:sz="4" w:space="0"/>
            </w:tcBorders>
            <w:vAlign w:val="center"/>
          </w:tcPr>
          <w:p w14:paraId="2738149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275" w:type="dxa"/>
            <w:vAlign w:val="center"/>
          </w:tcPr>
          <w:p w14:paraId="5435C36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993" w:type="dxa"/>
            <w:vAlign w:val="center"/>
          </w:tcPr>
          <w:p w14:paraId="5EECD6F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285" w:type="dxa"/>
            <w:vAlign w:val="center"/>
          </w:tcPr>
          <w:p w14:paraId="20FE1667">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947" w:type="dxa"/>
            <w:vAlign w:val="center"/>
          </w:tcPr>
          <w:p w14:paraId="1AA806F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c>
          <w:tcPr>
            <w:tcW w:w="1311" w:type="dxa"/>
            <w:vAlign w:val="center"/>
          </w:tcPr>
          <w:p w14:paraId="10658ED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r>
      <w:tr w14:paraId="4AED2F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693" w:type="dxa"/>
            <w:gridSpan w:val="2"/>
            <w:vAlign w:val="center"/>
          </w:tcPr>
          <w:p w14:paraId="7191DFA1">
            <w:pPr>
              <w:autoSpaceDE w:val="0"/>
              <w:autoSpaceDN w:val="0"/>
              <w:adjustRightInd w:val="0"/>
              <w:snapToGrid w:val="0"/>
              <w:spacing w:line="400" w:lineRule="exact"/>
              <w:jc w:val="center"/>
              <w:rPr>
                <w:rFonts w:ascii="宋体" w:hAnsi="宋体"/>
                <w:snapToGrid w:val="0"/>
                <w:kern w:val="0"/>
                <w:sz w:val="28"/>
                <w:szCs w:val="28"/>
              </w:rPr>
            </w:pPr>
            <w:r>
              <w:rPr>
                <w:rFonts w:ascii="宋体" w:hAnsi="宋体"/>
                <w:snapToGrid w:val="0"/>
                <w:kern w:val="0"/>
                <w:szCs w:val="21"/>
              </w:rPr>
              <w:t>最高限价</w:t>
            </w:r>
          </w:p>
        </w:tc>
        <w:tc>
          <w:tcPr>
            <w:tcW w:w="10064" w:type="dxa"/>
            <w:gridSpan w:val="8"/>
            <w:vAlign w:val="center"/>
          </w:tcPr>
          <w:p w14:paraId="638E95D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kern w:val="0"/>
                <w:sz w:val="28"/>
                <w:szCs w:val="28"/>
              </w:rPr>
            </w:pPr>
          </w:p>
        </w:tc>
      </w:tr>
      <w:tr w14:paraId="74587F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4126F18F">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kern w:val="0"/>
                <w:szCs w:val="21"/>
              </w:rPr>
            </w:pPr>
            <w:r>
              <w:rPr>
                <w:rFonts w:hint="eastAsia" w:ascii="宋体" w:hAnsi="宋体" w:cs="宋体"/>
                <w:snapToGrid w:val="0"/>
                <w:kern w:val="0"/>
                <w:szCs w:val="21"/>
                <w:lang w:eastAsia="zh-CN"/>
              </w:rPr>
              <w:t>相关选项抽取情况</w:t>
            </w:r>
          </w:p>
        </w:tc>
        <w:tc>
          <w:tcPr>
            <w:tcW w:w="10064" w:type="dxa"/>
            <w:gridSpan w:val="8"/>
            <w:tcBorders>
              <w:bottom w:val="single" w:color="auto" w:sz="4" w:space="0"/>
            </w:tcBorders>
            <w:vAlign w:val="center"/>
          </w:tcPr>
          <w:p w14:paraId="5ECE74B6">
            <w:pPr>
              <w:autoSpaceDE w:val="0"/>
              <w:autoSpaceDN w:val="0"/>
              <w:adjustRightInd w:val="0"/>
              <w:snapToGrid w:val="0"/>
              <w:spacing w:line="400" w:lineRule="exact"/>
              <w:ind w:firstLine="420" w:firstLineChars="200"/>
              <w:jc w:val="left"/>
              <w:rPr>
                <w:rFonts w:ascii="宋体" w:hAnsi="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eastAsia="zh-CN"/>
              </w:rPr>
              <w:t>抽取的</w:t>
            </w:r>
            <w:r>
              <w:rPr>
                <w:rFonts w:hint="eastAsia" w:ascii="宋体" w:hAnsi="宋体" w:cs="宋体"/>
                <w:snapToGrid w:val="0"/>
                <w:kern w:val="0"/>
                <w:szCs w:val="21"/>
              </w:rPr>
              <w:t>评标基准价计算方式</w:t>
            </w:r>
            <w:r>
              <w:rPr>
                <w:rFonts w:hint="eastAsia" w:ascii="宋体" w:hAnsi="宋体" w:cs="宋体"/>
                <w:snapToGrid w:val="0"/>
                <w:kern w:val="0"/>
                <w:szCs w:val="21"/>
                <w:lang w:eastAsia="zh-CN"/>
              </w:rPr>
              <w:t>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w:t>
            </w:r>
            <w:r>
              <w:rPr>
                <w:rFonts w:hint="eastAsia" w:ascii="宋体" w:hAnsi="宋体" w:cs="宋体"/>
                <w:snapToGrid w:val="0"/>
                <w:kern w:val="0"/>
                <w:szCs w:val="21"/>
                <w:u w:val="none"/>
                <w:lang w:val="en-US" w:eastAsia="zh-CN"/>
              </w:rPr>
              <w:t>抽取的</w:t>
            </w:r>
            <w:r>
              <w:rPr>
                <w:rFonts w:hint="eastAsia" w:ascii="宋体" w:hAnsi="宋体" w:cs="宋体"/>
                <w:snapToGrid w:val="0"/>
                <w:kern w:val="0"/>
                <w:szCs w:val="21"/>
              </w:rPr>
              <w:t>下浮系数N</w:t>
            </w:r>
            <w:r>
              <w:rPr>
                <w:rFonts w:hint="eastAsia" w:ascii="宋体" w:hAnsi="宋体" w:cs="宋体"/>
                <w:snapToGrid w:val="0"/>
                <w:kern w:val="0"/>
                <w:szCs w:val="21"/>
                <w:lang w:eastAsia="zh-CN"/>
              </w:rPr>
              <w:t>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lang w:eastAsia="zh-CN"/>
              </w:rPr>
              <w:t>；</w:t>
            </w:r>
            <w:r>
              <w:rPr>
                <w:rFonts w:hint="eastAsia" w:ascii="宋体" w:hAnsi="宋体" w:cs="宋体"/>
                <w:snapToGrid w:val="0"/>
                <w:kern w:val="0"/>
                <w:szCs w:val="21"/>
              </w:rPr>
              <w:t>□</w:t>
            </w:r>
            <w:r>
              <w:rPr>
                <w:rFonts w:hint="eastAsia" w:ascii="宋体" w:hAnsi="宋体" w:cs="宋体"/>
                <w:snapToGrid w:val="0"/>
                <w:kern w:val="0"/>
                <w:szCs w:val="21"/>
                <w:lang w:eastAsia="zh-CN"/>
              </w:rPr>
              <w:t>抽取的</w:t>
            </w:r>
            <w:r>
              <w:rPr>
                <w:rFonts w:hint="eastAsia" w:ascii="宋体" w:hAnsi="宋体" w:cs="宋体"/>
                <w:snapToGrid w:val="0"/>
                <w:kern w:val="0"/>
                <w:szCs w:val="21"/>
              </w:rPr>
              <w:t>权重M</w:t>
            </w:r>
            <w:r>
              <w:rPr>
                <w:rFonts w:hint="eastAsia" w:ascii="宋体" w:hAnsi="宋体" w:cs="宋体"/>
                <w:snapToGrid w:val="0"/>
                <w:kern w:val="0"/>
                <w:szCs w:val="21"/>
                <w:lang w:eastAsia="zh-CN"/>
              </w:rPr>
              <w:t>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lang w:val="en-US" w:eastAsia="zh-CN"/>
              </w:rPr>
              <w:t>。</w:t>
            </w:r>
          </w:p>
        </w:tc>
      </w:tr>
      <w:tr w14:paraId="054051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tcBorders>
            <w:vAlign w:val="center"/>
          </w:tcPr>
          <w:p w14:paraId="5376B02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szCs w:val="21"/>
              </w:rPr>
            </w:pPr>
            <w:r>
              <w:rPr>
                <w:rFonts w:hint="eastAsia"/>
                <w:szCs w:val="21"/>
              </w:rPr>
              <w:t>异常情况</w:t>
            </w:r>
          </w:p>
        </w:tc>
        <w:tc>
          <w:tcPr>
            <w:tcW w:w="10064" w:type="dxa"/>
            <w:gridSpan w:val="8"/>
            <w:tcBorders>
              <w:top w:val="single" w:color="auto" w:sz="4" w:space="0"/>
            </w:tcBorders>
            <w:vAlign w:val="center"/>
          </w:tcPr>
          <w:p w14:paraId="784FB04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i/>
                <w:kern w:val="0"/>
                <w:szCs w:val="21"/>
              </w:rPr>
            </w:pPr>
          </w:p>
        </w:tc>
      </w:tr>
    </w:tbl>
    <w:p w14:paraId="0A7A67E2">
      <w:pPr>
        <w:tabs>
          <w:tab w:val="left" w:pos="2740"/>
          <w:tab w:val="left" w:pos="4940"/>
          <w:tab w:val="left" w:pos="7140"/>
        </w:tabs>
        <w:autoSpaceDE w:val="0"/>
        <w:autoSpaceDN w:val="0"/>
        <w:adjustRightInd w:val="0"/>
        <w:snapToGrid w:val="0"/>
        <w:spacing w:beforeLines="0" w:after="0" w:line="360" w:lineRule="auto"/>
        <w:ind w:firstLine="480" w:firstLineChars="200"/>
        <w:jc w:val="left"/>
        <w:rPr>
          <w:rFonts w:hint="eastAsia" w:ascii="宋体" w:hAnsi="宋体" w:cs="宋体"/>
          <w:snapToGrid w:val="0"/>
          <w:kern w:val="0"/>
          <w:szCs w:val="21"/>
        </w:rPr>
      </w:pPr>
      <w:r>
        <w:rPr>
          <w:rFonts w:hint="eastAsia" w:ascii="宋体" w:hAnsi="宋体" w:cs="宋体"/>
          <w:snapToGrid w:val="0"/>
          <w:kern w:val="0"/>
          <w:sz w:val="24"/>
          <w:lang w:val="en-US" w:eastAsia="zh-CN"/>
        </w:rPr>
        <w:t>（注：</w:t>
      </w:r>
      <w:r>
        <w:rPr>
          <w:rFonts w:hint="eastAsia" w:ascii="宋体" w:hAnsi="宋体" w:cs="宋体"/>
          <w:snapToGrid w:val="0"/>
          <w:kern w:val="0"/>
          <w:szCs w:val="21"/>
        </w:rPr>
        <w:t>招标人</w:t>
      </w:r>
      <w:r>
        <w:rPr>
          <w:rFonts w:hint="eastAsia" w:ascii="宋体" w:hAnsi="宋体" w:cs="宋体"/>
          <w:snapToGrid w:val="0"/>
          <w:kern w:val="0"/>
          <w:szCs w:val="21"/>
          <w:lang w:eastAsia="zh-CN"/>
        </w:rPr>
        <w:t>、</w:t>
      </w:r>
      <w:r>
        <w:rPr>
          <w:rFonts w:hint="eastAsia" w:ascii="宋体" w:hAnsi="宋体" w:cs="宋体"/>
          <w:snapToGrid w:val="0"/>
          <w:w w:val="100"/>
          <w:kern w:val="0"/>
          <w:szCs w:val="21"/>
          <w:lang w:eastAsia="zh-CN"/>
        </w:rPr>
        <w:t>招标代理机构、</w:t>
      </w:r>
      <w:r>
        <w:rPr>
          <w:rFonts w:hint="eastAsia" w:ascii="宋体" w:hAnsi="宋体" w:cs="宋体"/>
          <w:snapToGrid w:val="0"/>
          <w:kern w:val="0"/>
          <w:szCs w:val="21"/>
          <w:lang w:eastAsia="zh-CN"/>
        </w:rPr>
        <w:t>监标人</w:t>
      </w:r>
      <w:r>
        <w:rPr>
          <w:rFonts w:hint="eastAsia" w:ascii="宋体" w:hAnsi="宋体" w:cs="宋体"/>
          <w:snapToGrid w:val="0"/>
          <w:kern w:val="0"/>
          <w:szCs w:val="21"/>
          <w:lang w:val="en-US" w:eastAsia="zh-CN"/>
        </w:rPr>
        <w:t>栏显示单位名称，</w:t>
      </w:r>
      <w:r>
        <w:rPr>
          <w:rFonts w:hint="eastAsia" w:ascii="宋体" w:hAnsi="宋体" w:cs="宋体"/>
          <w:snapToGrid w:val="0"/>
          <w:kern w:val="0"/>
          <w:szCs w:val="21"/>
        </w:rPr>
        <w:t>主持人</w:t>
      </w:r>
      <w:r>
        <w:rPr>
          <w:rFonts w:hint="eastAsia" w:ascii="宋体" w:hAnsi="宋体" w:cs="宋体"/>
          <w:snapToGrid w:val="0"/>
          <w:kern w:val="0"/>
          <w:szCs w:val="21"/>
          <w:lang w:eastAsia="zh-CN"/>
        </w:rPr>
        <w:t>、</w:t>
      </w:r>
      <w:r>
        <w:rPr>
          <w:rFonts w:hint="eastAsia" w:ascii="宋体" w:hAnsi="宋体" w:cs="宋体"/>
          <w:snapToGrid w:val="0"/>
          <w:kern w:val="0"/>
          <w:szCs w:val="21"/>
        </w:rPr>
        <w:t>记录人</w:t>
      </w:r>
      <w:r>
        <w:rPr>
          <w:rFonts w:hint="eastAsia" w:ascii="宋体" w:hAnsi="宋体" w:cs="宋体"/>
          <w:snapToGrid w:val="0"/>
          <w:kern w:val="0"/>
          <w:szCs w:val="21"/>
          <w:lang w:val="en-US" w:eastAsia="zh-CN"/>
        </w:rPr>
        <w:t>栏显示人名。</w:t>
      </w:r>
      <w:r>
        <w:rPr>
          <w:rFonts w:hint="eastAsia" w:ascii="宋体" w:hAnsi="宋体" w:cs="宋体"/>
          <w:snapToGrid w:val="0"/>
          <w:kern w:val="0"/>
          <w:sz w:val="24"/>
          <w:lang w:val="en-US" w:eastAsia="zh-CN"/>
        </w:rPr>
        <w:t>）</w:t>
      </w:r>
    </w:p>
    <w:p w14:paraId="1C2E7249">
      <w:pPr>
        <w:tabs>
          <w:tab w:val="left" w:pos="2740"/>
          <w:tab w:val="left" w:pos="4940"/>
          <w:tab w:val="left" w:pos="6930"/>
        </w:tabs>
        <w:autoSpaceDE w:val="0"/>
        <w:autoSpaceDN w:val="0"/>
        <w:adjustRightInd w:val="0"/>
        <w:snapToGrid w:val="0"/>
        <w:spacing w:beforeLines="0" w:after="0" w:line="360" w:lineRule="auto"/>
        <w:ind w:firstLine="420" w:firstLineChars="200"/>
        <w:jc w:val="left"/>
        <w:rPr>
          <w:rFonts w:hint="eastAsia" w:ascii="宋体" w:hAnsi="宋体" w:cs="宋体"/>
          <w:snapToGrid w:val="0"/>
          <w:w w:val="200"/>
          <w:kern w:val="0"/>
          <w:szCs w:val="21"/>
        </w:rPr>
      </w:pPr>
      <w:r>
        <w:rPr>
          <w:rFonts w:hint="eastAsia" w:ascii="宋体" w:hAnsi="宋体" w:cs="宋体"/>
          <w:snapToGrid w:val="0"/>
          <w:kern w:val="0"/>
          <w:szCs w:val="21"/>
        </w:rPr>
        <w:t>招标人：</w:t>
      </w:r>
      <w:r>
        <w:rPr>
          <w:rFonts w:hint="eastAsia" w:ascii="宋体" w:hAnsi="宋体" w:cs="宋体"/>
          <w:snapToGrid w:val="0"/>
          <w:w w:val="200"/>
          <w:kern w:val="0"/>
          <w:szCs w:val="21"/>
          <w:u w:val="single"/>
        </w:rPr>
        <w:t xml:space="preserve">      </w:t>
      </w:r>
      <w:r>
        <w:rPr>
          <w:rFonts w:hint="eastAsia" w:ascii="宋体" w:hAnsi="宋体" w:cs="宋体"/>
          <w:snapToGrid w:val="0"/>
          <w:w w:val="200"/>
          <w:kern w:val="0"/>
          <w:szCs w:val="21"/>
        </w:rPr>
        <w:t xml:space="preserve">      </w:t>
      </w:r>
      <w:r>
        <w:rPr>
          <w:rFonts w:hint="eastAsia" w:ascii="宋体" w:hAnsi="宋体" w:cs="宋体"/>
          <w:snapToGrid w:val="0"/>
          <w:kern w:val="0"/>
          <w:szCs w:val="21"/>
          <w:lang w:val="en-US" w:eastAsia="zh-CN"/>
        </w:rPr>
        <w:t>招标代理机构</w:t>
      </w:r>
      <w:r>
        <w:rPr>
          <w:rFonts w:hint="eastAsia" w:ascii="宋体" w:hAnsi="宋体" w:cs="宋体"/>
          <w:snapToGrid w:val="0"/>
          <w:kern w:val="0"/>
          <w:szCs w:val="21"/>
        </w:rPr>
        <w:t>：</w:t>
      </w:r>
      <w:r>
        <w:rPr>
          <w:rFonts w:hint="eastAsia" w:ascii="宋体" w:hAnsi="宋体" w:cs="宋体"/>
          <w:snapToGrid w:val="0"/>
          <w:w w:val="200"/>
          <w:kern w:val="0"/>
          <w:szCs w:val="21"/>
          <w:u w:val="single"/>
        </w:rPr>
        <w:t xml:space="preserve">      </w:t>
      </w:r>
      <w:r>
        <w:rPr>
          <w:rFonts w:hint="eastAsia" w:ascii="宋体" w:hAnsi="宋体" w:cs="宋体"/>
          <w:snapToGrid w:val="0"/>
          <w:w w:val="200"/>
          <w:kern w:val="0"/>
          <w:szCs w:val="21"/>
        </w:rPr>
        <w:t xml:space="preserve">      </w:t>
      </w:r>
      <w:r>
        <w:rPr>
          <w:rFonts w:hint="eastAsia" w:ascii="宋体" w:hAnsi="宋体" w:cs="宋体"/>
          <w:snapToGrid w:val="0"/>
          <w:kern w:val="0"/>
          <w:szCs w:val="21"/>
          <w:lang w:val="en-US" w:eastAsia="zh-CN"/>
        </w:rPr>
        <w:t>监标人</w:t>
      </w:r>
      <w:r>
        <w:rPr>
          <w:rFonts w:hint="eastAsia" w:ascii="宋体" w:hAnsi="宋体" w:cs="宋体"/>
          <w:snapToGrid w:val="0"/>
          <w:kern w:val="0"/>
          <w:szCs w:val="21"/>
        </w:rPr>
        <w:t>：</w:t>
      </w:r>
      <w:r>
        <w:rPr>
          <w:rFonts w:hint="eastAsia" w:ascii="宋体" w:hAnsi="宋体" w:cs="宋体"/>
          <w:snapToGrid w:val="0"/>
          <w:w w:val="200"/>
          <w:kern w:val="0"/>
          <w:szCs w:val="21"/>
          <w:u w:val="single"/>
        </w:rPr>
        <w:t xml:space="preserve">      </w:t>
      </w:r>
    </w:p>
    <w:p w14:paraId="1AB1EE8E">
      <w:pPr>
        <w:tabs>
          <w:tab w:val="left" w:pos="2740"/>
          <w:tab w:val="left" w:pos="4940"/>
          <w:tab w:val="left" w:pos="6930"/>
        </w:tabs>
        <w:autoSpaceDE w:val="0"/>
        <w:autoSpaceDN w:val="0"/>
        <w:adjustRightInd w:val="0"/>
        <w:snapToGrid w:val="0"/>
        <w:spacing w:line="360" w:lineRule="auto"/>
        <w:ind w:firstLine="420" w:firstLineChars="200"/>
        <w:jc w:val="left"/>
        <w:rPr>
          <w:rFonts w:ascii="宋体" w:hAnsi="宋体"/>
          <w:snapToGrid w:val="0"/>
          <w:kern w:val="0"/>
          <w:szCs w:val="21"/>
        </w:rPr>
      </w:pPr>
      <w:r>
        <w:rPr>
          <w:rFonts w:hint="eastAsia" w:ascii="宋体" w:hAnsi="宋体" w:cs="宋体"/>
          <w:snapToGrid w:val="0"/>
          <w:kern w:val="0"/>
          <w:szCs w:val="21"/>
        </w:rPr>
        <w:t>主持人：</w:t>
      </w:r>
      <w:r>
        <w:rPr>
          <w:rFonts w:hint="eastAsia" w:ascii="宋体" w:hAnsi="宋体" w:cs="宋体"/>
          <w:snapToGrid w:val="0"/>
          <w:w w:val="200"/>
          <w:kern w:val="0"/>
          <w:szCs w:val="21"/>
          <w:u w:val="single"/>
        </w:rPr>
        <w:t xml:space="preserve">      </w:t>
      </w:r>
      <w:r>
        <w:rPr>
          <w:rFonts w:hint="eastAsia" w:ascii="宋体" w:hAnsi="宋体" w:cs="宋体"/>
          <w:snapToGrid w:val="0"/>
          <w:w w:val="200"/>
          <w:kern w:val="0"/>
          <w:szCs w:val="21"/>
        </w:rPr>
        <w:t xml:space="preserve">      </w:t>
      </w:r>
      <w:r>
        <w:rPr>
          <w:rFonts w:hint="eastAsia" w:ascii="宋体" w:hAnsi="宋体" w:cs="宋体"/>
          <w:snapToGrid w:val="0"/>
          <w:kern w:val="0"/>
          <w:szCs w:val="21"/>
        </w:rPr>
        <w:t>记录人：</w:t>
      </w:r>
      <w:r>
        <w:rPr>
          <w:rFonts w:hint="eastAsia" w:ascii="宋体" w:hAnsi="宋体" w:cs="宋体"/>
          <w:snapToGrid w:val="0"/>
          <w:w w:val="200"/>
          <w:kern w:val="0"/>
          <w:szCs w:val="21"/>
          <w:u w:val="single"/>
        </w:rPr>
        <w:t xml:space="preserve">      </w:t>
      </w:r>
    </w:p>
    <w:p w14:paraId="3D921C38">
      <w:pPr>
        <w:autoSpaceDE w:val="0"/>
        <w:autoSpaceDN w:val="0"/>
        <w:adjustRightInd w:val="0"/>
        <w:snapToGrid w:val="0"/>
        <w:spacing w:before="62" w:beforeLines="20" w:line="360" w:lineRule="auto"/>
        <w:jc w:val="right"/>
        <w:rPr>
          <w:rFonts w:ascii="宋体" w:hAnsi="宋体"/>
          <w:snapToGrid w:val="0"/>
          <w:kern w:val="0"/>
          <w:sz w:val="24"/>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14:paraId="3175FCE6">
      <w:pPr>
        <w:autoSpaceDE w:val="0"/>
        <w:autoSpaceDN w:val="0"/>
        <w:adjustRightInd w:val="0"/>
        <w:snapToGrid w:val="0"/>
        <w:spacing w:before="62" w:beforeLines="20" w:line="360" w:lineRule="auto"/>
        <w:rPr>
          <w:rFonts w:ascii="宋体" w:hAnsi="宋体"/>
          <w:snapToGrid w:val="0"/>
          <w:kern w:val="0"/>
          <w:sz w:val="24"/>
        </w:rPr>
        <w:sectPr>
          <w:pgSz w:w="16838" w:h="11906" w:orient="landscape"/>
          <w:pgMar w:top="1304" w:right="1304" w:bottom="1134" w:left="1304" w:header="851" w:footer="992" w:gutter="0"/>
          <w:pgNumType w:fmt="decimal"/>
          <w:cols w:space="720" w:num="1"/>
          <w:docGrid w:type="lines" w:linePitch="312" w:charSpace="0"/>
        </w:sectPr>
      </w:pPr>
    </w:p>
    <w:p w14:paraId="2D2E4E9F">
      <w:pPr>
        <w:autoSpaceDE w:val="0"/>
        <w:autoSpaceDN w:val="0"/>
        <w:adjustRightInd w:val="0"/>
        <w:snapToGrid w:val="0"/>
        <w:spacing w:before="62" w:beforeLines="20" w:line="360" w:lineRule="auto"/>
        <w:rPr>
          <w:rFonts w:ascii="宋体" w:hAnsi="宋体"/>
          <w:snapToGrid w:val="0"/>
          <w:kern w:val="0"/>
          <w:sz w:val="24"/>
        </w:rPr>
      </w:pPr>
      <w:r>
        <w:rPr>
          <w:rFonts w:ascii="宋体" w:hAnsi="宋体"/>
          <w:b/>
          <w:snapToGrid w:val="0"/>
          <w:kern w:val="0"/>
        </w:rPr>
        <w:t>附表</w:t>
      </w:r>
      <w:r>
        <w:rPr>
          <w:rFonts w:hint="eastAsia" w:ascii="宋体" w:hAnsi="宋体"/>
          <w:b/>
          <w:snapToGrid w:val="0"/>
          <w:kern w:val="0"/>
        </w:rPr>
        <w:t>二</w:t>
      </w:r>
      <w:r>
        <w:rPr>
          <w:rFonts w:ascii="宋体" w:hAnsi="宋体"/>
          <w:b/>
          <w:snapToGrid w:val="0"/>
          <w:kern w:val="0"/>
        </w:rPr>
        <w:t>：纸质投标保函递交情况一览表（如有）</w:t>
      </w:r>
    </w:p>
    <w:p w14:paraId="7CFDE033">
      <w:pPr>
        <w:autoSpaceDE w:val="0"/>
        <w:autoSpaceDN w:val="0"/>
        <w:adjustRightInd w:val="0"/>
        <w:snapToGrid w:val="0"/>
        <w:spacing w:before="62" w:beforeLines="20" w:line="360" w:lineRule="auto"/>
        <w:jc w:val="center"/>
        <w:rPr>
          <w:rFonts w:ascii="宋体" w:hAnsi="宋体"/>
          <w:szCs w:val="21"/>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（项目名称）纸质投标保函</w:t>
      </w:r>
      <w:r>
        <w:rPr>
          <w:rFonts w:hint="eastAsia" w:ascii="宋体" w:hAnsi="宋体"/>
          <w:b/>
          <w:snapToGrid w:val="0"/>
          <w:w w:val="99"/>
          <w:kern w:val="0"/>
          <w:sz w:val="28"/>
          <w:szCs w:val="28"/>
          <w:u w:val="single"/>
        </w:rPr>
        <w:t>递交</w:t>
      </w:r>
      <w:r>
        <w:rPr>
          <w:rFonts w:ascii="宋体" w:hAnsi="宋体"/>
          <w:b/>
          <w:snapToGrid w:val="0"/>
          <w:w w:val="99"/>
          <w:kern w:val="0"/>
          <w:sz w:val="28"/>
          <w:szCs w:val="28"/>
          <w:u w:val="single"/>
        </w:rPr>
        <w:t>情况一览表</w:t>
      </w:r>
    </w:p>
    <w:p w14:paraId="25DA0246">
      <w:pPr>
        <w:autoSpaceDE w:val="0"/>
        <w:autoSpaceDN w:val="0"/>
        <w:adjustRightInd w:val="0"/>
        <w:snapToGrid w:val="0"/>
        <w:spacing w:before="62" w:beforeLines="20" w:line="360" w:lineRule="auto"/>
        <w:ind w:firstLine="8610" w:firstLineChars="4100"/>
        <w:rPr>
          <w:rFonts w:ascii="宋体" w:hAnsi="宋体"/>
          <w:szCs w:val="21"/>
        </w:rPr>
      </w:pPr>
      <w:r>
        <w:rPr>
          <w:rFonts w:hint="eastAsia" w:ascii="宋体" w:hAnsi="宋体"/>
          <w:snapToGrid w:val="0"/>
          <w:kern w:val="0"/>
          <w:szCs w:val="21"/>
        </w:rPr>
        <w:t>投标截止时间</w:t>
      </w:r>
      <w:r>
        <w:rPr>
          <w:rFonts w:ascii="宋体" w:hAnsi="宋体"/>
          <w:snapToGrid w:val="0"/>
          <w:kern w:val="0"/>
          <w:szCs w:val="21"/>
        </w:rPr>
        <w:t>：</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45"/>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264"/>
        <w:gridCol w:w="2881"/>
        <w:gridCol w:w="2103"/>
        <w:gridCol w:w="2987"/>
        <w:gridCol w:w="3175"/>
      </w:tblGrid>
      <w:tr w14:paraId="1C39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03FEC126">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rPr>
              <w:t>序号</w:t>
            </w:r>
          </w:p>
        </w:tc>
        <w:tc>
          <w:tcPr>
            <w:tcW w:w="2264" w:type="dxa"/>
            <w:vAlign w:val="center"/>
          </w:tcPr>
          <w:p w14:paraId="25764E9C">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rPr>
              <w:t>投标人</w:t>
            </w:r>
          </w:p>
        </w:tc>
        <w:tc>
          <w:tcPr>
            <w:tcW w:w="2881" w:type="dxa"/>
            <w:vAlign w:val="center"/>
          </w:tcPr>
          <w:p w14:paraId="34BF8D0F">
            <w:pPr>
              <w:autoSpaceDE w:val="0"/>
              <w:autoSpaceDN w:val="0"/>
              <w:adjustRightInd w:val="0"/>
              <w:snapToGrid w:val="0"/>
              <w:spacing w:before="0" w:beforeLines="0" w:line="400" w:lineRule="exact"/>
              <w:jc w:val="center"/>
              <w:rPr>
                <w:rFonts w:hint="default" w:ascii="宋体" w:hAnsi="宋体" w:eastAsia="宋体"/>
                <w:szCs w:val="21"/>
                <w:lang w:val="en-US" w:eastAsia="zh-CN"/>
              </w:rPr>
            </w:pPr>
            <w:r>
              <w:rPr>
                <w:rFonts w:hint="eastAsia" w:ascii="宋体" w:hAnsi="宋体"/>
                <w:szCs w:val="21"/>
                <w:lang w:val="en-US" w:eastAsia="zh-CN"/>
              </w:rPr>
              <w:t>保函开具机构</w:t>
            </w:r>
          </w:p>
        </w:tc>
        <w:tc>
          <w:tcPr>
            <w:tcW w:w="2103" w:type="dxa"/>
            <w:vAlign w:val="center"/>
          </w:tcPr>
          <w:p w14:paraId="78F3A104">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rPr>
              <w:t>金额（元）</w:t>
            </w:r>
          </w:p>
        </w:tc>
        <w:tc>
          <w:tcPr>
            <w:tcW w:w="2987" w:type="dxa"/>
            <w:vAlign w:val="center"/>
          </w:tcPr>
          <w:p w14:paraId="489CA2CF">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rPr>
              <w:t>递交时间</w:t>
            </w:r>
          </w:p>
        </w:tc>
        <w:tc>
          <w:tcPr>
            <w:tcW w:w="3175" w:type="dxa"/>
            <w:vAlign w:val="center"/>
          </w:tcPr>
          <w:p w14:paraId="7B91F0E1">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rPr>
              <w:t>备注</w:t>
            </w:r>
          </w:p>
        </w:tc>
      </w:tr>
      <w:tr w14:paraId="7B21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9FCFC86">
            <w:pPr>
              <w:autoSpaceDE w:val="0"/>
              <w:autoSpaceDN w:val="0"/>
              <w:adjustRightInd w:val="0"/>
              <w:snapToGrid w:val="0"/>
              <w:spacing w:before="0" w:beforeLines="0" w:line="400" w:lineRule="exact"/>
              <w:jc w:val="center"/>
              <w:rPr>
                <w:rFonts w:ascii="宋体" w:hAnsi="宋体"/>
                <w:szCs w:val="21"/>
              </w:rPr>
            </w:pPr>
          </w:p>
        </w:tc>
        <w:tc>
          <w:tcPr>
            <w:tcW w:w="2264" w:type="dxa"/>
            <w:vAlign w:val="center"/>
          </w:tcPr>
          <w:p w14:paraId="0A4E1514">
            <w:pPr>
              <w:autoSpaceDE w:val="0"/>
              <w:autoSpaceDN w:val="0"/>
              <w:adjustRightInd w:val="0"/>
              <w:snapToGrid w:val="0"/>
              <w:spacing w:before="0" w:beforeLines="0" w:line="400" w:lineRule="exact"/>
              <w:jc w:val="center"/>
              <w:rPr>
                <w:rFonts w:ascii="宋体" w:hAnsi="宋体"/>
                <w:szCs w:val="21"/>
              </w:rPr>
            </w:pPr>
          </w:p>
        </w:tc>
        <w:tc>
          <w:tcPr>
            <w:tcW w:w="2881" w:type="dxa"/>
            <w:vAlign w:val="center"/>
          </w:tcPr>
          <w:p w14:paraId="0111608C">
            <w:pPr>
              <w:autoSpaceDE w:val="0"/>
              <w:autoSpaceDN w:val="0"/>
              <w:adjustRightInd w:val="0"/>
              <w:snapToGrid w:val="0"/>
              <w:spacing w:before="0" w:beforeLines="0" w:line="400" w:lineRule="exact"/>
              <w:jc w:val="center"/>
              <w:rPr>
                <w:rFonts w:ascii="宋体" w:hAnsi="宋体"/>
                <w:szCs w:val="21"/>
              </w:rPr>
            </w:pPr>
          </w:p>
        </w:tc>
        <w:tc>
          <w:tcPr>
            <w:tcW w:w="2103" w:type="dxa"/>
            <w:vAlign w:val="center"/>
          </w:tcPr>
          <w:p w14:paraId="41897597">
            <w:pPr>
              <w:autoSpaceDE w:val="0"/>
              <w:autoSpaceDN w:val="0"/>
              <w:adjustRightInd w:val="0"/>
              <w:snapToGrid w:val="0"/>
              <w:spacing w:before="0" w:beforeLines="0" w:line="400" w:lineRule="exact"/>
              <w:jc w:val="center"/>
              <w:rPr>
                <w:rFonts w:ascii="宋体" w:hAnsi="宋体"/>
                <w:szCs w:val="21"/>
              </w:rPr>
            </w:pPr>
          </w:p>
        </w:tc>
        <w:tc>
          <w:tcPr>
            <w:tcW w:w="2987" w:type="dxa"/>
            <w:vAlign w:val="center"/>
          </w:tcPr>
          <w:p w14:paraId="18CB0B20">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u w:val="single"/>
                <w:lang w:val="en-US" w:eastAsia="zh-CN"/>
              </w:rPr>
              <w:t>投标截止时间前</w:t>
            </w:r>
          </w:p>
        </w:tc>
        <w:tc>
          <w:tcPr>
            <w:tcW w:w="3175" w:type="dxa"/>
            <w:vAlign w:val="center"/>
          </w:tcPr>
          <w:p w14:paraId="3658580E">
            <w:pPr>
              <w:autoSpaceDE w:val="0"/>
              <w:autoSpaceDN w:val="0"/>
              <w:adjustRightInd w:val="0"/>
              <w:snapToGrid w:val="0"/>
              <w:spacing w:before="0" w:beforeLines="0" w:line="400" w:lineRule="exact"/>
              <w:jc w:val="center"/>
              <w:rPr>
                <w:rFonts w:ascii="宋体" w:hAnsi="宋体"/>
                <w:szCs w:val="21"/>
              </w:rPr>
            </w:pPr>
          </w:p>
        </w:tc>
      </w:tr>
      <w:tr w14:paraId="0A69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0758323">
            <w:pPr>
              <w:autoSpaceDE w:val="0"/>
              <w:autoSpaceDN w:val="0"/>
              <w:adjustRightInd w:val="0"/>
              <w:snapToGrid w:val="0"/>
              <w:spacing w:before="0" w:beforeLines="0" w:line="400" w:lineRule="exact"/>
              <w:jc w:val="center"/>
              <w:rPr>
                <w:rFonts w:ascii="宋体" w:hAnsi="宋体"/>
                <w:szCs w:val="21"/>
              </w:rPr>
            </w:pPr>
          </w:p>
        </w:tc>
        <w:tc>
          <w:tcPr>
            <w:tcW w:w="2264" w:type="dxa"/>
            <w:vAlign w:val="center"/>
          </w:tcPr>
          <w:p w14:paraId="24649954">
            <w:pPr>
              <w:autoSpaceDE w:val="0"/>
              <w:autoSpaceDN w:val="0"/>
              <w:adjustRightInd w:val="0"/>
              <w:snapToGrid w:val="0"/>
              <w:spacing w:before="0" w:beforeLines="0" w:line="400" w:lineRule="exact"/>
              <w:jc w:val="center"/>
              <w:rPr>
                <w:rFonts w:ascii="宋体" w:hAnsi="宋体"/>
                <w:szCs w:val="21"/>
              </w:rPr>
            </w:pPr>
          </w:p>
        </w:tc>
        <w:tc>
          <w:tcPr>
            <w:tcW w:w="2881" w:type="dxa"/>
            <w:vAlign w:val="center"/>
          </w:tcPr>
          <w:p w14:paraId="6D9E4F28">
            <w:pPr>
              <w:autoSpaceDE w:val="0"/>
              <w:autoSpaceDN w:val="0"/>
              <w:adjustRightInd w:val="0"/>
              <w:snapToGrid w:val="0"/>
              <w:spacing w:before="0" w:beforeLines="0" w:line="400" w:lineRule="exact"/>
              <w:jc w:val="center"/>
              <w:rPr>
                <w:rFonts w:ascii="宋体" w:hAnsi="宋体"/>
                <w:szCs w:val="21"/>
              </w:rPr>
            </w:pPr>
          </w:p>
        </w:tc>
        <w:tc>
          <w:tcPr>
            <w:tcW w:w="2103" w:type="dxa"/>
            <w:vAlign w:val="center"/>
          </w:tcPr>
          <w:p w14:paraId="3B04D1A7">
            <w:pPr>
              <w:autoSpaceDE w:val="0"/>
              <w:autoSpaceDN w:val="0"/>
              <w:adjustRightInd w:val="0"/>
              <w:snapToGrid w:val="0"/>
              <w:spacing w:before="0" w:beforeLines="0" w:line="400" w:lineRule="exact"/>
              <w:jc w:val="center"/>
              <w:rPr>
                <w:rFonts w:ascii="宋体" w:hAnsi="宋体"/>
                <w:szCs w:val="21"/>
              </w:rPr>
            </w:pPr>
          </w:p>
        </w:tc>
        <w:tc>
          <w:tcPr>
            <w:tcW w:w="2987" w:type="dxa"/>
            <w:vAlign w:val="center"/>
          </w:tcPr>
          <w:p w14:paraId="3F40D823">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u w:val="single"/>
              </w:rPr>
              <w:t>……</w:t>
            </w:r>
          </w:p>
        </w:tc>
        <w:tc>
          <w:tcPr>
            <w:tcW w:w="3175" w:type="dxa"/>
            <w:vAlign w:val="center"/>
          </w:tcPr>
          <w:p w14:paraId="704BD775">
            <w:pPr>
              <w:autoSpaceDE w:val="0"/>
              <w:autoSpaceDN w:val="0"/>
              <w:adjustRightInd w:val="0"/>
              <w:snapToGrid w:val="0"/>
              <w:spacing w:before="0" w:beforeLines="0" w:line="400" w:lineRule="exact"/>
              <w:jc w:val="center"/>
              <w:rPr>
                <w:rFonts w:ascii="宋体" w:hAnsi="宋体"/>
                <w:szCs w:val="21"/>
              </w:rPr>
            </w:pPr>
          </w:p>
        </w:tc>
      </w:tr>
      <w:tr w14:paraId="61C4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AF1FDC9">
            <w:pPr>
              <w:autoSpaceDE w:val="0"/>
              <w:autoSpaceDN w:val="0"/>
              <w:adjustRightInd w:val="0"/>
              <w:snapToGrid w:val="0"/>
              <w:spacing w:before="0" w:beforeLines="0" w:line="400" w:lineRule="exact"/>
              <w:jc w:val="center"/>
              <w:rPr>
                <w:rFonts w:ascii="宋体" w:hAnsi="宋体"/>
                <w:szCs w:val="21"/>
              </w:rPr>
            </w:pPr>
          </w:p>
        </w:tc>
        <w:tc>
          <w:tcPr>
            <w:tcW w:w="2264" w:type="dxa"/>
            <w:vAlign w:val="center"/>
          </w:tcPr>
          <w:p w14:paraId="7C8613AD">
            <w:pPr>
              <w:autoSpaceDE w:val="0"/>
              <w:autoSpaceDN w:val="0"/>
              <w:adjustRightInd w:val="0"/>
              <w:snapToGrid w:val="0"/>
              <w:spacing w:before="0" w:beforeLines="0" w:line="400" w:lineRule="exact"/>
              <w:jc w:val="center"/>
              <w:rPr>
                <w:rFonts w:ascii="宋体" w:hAnsi="宋体"/>
                <w:szCs w:val="21"/>
              </w:rPr>
            </w:pPr>
          </w:p>
        </w:tc>
        <w:tc>
          <w:tcPr>
            <w:tcW w:w="2881" w:type="dxa"/>
            <w:vAlign w:val="center"/>
          </w:tcPr>
          <w:p w14:paraId="59665907">
            <w:pPr>
              <w:autoSpaceDE w:val="0"/>
              <w:autoSpaceDN w:val="0"/>
              <w:adjustRightInd w:val="0"/>
              <w:snapToGrid w:val="0"/>
              <w:spacing w:before="0" w:beforeLines="0" w:line="400" w:lineRule="exact"/>
              <w:jc w:val="center"/>
              <w:rPr>
                <w:rFonts w:ascii="宋体" w:hAnsi="宋体"/>
                <w:szCs w:val="21"/>
              </w:rPr>
            </w:pPr>
          </w:p>
        </w:tc>
        <w:tc>
          <w:tcPr>
            <w:tcW w:w="2103" w:type="dxa"/>
            <w:vAlign w:val="center"/>
          </w:tcPr>
          <w:p w14:paraId="287193A6">
            <w:pPr>
              <w:autoSpaceDE w:val="0"/>
              <w:autoSpaceDN w:val="0"/>
              <w:adjustRightInd w:val="0"/>
              <w:snapToGrid w:val="0"/>
              <w:spacing w:before="0" w:beforeLines="0" w:line="400" w:lineRule="exact"/>
              <w:jc w:val="center"/>
              <w:rPr>
                <w:rFonts w:ascii="宋体" w:hAnsi="宋体"/>
                <w:szCs w:val="21"/>
              </w:rPr>
            </w:pPr>
          </w:p>
        </w:tc>
        <w:tc>
          <w:tcPr>
            <w:tcW w:w="2987" w:type="dxa"/>
            <w:vAlign w:val="center"/>
          </w:tcPr>
          <w:p w14:paraId="7FDB70B0">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u w:val="single"/>
              </w:rPr>
              <w:t>……</w:t>
            </w:r>
          </w:p>
        </w:tc>
        <w:tc>
          <w:tcPr>
            <w:tcW w:w="3175" w:type="dxa"/>
            <w:vAlign w:val="center"/>
          </w:tcPr>
          <w:p w14:paraId="1864E34D">
            <w:pPr>
              <w:autoSpaceDE w:val="0"/>
              <w:autoSpaceDN w:val="0"/>
              <w:adjustRightInd w:val="0"/>
              <w:snapToGrid w:val="0"/>
              <w:spacing w:before="0" w:beforeLines="0" w:line="400" w:lineRule="exact"/>
              <w:jc w:val="center"/>
              <w:rPr>
                <w:rFonts w:ascii="宋体" w:hAnsi="宋体"/>
                <w:szCs w:val="21"/>
              </w:rPr>
            </w:pPr>
          </w:p>
        </w:tc>
      </w:tr>
      <w:tr w14:paraId="414D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796026A2">
            <w:pPr>
              <w:autoSpaceDE w:val="0"/>
              <w:autoSpaceDN w:val="0"/>
              <w:adjustRightInd w:val="0"/>
              <w:snapToGrid w:val="0"/>
              <w:spacing w:before="0" w:beforeLines="0" w:line="400" w:lineRule="exact"/>
              <w:jc w:val="center"/>
              <w:rPr>
                <w:rFonts w:ascii="宋体" w:hAnsi="宋体"/>
                <w:szCs w:val="21"/>
              </w:rPr>
            </w:pPr>
          </w:p>
        </w:tc>
        <w:tc>
          <w:tcPr>
            <w:tcW w:w="2264" w:type="dxa"/>
            <w:vAlign w:val="center"/>
          </w:tcPr>
          <w:p w14:paraId="2ECDDA29">
            <w:pPr>
              <w:autoSpaceDE w:val="0"/>
              <w:autoSpaceDN w:val="0"/>
              <w:adjustRightInd w:val="0"/>
              <w:snapToGrid w:val="0"/>
              <w:spacing w:before="0" w:beforeLines="0" w:line="400" w:lineRule="exact"/>
              <w:jc w:val="center"/>
              <w:rPr>
                <w:rFonts w:ascii="宋体" w:hAnsi="宋体"/>
                <w:szCs w:val="21"/>
              </w:rPr>
            </w:pPr>
          </w:p>
        </w:tc>
        <w:tc>
          <w:tcPr>
            <w:tcW w:w="2881" w:type="dxa"/>
            <w:vAlign w:val="center"/>
          </w:tcPr>
          <w:p w14:paraId="775128F1">
            <w:pPr>
              <w:autoSpaceDE w:val="0"/>
              <w:autoSpaceDN w:val="0"/>
              <w:adjustRightInd w:val="0"/>
              <w:snapToGrid w:val="0"/>
              <w:spacing w:before="0" w:beforeLines="0" w:line="400" w:lineRule="exact"/>
              <w:jc w:val="center"/>
              <w:rPr>
                <w:rFonts w:ascii="宋体" w:hAnsi="宋体"/>
                <w:szCs w:val="21"/>
              </w:rPr>
            </w:pPr>
          </w:p>
        </w:tc>
        <w:tc>
          <w:tcPr>
            <w:tcW w:w="2103" w:type="dxa"/>
            <w:vAlign w:val="center"/>
          </w:tcPr>
          <w:p w14:paraId="3A16BD36">
            <w:pPr>
              <w:autoSpaceDE w:val="0"/>
              <w:autoSpaceDN w:val="0"/>
              <w:adjustRightInd w:val="0"/>
              <w:snapToGrid w:val="0"/>
              <w:spacing w:before="0" w:beforeLines="0" w:line="400" w:lineRule="exact"/>
              <w:jc w:val="center"/>
              <w:rPr>
                <w:rFonts w:ascii="宋体" w:hAnsi="宋体"/>
                <w:szCs w:val="21"/>
              </w:rPr>
            </w:pPr>
          </w:p>
        </w:tc>
        <w:tc>
          <w:tcPr>
            <w:tcW w:w="2987" w:type="dxa"/>
            <w:vAlign w:val="center"/>
          </w:tcPr>
          <w:p w14:paraId="6AC06820">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u w:val="single"/>
              </w:rPr>
              <w:t>……</w:t>
            </w:r>
          </w:p>
        </w:tc>
        <w:tc>
          <w:tcPr>
            <w:tcW w:w="3175" w:type="dxa"/>
            <w:vAlign w:val="center"/>
          </w:tcPr>
          <w:p w14:paraId="7782A5FF">
            <w:pPr>
              <w:autoSpaceDE w:val="0"/>
              <w:autoSpaceDN w:val="0"/>
              <w:adjustRightInd w:val="0"/>
              <w:snapToGrid w:val="0"/>
              <w:spacing w:before="0" w:beforeLines="0" w:line="400" w:lineRule="exact"/>
              <w:jc w:val="center"/>
              <w:rPr>
                <w:rFonts w:ascii="宋体" w:hAnsi="宋体"/>
                <w:szCs w:val="21"/>
              </w:rPr>
            </w:pPr>
          </w:p>
        </w:tc>
      </w:tr>
      <w:tr w14:paraId="33E9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0FF065D">
            <w:pPr>
              <w:autoSpaceDE w:val="0"/>
              <w:autoSpaceDN w:val="0"/>
              <w:adjustRightInd w:val="0"/>
              <w:snapToGrid w:val="0"/>
              <w:spacing w:before="0" w:beforeLines="0" w:line="400" w:lineRule="exact"/>
              <w:jc w:val="center"/>
              <w:rPr>
                <w:rFonts w:ascii="宋体" w:hAnsi="宋体"/>
                <w:szCs w:val="21"/>
              </w:rPr>
            </w:pPr>
          </w:p>
        </w:tc>
        <w:tc>
          <w:tcPr>
            <w:tcW w:w="2264" w:type="dxa"/>
            <w:vAlign w:val="center"/>
          </w:tcPr>
          <w:p w14:paraId="10A335E0">
            <w:pPr>
              <w:autoSpaceDE w:val="0"/>
              <w:autoSpaceDN w:val="0"/>
              <w:adjustRightInd w:val="0"/>
              <w:snapToGrid w:val="0"/>
              <w:spacing w:before="0" w:beforeLines="0" w:line="400" w:lineRule="exact"/>
              <w:jc w:val="center"/>
              <w:rPr>
                <w:rFonts w:ascii="宋体" w:hAnsi="宋体"/>
                <w:szCs w:val="21"/>
              </w:rPr>
            </w:pPr>
          </w:p>
        </w:tc>
        <w:tc>
          <w:tcPr>
            <w:tcW w:w="2881" w:type="dxa"/>
            <w:vAlign w:val="center"/>
          </w:tcPr>
          <w:p w14:paraId="4E4540C8">
            <w:pPr>
              <w:autoSpaceDE w:val="0"/>
              <w:autoSpaceDN w:val="0"/>
              <w:adjustRightInd w:val="0"/>
              <w:snapToGrid w:val="0"/>
              <w:spacing w:before="0" w:beforeLines="0" w:line="400" w:lineRule="exact"/>
              <w:jc w:val="center"/>
              <w:rPr>
                <w:rFonts w:ascii="宋体" w:hAnsi="宋体"/>
                <w:szCs w:val="21"/>
              </w:rPr>
            </w:pPr>
          </w:p>
        </w:tc>
        <w:tc>
          <w:tcPr>
            <w:tcW w:w="2103" w:type="dxa"/>
            <w:vAlign w:val="center"/>
          </w:tcPr>
          <w:p w14:paraId="5EABEC30">
            <w:pPr>
              <w:autoSpaceDE w:val="0"/>
              <w:autoSpaceDN w:val="0"/>
              <w:adjustRightInd w:val="0"/>
              <w:snapToGrid w:val="0"/>
              <w:spacing w:before="0" w:beforeLines="0" w:line="400" w:lineRule="exact"/>
              <w:jc w:val="center"/>
              <w:rPr>
                <w:rFonts w:ascii="宋体" w:hAnsi="宋体"/>
                <w:szCs w:val="21"/>
              </w:rPr>
            </w:pPr>
          </w:p>
        </w:tc>
        <w:tc>
          <w:tcPr>
            <w:tcW w:w="2987" w:type="dxa"/>
            <w:vAlign w:val="center"/>
          </w:tcPr>
          <w:p w14:paraId="3B63E2C1">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u w:val="single"/>
              </w:rPr>
              <w:t>……</w:t>
            </w:r>
          </w:p>
        </w:tc>
        <w:tc>
          <w:tcPr>
            <w:tcW w:w="3175" w:type="dxa"/>
            <w:vAlign w:val="center"/>
          </w:tcPr>
          <w:p w14:paraId="67786C7C">
            <w:pPr>
              <w:autoSpaceDE w:val="0"/>
              <w:autoSpaceDN w:val="0"/>
              <w:adjustRightInd w:val="0"/>
              <w:snapToGrid w:val="0"/>
              <w:spacing w:before="0" w:beforeLines="0" w:line="400" w:lineRule="exact"/>
              <w:jc w:val="center"/>
              <w:rPr>
                <w:rFonts w:ascii="宋体" w:hAnsi="宋体"/>
                <w:szCs w:val="21"/>
              </w:rPr>
            </w:pPr>
          </w:p>
        </w:tc>
      </w:tr>
      <w:tr w14:paraId="6E27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19FEAD78">
            <w:pPr>
              <w:autoSpaceDE w:val="0"/>
              <w:autoSpaceDN w:val="0"/>
              <w:adjustRightInd w:val="0"/>
              <w:snapToGrid w:val="0"/>
              <w:spacing w:before="0" w:beforeLines="0" w:line="400" w:lineRule="exact"/>
              <w:jc w:val="center"/>
              <w:rPr>
                <w:rFonts w:ascii="宋体" w:hAnsi="宋体"/>
                <w:szCs w:val="21"/>
              </w:rPr>
            </w:pPr>
          </w:p>
        </w:tc>
        <w:tc>
          <w:tcPr>
            <w:tcW w:w="2264" w:type="dxa"/>
            <w:vAlign w:val="center"/>
          </w:tcPr>
          <w:p w14:paraId="226903E8">
            <w:pPr>
              <w:autoSpaceDE w:val="0"/>
              <w:autoSpaceDN w:val="0"/>
              <w:adjustRightInd w:val="0"/>
              <w:snapToGrid w:val="0"/>
              <w:spacing w:before="0" w:beforeLines="0" w:line="400" w:lineRule="exact"/>
              <w:jc w:val="center"/>
              <w:rPr>
                <w:rFonts w:ascii="宋体" w:hAnsi="宋体"/>
                <w:szCs w:val="21"/>
              </w:rPr>
            </w:pPr>
          </w:p>
        </w:tc>
        <w:tc>
          <w:tcPr>
            <w:tcW w:w="2881" w:type="dxa"/>
            <w:vAlign w:val="center"/>
          </w:tcPr>
          <w:p w14:paraId="3BD93A76">
            <w:pPr>
              <w:autoSpaceDE w:val="0"/>
              <w:autoSpaceDN w:val="0"/>
              <w:adjustRightInd w:val="0"/>
              <w:snapToGrid w:val="0"/>
              <w:spacing w:before="0" w:beforeLines="0" w:line="400" w:lineRule="exact"/>
              <w:jc w:val="center"/>
              <w:rPr>
                <w:rFonts w:ascii="宋体" w:hAnsi="宋体"/>
                <w:szCs w:val="21"/>
              </w:rPr>
            </w:pPr>
          </w:p>
        </w:tc>
        <w:tc>
          <w:tcPr>
            <w:tcW w:w="2103" w:type="dxa"/>
            <w:vAlign w:val="center"/>
          </w:tcPr>
          <w:p w14:paraId="06F890F1">
            <w:pPr>
              <w:autoSpaceDE w:val="0"/>
              <w:autoSpaceDN w:val="0"/>
              <w:adjustRightInd w:val="0"/>
              <w:snapToGrid w:val="0"/>
              <w:spacing w:before="0" w:beforeLines="0" w:line="400" w:lineRule="exact"/>
              <w:jc w:val="center"/>
              <w:rPr>
                <w:rFonts w:ascii="宋体" w:hAnsi="宋体"/>
                <w:szCs w:val="21"/>
              </w:rPr>
            </w:pPr>
          </w:p>
        </w:tc>
        <w:tc>
          <w:tcPr>
            <w:tcW w:w="2987" w:type="dxa"/>
            <w:vAlign w:val="center"/>
          </w:tcPr>
          <w:p w14:paraId="656B0586">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u w:val="single"/>
              </w:rPr>
              <w:t>……</w:t>
            </w:r>
          </w:p>
        </w:tc>
        <w:tc>
          <w:tcPr>
            <w:tcW w:w="3175" w:type="dxa"/>
            <w:vAlign w:val="center"/>
          </w:tcPr>
          <w:p w14:paraId="53F289DF">
            <w:pPr>
              <w:autoSpaceDE w:val="0"/>
              <w:autoSpaceDN w:val="0"/>
              <w:adjustRightInd w:val="0"/>
              <w:snapToGrid w:val="0"/>
              <w:spacing w:before="0" w:beforeLines="0" w:line="400" w:lineRule="exact"/>
              <w:jc w:val="center"/>
              <w:rPr>
                <w:rFonts w:ascii="宋体" w:hAnsi="宋体"/>
                <w:szCs w:val="21"/>
              </w:rPr>
            </w:pPr>
          </w:p>
        </w:tc>
      </w:tr>
      <w:tr w14:paraId="7E35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24624E48">
            <w:pPr>
              <w:autoSpaceDE w:val="0"/>
              <w:autoSpaceDN w:val="0"/>
              <w:adjustRightInd w:val="0"/>
              <w:snapToGrid w:val="0"/>
              <w:spacing w:before="0" w:beforeLines="0" w:line="400" w:lineRule="exact"/>
              <w:jc w:val="center"/>
              <w:rPr>
                <w:rFonts w:ascii="宋体" w:hAnsi="宋体"/>
                <w:szCs w:val="21"/>
              </w:rPr>
            </w:pPr>
          </w:p>
        </w:tc>
        <w:tc>
          <w:tcPr>
            <w:tcW w:w="2264" w:type="dxa"/>
            <w:vAlign w:val="center"/>
          </w:tcPr>
          <w:p w14:paraId="1FD3E306">
            <w:pPr>
              <w:autoSpaceDE w:val="0"/>
              <w:autoSpaceDN w:val="0"/>
              <w:adjustRightInd w:val="0"/>
              <w:snapToGrid w:val="0"/>
              <w:spacing w:before="0" w:beforeLines="0" w:line="400" w:lineRule="exact"/>
              <w:jc w:val="center"/>
              <w:rPr>
                <w:rFonts w:ascii="宋体" w:hAnsi="宋体"/>
                <w:szCs w:val="21"/>
              </w:rPr>
            </w:pPr>
          </w:p>
        </w:tc>
        <w:tc>
          <w:tcPr>
            <w:tcW w:w="2881" w:type="dxa"/>
            <w:vAlign w:val="center"/>
          </w:tcPr>
          <w:p w14:paraId="66BE9601">
            <w:pPr>
              <w:autoSpaceDE w:val="0"/>
              <w:autoSpaceDN w:val="0"/>
              <w:adjustRightInd w:val="0"/>
              <w:snapToGrid w:val="0"/>
              <w:spacing w:before="0" w:beforeLines="0" w:line="400" w:lineRule="exact"/>
              <w:jc w:val="center"/>
              <w:rPr>
                <w:rFonts w:ascii="宋体" w:hAnsi="宋体"/>
                <w:szCs w:val="21"/>
              </w:rPr>
            </w:pPr>
          </w:p>
        </w:tc>
        <w:tc>
          <w:tcPr>
            <w:tcW w:w="2103" w:type="dxa"/>
            <w:vAlign w:val="center"/>
          </w:tcPr>
          <w:p w14:paraId="6D28054E">
            <w:pPr>
              <w:autoSpaceDE w:val="0"/>
              <w:autoSpaceDN w:val="0"/>
              <w:adjustRightInd w:val="0"/>
              <w:snapToGrid w:val="0"/>
              <w:spacing w:before="0" w:beforeLines="0" w:line="400" w:lineRule="exact"/>
              <w:jc w:val="center"/>
              <w:rPr>
                <w:rFonts w:ascii="宋体" w:hAnsi="宋体"/>
                <w:szCs w:val="21"/>
              </w:rPr>
            </w:pPr>
          </w:p>
        </w:tc>
        <w:tc>
          <w:tcPr>
            <w:tcW w:w="2987" w:type="dxa"/>
            <w:vAlign w:val="center"/>
          </w:tcPr>
          <w:p w14:paraId="116397DB">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u w:val="single"/>
              </w:rPr>
              <w:t>……</w:t>
            </w:r>
          </w:p>
        </w:tc>
        <w:tc>
          <w:tcPr>
            <w:tcW w:w="3175" w:type="dxa"/>
            <w:vAlign w:val="center"/>
          </w:tcPr>
          <w:p w14:paraId="2C13E09F">
            <w:pPr>
              <w:autoSpaceDE w:val="0"/>
              <w:autoSpaceDN w:val="0"/>
              <w:adjustRightInd w:val="0"/>
              <w:snapToGrid w:val="0"/>
              <w:spacing w:before="0" w:beforeLines="0" w:line="400" w:lineRule="exact"/>
              <w:jc w:val="center"/>
              <w:rPr>
                <w:rFonts w:ascii="宋体" w:hAnsi="宋体"/>
                <w:szCs w:val="21"/>
              </w:rPr>
            </w:pPr>
          </w:p>
        </w:tc>
      </w:tr>
      <w:tr w14:paraId="7AE7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2FFC8FC">
            <w:pPr>
              <w:autoSpaceDE w:val="0"/>
              <w:autoSpaceDN w:val="0"/>
              <w:adjustRightInd w:val="0"/>
              <w:snapToGrid w:val="0"/>
              <w:spacing w:before="0" w:beforeLines="0" w:line="400" w:lineRule="exact"/>
              <w:jc w:val="center"/>
              <w:rPr>
                <w:rFonts w:ascii="宋体" w:hAnsi="宋体"/>
                <w:szCs w:val="21"/>
              </w:rPr>
            </w:pPr>
          </w:p>
        </w:tc>
        <w:tc>
          <w:tcPr>
            <w:tcW w:w="2264" w:type="dxa"/>
            <w:vAlign w:val="center"/>
          </w:tcPr>
          <w:p w14:paraId="1DF41A8C">
            <w:pPr>
              <w:autoSpaceDE w:val="0"/>
              <w:autoSpaceDN w:val="0"/>
              <w:adjustRightInd w:val="0"/>
              <w:snapToGrid w:val="0"/>
              <w:spacing w:before="0" w:beforeLines="0" w:line="400" w:lineRule="exact"/>
              <w:jc w:val="center"/>
              <w:rPr>
                <w:rFonts w:ascii="宋体" w:hAnsi="宋体"/>
                <w:szCs w:val="21"/>
              </w:rPr>
            </w:pPr>
          </w:p>
        </w:tc>
        <w:tc>
          <w:tcPr>
            <w:tcW w:w="2881" w:type="dxa"/>
            <w:vAlign w:val="center"/>
          </w:tcPr>
          <w:p w14:paraId="0FB50D96">
            <w:pPr>
              <w:autoSpaceDE w:val="0"/>
              <w:autoSpaceDN w:val="0"/>
              <w:adjustRightInd w:val="0"/>
              <w:snapToGrid w:val="0"/>
              <w:spacing w:before="0" w:beforeLines="0" w:line="400" w:lineRule="exact"/>
              <w:jc w:val="center"/>
              <w:rPr>
                <w:rFonts w:ascii="宋体" w:hAnsi="宋体"/>
                <w:szCs w:val="21"/>
              </w:rPr>
            </w:pPr>
          </w:p>
        </w:tc>
        <w:tc>
          <w:tcPr>
            <w:tcW w:w="2103" w:type="dxa"/>
            <w:vAlign w:val="center"/>
          </w:tcPr>
          <w:p w14:paraId="0F54FE1D">
            <w:pPr>
              <w:autoSpaceDE w:val="0"/>
              <w:autoSpaceDN w:val="0"/>
              <w:adjustRightInd w:val="0"/>
              <w:snapToGrid w:val="0"/>
              <w:spacing w:before="0" w:beforeLines="0" w:line="400" w:lineRule="exact"/>
              <w:jc w:val="center"/>
              <w:rPr>
                <w:rFonts w:ascii="宋体" w:hAnsi="宋体"/>
                <w:szCs w:val="21"/>
              </w:rPr>
            </w:pPr>
          </w:p>
        </w:tc>
        <w:tc>
          <w:tcPr>
            <w:tcW w:w="2987" w:type="dxa"/>
            <w:vAlign w:val="center"/>
          </w:tcPr>
          <w:p w14:paraId="0ACAF065">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u w:val="single"/>
              </w:rPr>
              <w:t>……</w:t>
            </w:r>
          </w:p>
        </w:tc>
        <w:tc>
          <w:tcPr>
            <w:tcW w:w="3175" w:type="dxa"/>
            <w:vAlign w:val="center"/>
          </w:tcPr>
          <w:p w14:paraId="5F0A1CBC">
            <w:pPr>
              <w:autoSpaceDE w:val="0"/>
              <w:autoSpaceDN w:val="0"/>
              <w:adjustRightInd w:val="0"/>
              <w:snapToGrid w:val="0"/>
              <w:spacing w:before="0" w:beforeLines="0" w:line="400" w:lineRule="exact"/>
              <w:jc w:val="center"/>
              <w:rPr>
                <w:rFonts w:ascii="宋体" w:hAnsi="宋体"/>
                <w:szCs w:val="21"/>
              </w:rPr>
            </w:pPr>
          </w:p>
        </w:tc>
      </w:tr>
      <w:tr w14:paraId="5A32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1F4355D">
            <w:pPr>
              <w:autoSpaceDE w:val="0"/>
              <w:autoSpaceDN w:val="0"/>
              <w:adjustRightInd w:val="0"/>
              <w:snapToGrid w:val="0"/>
              <w:spacing w:before="0" w:beforeLines="0" w:line="400" w:lineRule="exact"/>
              <w:jc w:val="center"/>
              <w:rPr>
                <w:rFonts w:ascii="宋体" w:hAnsi="宋体"/>
                <w:szCs w:val="21"/>
              </w:rPr>
            </w:pPr>
          </w:p>
        </w:tc>
        <w:tc>
          <w:tcPr>
            <w:tcW w:w="2264" w:type="dxa"/>
            <w:vAlign w:val="center"/>
          </w:tcPr>
          <w:p w14:paraId="176A9D6D">
            <w:pPr>
              <w:autoSpaceDE w:val="0"/>
              <w:autoSpaceDN w:val="0"/>
              <w:adjustRightInd w:val="0"/>
              <w:snapToGrid w:val="0"/>
              <w:spacing w:before="0" w:beforeLines="0" w:line="400" w:lineRule="exact"/>
              <w:jc w:val="center"/>
              <w:rPr>
                <w:rFonts w:ascii="宋体" w:hAnsi="宋体"/>
                <w:szCs w:val="21"/>
              </w:rPr>
            </w:pPr>
          </w:p>
        </w:tc>
        <w:tc>
          <w:tcPr>
            <w:tcW w:w="2881" w:type="dxa"/>
            <w:vAlign w:val="center"/>
          </w:tcPr>
          <w:p w14:paraId="5CB6B777">
            <w:pPr>
              <w:autoSpaceDE w:val="0"/>
              <w:autoSpaceDN w:val="0"/>
              <w:adjustRightInd w:val="0"/>
              <w:snapToGrid w:val="0"/>
              <w:spacing w:before="0" w:beforeLines="0" w:line="400" w:lineRule="exact"/>
              <w:jc w:val="center"/>
              <w:rPr>
                <w:rFonts w:ascii="宋体" w:hAnsi="宋体"/>
                <w:szCs w:val="21"/>
              </w:rPr>
            </w:pPr>
          </w:p>
        </w:tc>
        <w:tc>
          <w:tcPr>
            <w:tcW w:w="2103" w:type="dxa"/>
            <w:vAlign w:val="center"/>
          </w:tcPr>
          <w:p w14:paraId="24776636">
            <w:pPr>
              <w:autoSpaceDE w:val="0"/>
              <w:autoSpaceDN w:val="0"/>
              <w:adjustRightInd w:val="0"/>
              <w:snapToGrid w:val="0"/>
              <w:spacing w:before="0" w:beforeLines="0" w:line="400" w:lineRule="exact"/>
              <w:jc w:val="center"/>
              <w:rPr>
                <w:rFonts w:ascii="宋体" w:hAnsi="宋体"/>
                <w:szCs w:val="21"/>
              </w:rPr>
            </w:pPr>
          </w:p>
        </w:tc>
        <w:tc>
          <w:tcPr>
            <w:tcW w:w="2987" w:type="dxa"/>
            <w:vAlign w:val="center"/>
          </w:tcPr>
          <w:p w14:paraId="16C738FA">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u w:val="single"/>
              </w:rPr>
              <w:t>……</w:t>
            </w:r>
          </w:p>
        </w:tc>
        <w:tc>
          <w:tcPr>
            <w:tcW w:w="3175" w:type="dxa"/>
            <w:vAlign w:val="center"/>
          </w:tcPr>
          <w:p w14:paraId="208737E1">
            <w:pPr>
              <w:autoSpaceDE w:val="0"/>
              <w:autoSpaceDN w:val="0"/>
              <w:adjustRightInd w:val="0"/>
              <w:snapToGrid w:val="0"/>
              <w:spacing w:before="0" w:beforeLines="0" w:line="400" w:lineRule="exact"/>
              <w:jc w:val="center"/>
              <w:rPr>
                <w:rFonts w:ascii="宋体" w:hAnsi="宋体"/>
                <w:szCs w:val="21"/>
              </w:rPr>
            </w:pPr>
          </w:p>
        </w:tc>
      </w:tr>
      <w:tr w14:paraId="77A5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0C611805">
            <w:pPr>
              <w:autoSpaceDE w:val="0"/>
              <w:autoSpaceDN w:val="0"/>
              <w:adjustRightInd w:val="0"/>
              <w:snapToGrid w:val="0"/>
              <w:spacing w:before="0" w:beforeLines="0" w:line="400" w:lineRule="exact"/>
              <w:jc w:val="center"/>
              <w:rPr>
                <w:rFonts w:ascii="宋体" w:hAnsi="宋体"/>
                <w:szCs w:val="21"/>
              </w:rPr>
            </w:pPr>
          </w:p>
        </w:tc>
        <w:tc>
          <w:tcPr>
            <w:tcW w:w="2264" w:type="dxa"/>
            <w:vAlign w:val="center"/>
          </w:tcPr>
          <w:p w14:paraId="2620FF92">
            <w:pPr>
              <w:autoSpaceDE w:val="0"/>
              <w:autoSpaceDN w:val="0"/>
              <w:adjustRightInd w:val="0"/>
              <w:snapToGrid w:val="0"/>
              <w:spacing w:before="0" w:beforeLines="0" w:line="400" w:lineRule="exact"/>
              <w:jc w:val="center"/>
              <w:rPr>
                <w:rFonts w:ascii="宋体" w:hAnsi="宋体"/>
                <w:szCs w:val="21"/>
              </w:rPr>
            </w:pPr>
          </w:p>
        </w:tc>
        <w:tc>
          <w:tcPr>
            <w:tcW w:w="2881" w:type="dxa"/>
            <w:vAlign w:val="center"/>
          </w:tcPr>
          <w:p w14:paraId="6FE992B7">
            <w:pPr>
              <w:autoSpaceDE w:val="0"/>
              <w:autoSpaceDN w:val="0"/>
              <w:adjustRightInd w:val="0"/>
              <w:snapToGrid w:val="0"/>
              <w:spacing w:before="0" w:beforeLines="0" w:line="400" w:lineRule="exact"/>
              <w:jc w:val="center"/>
              <w:rPr>
                <w:rFonts w:ascii="宋体" w:hAnsi="宋体"/>
                <w:szCs w:val="21"/>
              </w:rPr>
            </w:pPr>
          </w:p>
        </w:tc>
        <w:tc>
          <w:tcPr>
            <w:tcW w:w="2103" w:type="dxa"/>
            <w:vAlign w:val="center"/>
          </w:tcPr>
          <w:p w14:paraId="4872DB26">
            <w:pPr>
              <w:autoSpaceDE w:val="0"/>
              <w:autoSpaceDN w:val="0"/>
              <w:adjustRightInd w:val="0"/>
              <w:snapToGrid w:val="0"/>
              <w:spacing w:before="0" w:beforeLines="0" w:line="400" w:lineRule="exact"/>
              <w:jc w:val="center"/>
              <w:rPr>
                <w:rFonts w:ascii="宋体" w:hAnsi="宋体"/>
                <w:szCs w:val="21"/>
              </w:rPr>
            </w:pPr>
          </w:p>
        </w:tc>
        <w:tc>
          <w:tcPr>
            <w:tcW w:w="2987" w:type="dxa"/>
            <w:vAlign w:val="center"/>
          </w:tcPr>
          <w:p w14:paraId="180FE1BF">
            <w:pPr>
              <w:autoSpaceDE w:val="0"/>
              <w:autoSpaceDN w:val="0"/>
              <w:adjustRightInd w:val="0"/>
              <w:snapToGrid w:val="0"/>
              <w:spacing w:before="0" w:beforeLines="0" w:line="400" w:lineRule="exact"/>
              <w:jc w:val="center"/>
              <w:rPr>
                <w:rFonts w:ascii="宋体" w:hAnsi="宋体"/>
                <w:szCs w:val="21"/>
              </w:rPr>
            </w:pPr>
            <w:r>
              <w:rPr>
                <w:rFonts w:hint="eastAsia" w:ascii="宋体" w:hAnsi="宋体"/>
                <w:szCs w:val="21"/>
                <w:u w:val="single"/>
              </w:rPr>
              <w:t>……</w:t>
            </w:r>
          </w:p>
        </w:tc>
        <w:tc>
          <w:tcPr>
            <w:tcW w:w="3175" w:type="dxa"/>
            <w:vAlign w:val="center"/>
          </w:tcPr>
          <w:p w14:paraId="339E926B">
            <w:pPr>
              <w:autoSpaceDE w:val="0"/>
              <w:autoSpaceDN w:val="0"/>
              <w:adjustRightInd w:val="0"/>
              <w:snapToGrid w:val="0"/>
              <w:spacing w:before="0" w:beforeLines="0" w:line="400" w:lineRule="exact"/>
              <w:jc w:val="center"/>
              <w:rPr>
                <w:rFonts w:ascii="宋体" w:hAnsi="宋体"/>
                <w:szCs w:val="21"/>
              </w:rPr>
            </w:pPr>
          </w:p>
        </w:tc>
      </w:tr>
    </w:tbl>
    <w:p w14:paraId="0CBFB0AF">
      <w:pPr>
        <w:tabs>
          <w:tab w:val="left" w:pos="2740"/>
          <w:tab w:val="left" w:pos="4940"/>
          <w:tab w:val="left" w:pos="6930"/>
        </w:tabs>
        <w:autoSpaceDE w:val="0"/>
        <w:autoSpaceDN w:val="0"/>
        <w:adjustRightInd w:val="0"/>
        <w:snapToGrid w:val="0"/>
        <w:spacing w:line="360" w:lineRule="auto"/>
        <w:ind w:firstLine="480" w:firstLineChars="200"/>
        <w:jc w:val="left"/>
        <w:rPr>
          <w:rFonts w:hint="eastAsia" w:ascii="宋体" w:hAnsi="宋体" w:cs="宋体"/>
          <w:snapToGrid w:val="0"/>
          <w:kern w:val="0"/>
          <w:szCs w:val="21"/>
        </w:rPr>
      </w:pPr>
      <w:r>
        <w:rPr>
          <w:rFonts w:hint="eastAsia" w:ascii="宋体" w:hAnsi="宋体" w:cs="宋体"/>
          <w:snapToGrid w:val="0"/>
          <w:kern w:val="0"/>
          <w:sz w:val="24"/>
          <w:lang w:val="en-US" w:eastAsia="zh-CN"/>
        </w:rPr>
        <w:t>（注：</w:t>
      </w:r>
      <w:r>
        <w:rPr>
          <w:rFonts w:hint="eastAsia" w:ascii="宋体" w:hAnsi="宋体" w:cs="宋体"/>
          <w:snapToGrid w:val="0"/>
          <w:kern w:val="0"/>
          <w:szCs w:val="21"/>
        </w:rPr>
        <w:t>招标人</w:t>
      </w:r>
      <w:r>
        <w:rPr>
          <w:rFonts w:hint="eastAsia" w:ascii="宋体" w:hAnsi="宋体" w:cs="宋体"/>
          <w:snapToGrid w:val="0"/>
          <w:kern w:val="0"/>
          <w:szCs w:val="21"/>
          <w:lang w:eastAsia="zh-CN"/>
        </w:rPr>
        <w:t>、监标人</w:t>
      </w:r>
      <w:r>
        <w:rPr>
          <w:rFonts w:hint="eastAsia" w:ascii="宋体" w:hAnsi="宋体" w:cs="宋体"/>
          <w:snapToGrid w:val="0"/>
          <w:kern w:val="0"/>
          <w:szCs w:val="21"/>
          <w:lang w:val="en-US" w:eastAsia="zh-CN"/>
        </w:rPr>
        <w:t>栏显示单位名称，</w:t>
      </w:r>
      <w:r>
        <w:rPr>
          <w:rFonts w:hint="eastAsia" w:ascii="宋体" w:hAnsi="宋体" w:cs="宋体"/>
          <w:snapToGrid w:val="0"/>
          <w:kern w:val="0"/>
          <w:szCs w:val="21"/>
        </w:rPr>
        <w:t>记录人</w:t>
      </w:r>
      <w:r>
        <w:rPr>
          <w:rFonts w:hint="eastAsia" w:ascii="宋体" w:hAnsi="宋体" w:cs="宋体"/>
          <w:snapToGrid w:val="0"/>
          <w:kern w:val="0"/>
          <w:szCs w:val="21"/>
          <w:lang w:val="en-US" w:eastAsia="zh-CN"/>
        </w:rPr>
        <w:t>栏显示人名。</w:t>
      </w:r>
      <w:r>
        <w:rPr>
          <w:rFonts w:hint="eastAsia" w:ascii="宋体" w:hAnsi="宋体" w:cs="宋体"/>
          <w:snapToGrid w:val="0"/>
          <w:kern w:val="0"/>
          <w:sz w:val="24"/>
          <w:lang w:val="en-US" w:eastAsia="zh-CN"/>
        </w:rPr>
        <w:t>）</w:t>
      </w:r>
    </w:p>
    <w:p w14:paraId="6C1A76B6">
      <w:pPr>
        <w:tabs>
          <w:tab w:val="left" w:pos="2740"/>
          <w:tab w:val="left" w:pos="4940"/>
          <w:tab w:val="left" w:pos="6930"/>
        </w:tabs>
        <w:autoSpaceDE w:val="0"/>
        <w:autoSpaceDN w:val="0"/>
        <w:adjustRightInd w:val="0"/>
        <w:snapToGrid w:val="0"/>
        <w:spacing w:line="360" w:lineRule="auto"/>
        <w:ind w:firstLine="420" w:firstLineChars="200"/>
        <w:jc w:val="left"/>
        <w:rPr>
          <w:rFonts w:ascii="宋体" w:hAnsi="宋体" w:cs="MingLiU"/>
          <w:snapToGrid w:val="0"/>
          <w:w w:val="200"/>
          <w:kern w:val="0"/>
          <w:szCs w:val="21"/>
          <w:u w:val="single"/>
        </w:rPr>
      </w:pPr>
      <w:r>
        <w:rPr>
          <w:rFonts w:hint="eastAsia" w:ascii="宋体" w:hAnsi="宋体" w:cs="宋体"/>
          <w:snapToGrid w:val="0"/>
          <w:kern w:val="0"/>
          <w:szCs w:val="21"/>
        </w:rPr>
        <w:t>招标人：</w:t>
      </w:r>
      <w:r>
        <w:rPr>
          <w:rFonts w:hint="eastAsia" w:ascii="宋体" w:hAnsi="宋体" w:cs="宋体"/>
          <w:snapToGrid w:val="0"/>
          <w:w w:val="200"/>
          <w:kern w:val="0"/>
          <w:szCs w:val="21"/>
          <w:u w:val="single"/>
        </w:rPr>
        <w:t xml:space="preserve">      </w:t>
      </w:r>
      <w:r>
        <w:rPr>
          <w:rFonts w:hint="eastAsia" w:ascii="宋体" w:hAnsi="宋体" w:cs="宋体"/>
          <w:snapToGrid w:val="0"/>
          <w:w w:val="200"/>
          <w:kern w:val="0"/>
          <w:szCs w:val="21"/>
        </w:rPr>
        <w:t xml:space="preserve">      </w:t>
      </w:r>
      <w:r>
        <w:rPr>
          <w:rFonts w:hint="eastAsia" w:ascii="宋体" w:hAnsi="宋体" w:cs="宋体"/>
          <w:snapToGrid w:val="0"/>
          <w:kern w:val="0"/>
          <w:szCs w:val="21"/>
        </w:rPr>
        <w:t>监标人：</w:t>
      </w:r>
      <w:r>
        <w:rPr>
          <w:rFonts w:hint="eastAsia" w:ascii="宋体" w:hAnsi="宋体" w:cs="宋体"/>
          <w:snapToGrid w:val="0"/>
          <w:w w:val="200"/>
          <w:kern w:val="0"/>
          <w:szCs w:val="21"/>
          <w:u w:val="single"/>
        </w:rPr>
        <w:t xml:space="preserve">      </w:t>
      </w:r>
      <w:r>
        <w:rPr>
          <w:rFonts w:hint="eastAsia" w:ascii="宋体" w:hAnsi="宋体" w:cs="宋体"/>
          <w:snapToGrid w:val="0"/>
          <w:w w:val="200"/>
          <w:kern w:val="0"/>
          <w:szCs w:val="21"/>
        </w:rPr>
        <w:t xml:space="preserve">      </w:t>
      </w:r>
      <w:r>
        <w:rPr>
          <w:rFonts w:hint="eastAsia" w:ascii="宋体" w:hAnsi="宋体" w:cs="宋体"/>
          <w:snapToGrid w:val="0"/>
          <w:kern w:val="0"/>
          <w:szCs w:val="21"/>
        </w:rPr>
        <w:t>记录人：</w:t>
      </w:r>
      <w:r>
        <w:rPr>
          <w:rFonts w:hint="eastAsia" w:ascii="宋体" w:hAnsi="宋体" w:cs="宋体"/>
          <w:snapToGrid w:val="0"/>
          <w:w w:val="200"/>
          <w:kern w:val="0"/>
          <w:szCs w:val="21"/>
          <w:u w:val="single"/>
        </w:rPr>
        <w:t xml:space="preserve">      </w:t>
      </w:r>
    </w:p>
    <w:p w14:paraId="4B2A020F">
      <w:pPr>
        <w:pStyle w:val="2"/>
        <w:jc w:val="right"/>
      </w:pP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14:paraId="37FDFBC4">
      <w:pPr>
        <w:autoSpaceDE w:val="0"/>
        <w:autoSpaceDN w:val="0"/>
        <w:adjustRightInd w:val="0"/>
        <w:snapToGrid w:val="0"/>
        <w:spacing w:before="62" w:beforeLines="20" w:line="360" w:lineRule="auto"/>
        <w:rPr>
          <w:rFonts w:ascii="宋体" w:hAnsi="宋体"/>
          <w:snapToGrid w:val="0"/>
          <w:kern w:val="0"/>
          <w:sz w:val="24"/>
        </w:rPr>
        <w:sectPr>
          <w:pgSz w:w="16838" w:h="11906" w:orient="landscape"/>
          <w:pgMar w:top="1304" w:right="1304" w:bottom="1134" w:left="1304" w:header="851" w:footer="992" w:gutter="0"/>
          <w:pgNumType w:fmt="decimal"/>
          <w:cols w:space="720" w:num="1"/>
          <w:docGrid w:type="lines" w:linePitch="312" w:charSpace="0"/>
        </w:sectPr>
      </w:pPr>
    </w:p>
    <w:p w14:paraId="49CEF352">
      <w:pPr>
        <w:autoSpaceDE w:val="0"/>
        <w:autoSpaceDN w:val="0"/>
        <w:adjustRightInd w:val="0"/>
        <w:snapToGrid w:val="0"/>
        <w:spacing w:before="62" w:beforeLines="20" w:line="360" w:lineRule="auto"/>
        <w:jc w:val="right"/>
        <w:rPr>
          <w:rFonts w:ascii="宋体" w:hAnsi="宋体"/>
          <w:snapToGrid w:val="0"/>
          <w:kern w:val="0"/>
          <w:sz w:val="24"/>
        </w:rPr>
      </w:pPr>
    </w:p>
    <w:p w14:paraId="103AE7A0">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hint="default" w:ascii="宋体" w:hAnsi="宋体"/>
          <w:b/>
          <w:snapToGrid w:val="0"/>
          <w:kern w:val="0"/>
          <w:lang w:val="en-US"/>
        </w:rPr>
        <w:t>三</w:t>
      </w:r>
      <w:r>
        <w:rPr>
          <w:rFonts w:ascii="宋体" w:hAnsi="宋体"/>
          <w:b/>
          <w:snapToGrid w:val="0"/>
          <w:kern w:val="0"/>
        </w:rPr>
        <w:t>：问题澄清通知</w:t>
      </w:r>
    </w:p>
    <w:p w14:paraId="14ECDADE">
      <w:pPr>
        <w:autoSpaceDE w:val="0"/>
        <w:autoSpaceDN w:val="0"/>
        <w:adjustRightInd w:val="0"/>
        <w:snapToGrid w:val="0"/>
        <w:spacing w:line="360" w:lineRule="auto"/>
        <w:jc w:val="left"/>
        <w:rPr>
          <w:rFonts w:ascii="宋体" w:hAnsi="宋体"/>
          <w:b/>
          <w:snapToGrid w:val="0"/>
          <w:kern w:val="0"/>
          <w:sz w:val="24"/>
        </w:rPr>
      </w:pPr>
    </w:p>
    <w:p w14:paraId="0FE85993">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问题澄清通知</w:t>
      </w:r>
    </w:p>
    <w:p w14:paraId="5A032F8F">
      <w:pPr>
        <w:autoSpaceDE w:val="0"/>
        <w:autoSpaceDN w:val="0"/>
        <w:adjustRightInd w:val="0"/>
        <w:snapToGrid w:val="0"/>
        <w:spacing w:line="360" w:lineRule="auto"/>
        <w:jc w:val="left"/>
        <w:rPr>
          <w:rFonts w:ascii="宋体" w:hAnsi="宋体"/>
          <w:b/>
          <w:snapToGrid w:val="0"/>
          <w:kern w:val="0"/>
          <w:sz w:val="24"/>
        </w:rPr>
      </w:pPr>
    </w:p>
    <w:p w14:paraId="16FBD441">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24A77F01">
      <w:pPr>
        <w:autoSpaceDE w:val="0"/>
        <w:autoSpaceDN w:val="0"/>
        <w:adjustRightInd w:val="0"/>
        <w:snapToGrid w:val="0"/>
        <w:spacing w:line="360" w:lineRule="auto"/>
        <w:jc w:val="left"/>
        <w:rPr>
          <w:rFonts w:ascii="宋体" w:hAnsi="宋体"/>
          <w:b/>
          <w:snapToGrid w:val="0"/>
          <w:kern w:val="0"/>
          <w:sz w:val="24"/>
        </w:rPr>
      </w:pPr>
    </w:p>
    <w:p w14:paraId="48CF7BAD">
      <w:pPr>
        <w:autoSpaceDE w:val="0"/>
        <w:autoSpaceDN w:val="0"/>
        <w:adjustRightInd w:val="0"/>
        <w:snapToGrid w:val="0"/>
        <w:spacing w:line="360" w:lineRule="auto"/>
        <w:rPr>
          <w:rFonts w:ascii="宋体" w:hAnsi="宋体"/>
          <w:snapToGrid w:val="0"/>
          <w:kern w:val="0"/>
          <w:sz w:val="28"/>
          <w:szCs w:val="28"/>
        </w:rPr>
      </w:pPr>
    </w:p>
    <w:p w14:paraId="27422D3A">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（投标人名称）</w:t>
      </w:r>
      <w:r>
        <w:rPr>
          <w:rFonts w:ascii="宋体" w:hAnsi="宋体"/>
          <w:snapToGrid w:val="0"/>
          <w:kern w:val="0"/>
          <w:szCs w:val="21"/>
        </w:rPr>
        <w:t>：</w:t>
      </w:r>
    </w:p>
    <w:p w14:paraId="2C659237">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的评标委员会，对你方的投标文件进行了仔细的审查，现需你方对下列问题予以澄清：</w:t>
      </w:r>
    </w:p>
    <w:p w14:paraId="4C8237F7">
      <w:pPr>
        <w:autoSpaceDE w:val="0"/>
        <w:autoSpaceDN w:val="0"/>
        <w:adjustRightInd w:val="0"/>
        <w:snapToGrid w:val="0"/>
        <w:spacing w:line="360" w:lineRule="auto"/>
        <w:jc w:val="left"/>
        <w:rPr>
          <w:rFonts w:ascii="宋体" w:hAnsi="宋体"/>
          <w:snapToGrid w:val="0"/>
          <w:kern w:val="0"/>
          <w:sz w:val="24"/>
        </w:rPr>
      </w:pPr>
    </w:p>
    <w:p w14:paraId="75298185">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7C14335F">
      <w:pPr>
        <w:autoSpaceDE w:val="0"/>
        <w:autoSpaceDN w:val="0"/>
        <w:adjustRightInd w:val="0"/>
        <w:snapToGrid w:val="0"/>
        <w:spacing w:line="360" w:lineRule="auto"/>
        <w:jc w:val="left"/>
        <w:rPr>
          <w:rFonts w:ascii="宋体" w:hAnsi="宋体"/>
          <w:snapToGrid w:val="0"/>
          <w:kern w:val="0"/>
          <w:szCs w:val="21"/>
        </w:rPr>
      </w:pPr>
    </w:p>
    <w:p w14:paraId="7056C60E">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37E29FB2">
      <w:pPr>
        <w:autoSpaceDE w:val="0"/>
        <w:autoSpaceDN w:val="0"/>
        <w:adjustRightInd w:val="0"/>
        <w:snapToGrid w:val="0"/>
        <w:spacing w:line="360" w:lineRule="auto"/>
        <w:jc w:val="left"/>
        <w:rPr>
          <w:rFonts w:ascii="宋体" w:hAnsi="宋体"/>
          <w:snapToGrid w:val="0"/>
          <w:kern w:val="0"/>
          <w:szCs w:val="21"/>
        </w:rPr>
      </w:pPr>
    </w:p>
    <w:p w14:paraId="0358D94F">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1A001475">
      <w:pPr>
        <w:autoSpaceDE w:val="0"/>
        <w:autoSpaceDN w:val="0"/>
        <w:adjustRightInd w:val="0"/>
        <w:snapToGrid w:val="0"/>
        <w:spacing w:line="360" w:lineRule="auto"/>
        <w:jc w:val="left"/>
        <w:rPr>
          <w:rFonts w:ascii="宋体" w:hAnsi="宋体"/>
          <w:snapToGrid w:val="0"/>
          <w:kern w:val="0"/>
          <w:sz w:val="14"/>
          <w:szCs w:val="14"/>
        </w:rPr>
      </w:pPr>
    </w:p>
    <w:p w14:paraId="3E393367">
      <w:pPr>
        <w:autoSpaceDE w:val="0"/>
        <w:autoSpaceDN w:val="0"/>
        <w:adjustRightInd w:val="0"/>
        <w:snapToGrid w:val="0"/>
        <w:spacing w:line="360" w:lineRule="auto"/>
        <w:jc w:val="left"/>
        <w:rPr>
          <w:rFonts w:ascii="宋体" w:hAnsi="宋体"/>
          <w:snapToGrid w:val="0"/>
          <w:kern w:val="0"/>
          <w:sz w:val="14"/>
          <w:szCs w:val="14"/>
        </w:rPr>
      </w:pPr>
    </w:p>
    <w:p w14:paraId="380E4ABD">
      <w:pPr>
        <w:autoSpaceDE w:val="0"/>
        <w:autoSpaceDN w:val="0"/>
        <w:adjustRightInd w:val="0"/>
        <w:snapToGrid w:val="0"/>
        <w:spacing w:line="360" w:lineRule="auto"/>
        <w:jc w:val="left"/>
        <w:rPr>
          <w:rFonts w:ascii="宋体" w:hAnsi="宋体"/>
          <w:snapToGrid w:val="0"/>
          <w:kern w:val="0"/>
          <w:sz w:val="14"/>
          <w:szCs w:val="14"/>
        </w:rPr>
      </w:pPr>
    </w:p>
    <w:p w14:paraId="4248ED64">
      <w:pPr>
        <w:autoSpaceDE w:val="0"/>
        <w:autoSpaceDN w:val="0"/>
        <w:adjustRightInd w:val="0"/>
        <w:snapToGrid w:val="0"/>
        <w:spacing w:line="360" w:lineRule="auto"/>
        <w:jc w:val="left"/>
        <w:rPr>
          <w:rFonts w:ascii="宋体" w:hAnsi="宋体"/>
          <w:snapToGrid w:val="0"/>
          <w:kern w:val="0"/>
          <w:sz w:val="20"/>
          <w:szCs w:val="20"/>
        </w:rPr>
      </w:pPr>
    </w:p>
    <w:p w14:paraId="1822FDD6">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w:t>
      </w:r>
      <w:r>
        <w:rPr>
          <w:rFonts w:hint="eastAsia" w:ascii="宋体" w:hAnsi="宋体"/>
          <w:snapToGrid w:val="0"/>
          <w:kern w:val="0"/>
          <w:szCs w:val="21"/>
        </w:rPr>
        <w:t>通过重庆市电子招投标系统提交</w:t>
      </w:r>
      <w:r>
        <w:rPr>
          <w:rFonts w:ascii="宋体" w:hAnsi="宋体"/>
          <w:snapToGrid w:val="0"/>
          <w:kern w:val="0"/>
          <w:szCs w:val="21"/>
        </w:rPr>
        <w:t>。</w:t>
      </w:r>
    </w:p>
    <w:p w14:paraId="291521AE">
      <w:pPr>
        <w:autoSpaceDE w:val="0"/>
        <w:autoSpaceDN w:val="0"/>
        <w:adjustRightInd w:val="0"/>
        <w:snapToGrid w:val="0"/>
        <w:spacing w:line="360" w:lineRule="auto"/>
        <w:jc w:val="left"/>
        <w:rPr>
          <w:rFonts w:ascii="宋体" w:hAnsi="宋体"/>
          <w:snapToGrid w:val="0"/>
          <w:kern w:val="0"/>
          <w:sz w:val="20"/>
          <w:szCs w:val="20"/>
        </w:rPr>
      </w:pPr>
    </w:p>
    <w:p w14:paraId="756B2644">
      <w:pPr>
        <w:tabs>
          <w:tab w:val="left" w:pos="6400"/>
        </w:tabs>
        <w:autoSpaceDE w:val="0"/>
        <w:autoSpaceDN w:val="0"/>
        <w:adjustRightInd w:val="0"/>
        <w:snapToGrid w:val="0"/>
        <w:spacing w:line="360" w:lineRule="auto"/>
        <w:jc w:val="right"/>
        <w:rPr>
          <w:rFonts w:ascii="宋体" w:hAnsi="宋体"/>
          <w:snapToGrid w:val="0"/>
          <w:kern w:val="0"/>
          <w:szCs w:val="21"/>
        </w:rPr>
      </w:pPr>
      <w:r>
        <w:rPr>
          <w:rFonts w:ascii="宋体" w:hAnsi="宋体"/>
          <w:snapToGrid w:val="0"/>
          <w:kern w:val="0"/>
          <w:szCs w:val="21"/>
        </w:rPr>
        <w:t xml:space="preserve">                             评标委员会：</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p>
    <w:p w14:paraId="3674F04A">
      <w:pPr>
        <w:pStyle w:val="2"/>
        <w:jc w:val="right"/>
        <w:rPr>
          <w:i/>
        </w:rPr>
      </w:pPr>
      <w:r>
        <w:rPr>
          <w:rFonts w:hint="eastAsia"/>
          <w:i/>
        </w:rPr>
        <w:t>[提示：重庆市电子招投标系统应实现投标人接收端口签名隐藏显示功能]</w:t>
      </w:r>
    </w:p>
    <w:p w14:paraId="3B7C583D">
      <w:pPr>
        <w:tabs>
          <w:tab w:val="left" w:pos="6400"/>
        </w:tabs>
        <w:autoSpaceDE w:val="0"/>
        <w:autoSpaceDN w:val="0"/>
        <w:adjustRightInd w:val="0"/>
        <w:snapToGrid w:val="0"/>
        <w:spacing w:line="360" w:lineRule="auto"/>
        <w:ind w:right="120"/>
        <w:jc w:val="right"/>
        <w:rPr>
          <w:rFonts w:ascii="宋体" w:hAnsi="宋体"/>
          <w:snapToGrid w:val="0"/>
          <w:kern w:val="0"/>
          <w:sz w:val="24"/>
        </w:rPr>
      </w:pPr>
      <w:r>
        <w:rPr>
          <w:rFonts w:ascii="宋体" w:hAnsi="宋体"/>
          <w:snapToGrid w:val="0"/>
          <w:kern w:val="0"/>
          <w:sz w:val="24"/>
        </w:rPr>
        <w:t xml:space="preserve"> </w:t>
      </w:r>
    </w:p>
    <w:p w14:paraId="4471F57B">
      <w:pPr>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p>
    <w:p w14:paraId="4B5365A0">
      <w:pPr>
        <w:wordWrap w:val="0"/>
        <w:autoSpaceDE w:val="0"/>
        <w:autoSpaceDN w:val="0"/>
        <w:adjustRightInd w:val="0"/>
        <w:snapToGrid w:val="0"/>
        <w:spacing w:line="360" w:lineRule="auto"/>
        <w:ind w:firstLine="850" w:firstLineChars="405"/>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374E862E">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t>附表</w:t>
      </w:r>
      <w:r>
        <w:rPr>
          <w:rFonts w:hint="default" w:ascii="宋体" w:hAnsi="宋体"/>
          <w:b/>
          <w:snapToGrid w:val="0"/>
          <w:kern w:val="0"/>
          <w:lang w:val="en-US"/>
        </w:rPr>
        <w:t>四</w:t>
      </w:r>
      <w:r>
        <w:rPr>
          <w:rFonts w:ascii="宋体" w:hAnsi="宋体"/>
          <w:b/>
          <w:snapToGrid w:val="0"/>
          <w:kern w:val="0"/>
        </w:rPr>
        <w:t>：问题的澄清</w:t>
      </w:r>
    </w:p>
    <w:p w14:paraId="3BDCFF51">
      <w:pPr>
        <w:autoSpaceDE w:val="0"/>
        <w:autoSpaceDN w:val="0"/>
        <w:adjustRightInd w:val="0"/>
        <w:snapToGrid w:val="0"/>
        <w:spacing w:line="360" w:lineRule="auto"/>
        <w:jc w:val="left"/>
        <w:rPr>
          <w:rFonts w:ascii="宋体" w:hAnsi="宋体"/>
          <w:b/>
          <w:snapToGrid w:val="0"/>
          <w:kern w:val="0"/>
          <w:sz w:val="10"/>
          <w:szCs w:val="10"/>
        </w:rPr>
      </w:pPr>
    </w:p>
    <w:p w14:paraId="3E84F7DC">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14:paraId="58A497B4">
      <w:pPr>
        <w:autoSpaceDE w:val="0"/>
        <w:autoSpaceDN w:val="0"/>
        <w:adjustRightInd w:val="0"/>
        <w:snapToGrid w:val="0"/>
        <w:spacing w:line="360" w:lineRule="auto"/>
        <w:ind w:firstLine="3255" w:firstLineChars="1550"/>
        <w:jc w:val="left"/>
        <w:rPr>
          <w:rFonts w:ascii="宋体" w:hAnsi="宋体"/>
          <w:snapToGrid w:val="0"/>
          <w:kern w:val="0"/>
          <w:szCs w:val="21"/>
        </w:rPr>
      </w:pPr>
    </w:p>
    <w:p w14:paraId="080D3F7E">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0DD7D148">
      <w:pPr>
        <w:autoSpaceDE w:val="0"/>
        <w:autoSpaceDN w:val="0"/>
        <w:adjustRightInd w:val="0"/>
        <w:snapToGrid w:val="0"/>
        <w:spacing w:line="360" w:lineRule="auto"/>
        <w:ind w:firstLine="3150" w:firstLineChars="1500"/>
        <w:rPr>
          <w:rFonts w:ascii="宋体" w:hAnsi="宋体"/>
          <w:snapToGrid w:val="0"/>
          <w:kern w:val="0"/>
          <w:szCs w:val="21"/>
        </w:rPr>
      </w:pPr>
    </w:p>
    <w:p w14:paraId="61615ADC">
      <w:pPr>
        <w:autoSpaceDE w:val="0"/>
        <w:autoSpaceDN w:val="0"/>
        <w:adjustRightInd w:val="0"/>
        <w:snapToGrid w:val="0"/>
        <w:spacing w:line="360" w:lineRule="auto"/>
        <w:ind w:firstLine="3150" w:firstLineChars="1500"/>
        <w:rPr>
          <w:rFonts w:ascii="宋体" w:hAnsi="宋体"/>
          <w:snapToGrid w:val="0"/>
          <w:kern w:val="0"/>
          <w:szCs w:val="21"/>
        </w:rPr>
      </w:pPr>
    </w:p>
    <w:p w14:paraId="3108CFC1">
      <w:pPr>
        <w:tabs>
          <w:tab w:val="left" w:pos="735"/>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u w:val="single"/>
        </w:rPr>
        <w:t xml:space="preserve">    </w:t>
      </w:r>
      <w:r>
        <w:rPr>
          <w:rFonts w:ascii="宋体" w:hAnsi="宋体"/>
          <w:snapToGrid w:val="0"/>
          <w:kern w:val="0"/>
          <w:szCs w:val="21"/>
        </w:rPr>
        <w:t>招标评标委员会：</w:t>
      </w:r>
    </w:p>
    <w:p w14:paraId="697BA0BC">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01FEDDA5">
      <w:pPr>
        <w:autoSpaceDE w:val="0"/>
        <w:autoSpaceDN w:val="0"/>
        <w:adjustRightInd w:val="0"/>
        <w:snapToGrid w:val="0"/>
        <w:spacing w:line="360" w:lineRule="auto"/>
        <w:jc w:val="left"/>
        <w:rPr>
          <w:rFonts w:ascii="宋体" w:hAnsi="宋体"/>
          <w:snapToGrid w:val="0"/>
          <w:kern w:val="0"/>
          <w:szCs w:val="21"/>
        </w:rPr>
      </w:pPr>
    </w:p>
    <w:p w14:paraId="688F4416">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291DF952">
      <w:pPr>
        <w:autoSpaceDE w:val="0"/>
        <w:autoSpaceDN w:val="0"/>
        <w:adjustRightInd w:val="0"/>
        <w:snapToGrid w:val="0"/>
        <w:spacing w:line="360" w:lineRule="auto"/>
        <w:jc w:val="left"/>
        <w:rPr>
          <w:rFonts w:ascii="宋体" w:hAnsi="宋体"/>
          <w:snapToGrid w:val="0"/>
          <w:kern w:val="0"/>
          <w:szCs w:val="21"/>
        </w:rPr>
      </w:pPr>
    </w:p>
    <w:p w14:paraId="7C72D500">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57AEF972">
      <w:pPr>
        <w:autoSpaceDE w:val="0"/>
        <w:autoSpaceDN w:val="0"/>
        <w:adjustRightInd w:val="0"/>
        <w:snapToGrid w:val="0"/>
        <w:spacing w:line="360" w:lineRule="auto"/>
        <w:jc w:val="left"/>
        <w:rPr>
          <w:rFonts w:ascii="宋体" w:hAnsi="宋体"/>
          <w:snapToGrid w:val="0"/>
          <w:kern w:val="0"/>
          <w:szCs w:val="21"/>
        </w:rPr>
      </w:pPr>
    </w:p>
    <w:p w14:paraId="747CC5A4">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578929AD">
      <w:pPr>
        <w:autoSpaceDE w:val="0"/>
        <w:autoSpaceDN w:val="0"/>
        <w:adjustRightInd w:val="0"/>
        <w:snapToGrid w:val="0"/>
        <w:spacing w:line="360" w:lineRule="auto"/>
        <w:jc w:val="left"/>
        <w:rPr>
          <w:rFonts w:ascii="宋体" w:hAnsi="宋体"/>
          <w:snapToGrid w:val="0"/>
          <w:kern w:val="0"/>
          <w:sz w:val="18"/>
          <w:szCs w:val="18"/>
        </w:rPr>
      </w:pPr>
    </w:p>
    <w:p w14:paraId="14ACF8BA">
      <w:pPr>
        <w:autoSpaceDE w:val="0"/>
        <w:autoSpaceDN w:val="0"/>
        <w:adjustRightInd w:val="0"/>
        <w:snapToGrid w:val="0"/>
        <w:spacing w:line="360" w:lineRule="auto"/>
        <w:jc w:val="left"/>
        <w:rPr>
          <w:rFonts w:ascii="宋体" w:hAnsi="宋体"/>
          <w:snapToGrid w:val="0"/>
          <w:kern w:val="0"/>
          <w:sz w:val="20"/>
          <w:szCs w:val="20"/>
        </w:rPr>
      </w:pPr>
    </w:p>
    <w:p w14:paraId="000BECBA">
      <w:pPr>
        <w:autoSpaceDE w:val="0"/>
        <w:autoSpaceDN w:val="0"/>
        <w:adjustRightInd w:val="0"/>
        <w:snapToGrid w:val="0"/>
        <w:spacing w:line="360" w:lineRule="auto"/>
        <w:jc w:val="left"/>
        <w:rPr>
          <w:rFonts w:ascii="宋体" w:hAnsi="宋体"/>
          <w:snapToGrid w:val="0"/>
          <w:kern w:val="0"/>
          <w:sz w:val="20"/>
          <w:szCs w:val="20"/>
        </w:rPr>
      </w:pPr>
    </w:p>
    <w:p w14:paraId="2E407B53">
      <w:pPr>
        <w:autoSpaceDE w:val="0"/>
        <w:autoSpaceDN w:val="0"/>
        <w:adjustRightInd w:val="0"/>
        <w:snapToGrid w:val="0"/>
        <w:spacing w:line="360" w:lineRule="auto"/>
        <w:jc w:val="left"/>
        <w:rPr>
          <w:rFonts w:ascii="宋体" w:hAnsi="宋体"/>
          <w:snapToGrid w:val="0"/>
          <w:kern w:val="0"/>
          <w:sz w:val="20"/>
          <w:szCs w:val="20"/>
        </w:rPr>
      </w:pPr>
    </w:p>
    <w:p w14:paraId="654F1D43">
      <w:pPr>
        <w:autoSpaceDE w:val="0"/>
        <w:autoSpaceDN w:val="0"/>
        <w:adjustRightInd w:val="0"/>
        <w:snapToGrid w:val="0"/>
        <w:spacing w:line="360" w:lineRule="auto"/>
        <w:jc w:val="left"/>
        <w:rPr>
          <w:rFonts w:ascii="宋体" w:hAnsi="宋体"/>
          <w:snapToGrid w:val="0"/>
          <w:kern w:val="0"/>
          <w:sz w:val="20"/>
          <w:szCs w:val="20"/>
        </w:rPr>
      </w:pPr>
    </w:p>
    <w:p w14:paraId="275BA194">
      <w:pPr>
        <w:tabs>
          <w:tab w:val="left" w:pos="7035"/>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 xml:space="preserve">（盖单位法人章） </w:t>
      </w:r>
    </w:p>
    <w:p w14:paraId="1593289B">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6112789E">
      <w:pPr>
        <w:autoSpaceDE w:val="0"/>
        <w:autoSpaceDN w:val="0"/>
        <w:adjustRightInd w:val="0"/>
        <w:snapToGrid w:val="0"/>
        <w:spacing w:line="360" w:lineRule="auto"/>
        <w:jc w:val="right"/>
        <w:rPr>
          <w:rFonts w:ascii="宋体" w:hAnsi="宋体"/>
          <w:snapToGrid w:val="0"/>
          <w:kern w:val="0"/>
          <w:sz w:val="20"/>
          <w:szCs w:val="20"/>
        </w:rPr>
      </w:pPr>
    </w:p>
    <w:p w14:paraId="2445DB3A">
      <w:pPr>
        <w:wordWrap w:val="0"/>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5B07DC42">
      <w:pPr>
        <w:autoSpaceDE w:val="0"/>
        <w:autoSpaceDN w:val="0"/>
        <w:adjustRightInd w:val="0"/>
        <w:snapToGrid w:val="0"/>
        <w:spacing w:line="360" w:lineRule="auto"/>
        <w:jc w:val="left"/>
        <w:rPr>
          <w:rFonts w:ascii="宋体" w:hAnsi="宋体"/>
          <w:b/>
          <w:snapToGrid w:val="0"/>
          <w:kern w:val="0"/>
          <w:sz w:val="24"/>
        </w:rPr>
      </w:pPr>
    </w:p>
    <w:p w14:paraId="60239227">
      <w:pPr>
        <w:autoSpaceDE/>
        <w:autoSpaceDN/>
        <w:adjustRightInd/>
        <w:snapToGrid/>
        <w:spacing w:line="240" w:lineRule="auto"/>
        <w:jc w:val="left"/>
        <w:rPr>
          <w:rFonts w:ascii="宋体" w:hAnsi="宋体"/>
          <w:b/>
          <w:snapToGrid w:val="0"/>
          <w:kern w:val="0"/>
        </w:rPr>
      </w:pPr>
      <w:r>
        <w:rPr>
          <w:rFonts w:ascii="宋体" w:hAnsi="宋体"/>
          <w:b/>
          <w:snapToGrid w:val="0"/>
          <w:kern w:val="0"/>
        </w:rPr>
        <w:br w:type="page"/>
      </w:r>
    </w:p>
    <w:p w14:paraId="52A4945F">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t>附表</w:t>
      </w:r>
      <w:r>
        <w:rPr>
          <w:rFonts w:hint="default" w:ascii="宋体" w:hAnsi="宋体"/>
          <w:b/>
          <w:snapToGrid w:val="0"/>
          <w:kern w:val="0"/>
          <w:lang w:val="en-US"/>
        </w:rPr>
        <w:t>五</w:t>
      </w:r>
      <w:r>
        <w:rPr>
          <w:rFonts w:ascii="宋体" w:hAnsi="宋体"/>
          <w:b/>
          <w:snapToGrid w:val="0"/>
          <w:kern w:val="0"/>
        </w:rPr>
        <w:t>：中标通知书</w:t>
      </w:r>
    </w:p>
    <w:p w14:paraId="31ACF132">
      <w:pPr>
        <w:autoSpaceDE w:val="0"/>
        <w:autoSpaceDN w:val="0"/>
        <w:adjustRightInd w:val="0"/>
        <w:spacing w:line="360" w:lineRule="auto"/>
        <w:jc w:val="left"/>
        <w:rPr>
          <w:rFonts w:ascii="宋体" w:hAnsi="宋体"/>
          <w:snapToGrid w:val="0"/>
          <w:kern w:val="0"/>
          <w:sz w:val="20"/>
          <w:szCs w:val="20"/>
        </w:rPr>
      </w:pPr>
    </w:p>
    <w:p w14:paraId="17D425BF">
      <w:pPr>
        <w:autoSpaceDE w:val="0"/>
        <w:autoSpaceDN w:val="0"/>
        <w:adjustRightInd w:val="0"/>
        <w:spacing w:line="360" w:lineRule="auto"/>
        <w:jc w:val="left"/>
        <w:rPr>
          <w:rFonts w:ascii="宋体" w:hAnsi="宋体"/>
          <w:snapToGrid w:val="0"/>
          <w:kern w:val="0"/>
          <w:sz w:val="20"/>
          <w:szCs w:val="20"/>
        </w:rPr>
      </w:pPr>
    </w:p>
    <w:p w14:paraId="53343CF8">
      <w:pPr>
        <w:autoSpaceDE w:val="0"/>
        <w:autoSpaceDN w:val="0"/>
        <w:adjustRightInd w:val="0"/>
        <w:spacing w:line="360" w:lineRule="auto"/>
        <w:jc w:val="left"/>
        <w:rPr>
          <w:rFonts w:ascii="宋体" w:hAnsi="宋体"/>
          <w:snapToGrid w:val="0"/>
          <w:kern w:val="0"/>
          <w:sz w:val="20"/>
          <w:szCs w:val="20"/>
        </w:rPr>
      </w:pPr>
    </w:p>
    <w:p w14:paraId="07EB9CAF">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重庆市建设工程中标通知书</w:t>
      </w:r>
    </w:p>
    <w:p w14:paraId="62C19A2F">
      <w:pPr>
        <w:spacing w:line="360" w:lineRule="auto"/>
        <w:rPr>
          <w:rFonts w:ascii="宋体" w:hAnsi="宋体"/>
          <w:bCs/>
          <w:kern w:val="0"/>
          <w:szCs w:val="21"/>
          <w:u w:val="single"/>
        </w:rPr>
      </w:pPr>
      <w:r>
        <w:rPr>
          <w:rFonts w:ascii="宋体" w:hAnsi="宋体"/>
          <w:bCs/>
          <w:kern w:val="0"/>
          <w:szCs w:val="21"/>
          <w:u w:val="single"/>
        </w:rPr>
        <w:t xml:space="preserve">       </w:t>
      </w:r>
      <w:r>
        <w:rPr>
          <w:rFonts w:ascii="宋体" w:hAnsi="宋体"/>
          <w:kern w:val="0"/>
          <w:szCs w:val="21"/>
          <w:u w:val="single"/>
        </w:rPr>
        <w:t>中标单位</w:t>
      </w:r>
      <w:r>
        <w:rPr>
          <w:rFonts w:ascii="宋体" w:hAnsi="宋体"/>
          <w:bCs/>
          <w:kern w:val="0"/>
          <w:szCs w:val="21"/>
          <w:u w:val="single"/>
        </w:rPr>
        <w:t xml:space="preserve">               </w:t>
      </w:r>
      <w:r>
        <w:rPr>
          <w:rFonts w:ascii="宋体" w:hAnsi="宋体"/>
          <w:bCs/>
          <w:kern w:val="0"/>
          <w:szCs w:val="21"/>
        </w:rPr>
        <w:t>：</w:t>
      </w:r>
    </w:p>
    <w:p w14:paraId="4A28ACF6">
      <w:pPr>
        <w:spacing w:line="360" w:lineRule="auto"/>
        <w:ind w:firstLine="420" w:firstLineChars="200"/>
        <w:rPr>
          <w:rFonts w:ascii="宋体" w:hAnsi="宋体"/>
          <w:kern w:val="0"/>
          <w:szCs w:val="21"/>
        </w:rPr>
      </w:pPr>
      <w:r>
        <w:rPr>
          <w:rFonts w:ascii="宋体" w:hAnsi="宋体"/>
          <w:kern w:val="0"/>
          <w:szCs w:val="21"/>
        </w:rPr>
        <w:t xml:space="preserve">我单位拟建的 </w:t>
      </w:r>
      <w:r>
        <w:rPr>
          <w:rFonts w:ascii="宋体" w:hAnsi="宋体"/>
          <w:bCs/>
          <w:kern w:val="0"/>
          <w:szCs w:val="21"/>
          <w:u w:val="single"/>
        </w:rPr>
        <w:t xml:space="preserve">   </w:t>
      </w:r>
      <w:r>
        <w:rPr>
          <w:rFonts w:hint="eastAsia" w:ascii="宋体" w:hAnsi="宋体"/>
          <w:bCs/>
          <w:kern w:val="0"/>
          <w:szCs w:val="21"/>
          <w:u w:val="single"/>
        </w:rPr>
        <w:t>（项目名称）</w:t>
      </w:r>
      <w:r>
        <w:rPr>
          <w:rFonts w:ascii="宋体" w:hAnsi="宋体"/>
          <w:bCs/>
          <w:kern w:val="0"/>
          <w:szCs w:val="21"/>
          <w:u w:val="single"/>
        </w:rPr>
        <w:t xml:space="preserve">    </w:t>
      </w:r>
      <w:r>
        <w:rPr>
          <w:rFonts w:ascii="宋体" w:hAnsi="宋体"/>
          <w:kern w:val="0"/>
          <w:szCs w:val="21"/>
        </w:rPr>
        <w:t>于</w:t>
      </w:r>
      <w:r>
        <w:rPr>
          <w:rFonts w:ascii="宋体" w:hAnsi="宋体"/>
          <w:bCs/>
          <w:kern w:val="0"/>
          <w:szCs w:val="21"/>
          <w:u w:val="single"/>
        </w:rPr>
        <w:t xml:space="preserve">    </w:t>
      </w:r>
      <w:r>
        <w:rPr>
          <w:rFonts w:ascii="宋体" w:hAnsi="宋体"/>
          <w:kern w:val="0"/>
          <w:szCs w:val="21"/>
        </w:rPr>
        <w:t>年</w:t>
      </w:r>
      <w:r>
        <w:rPr>
          <w:rFonts w:hint="eastAsia" w:ascii="宋体" w:hAnsi="宋体"/>
          <w:bCs/>
          <w:kern w:val="0"/>
          <w:szCs w:val="21"/>
          <w:u w:val="single"/>
        </w:rPr>
        <w:t xml:space="preserve">    </w:t>
      </w:r>
      <w:r>
        <w:rPr>
          <w:rFonts w:ascii="宋体" w:hAnsi="宋体"/>
          <w:kern w:val="0"/>
          <w:szCs w:val="21"/>
        </w:rPr>
        <w:t>月</w:t>
      </w:r>
      <w:r>
        <w:rPr>
          <w:rFonts w:hint="eastAsia" w:ascii="宋体" w:hAnsi="宋体"/>
          <w:bCs/>
          <w:kern w:val="0"/>
          <w:szCs w:val="21"/>
          <w:u w:val="single"/>
        </w:rPr>
        <w:t xml:space="preserve">    </w:t>
      </w:r>
      <w:r>
        <w:rPr>
          <w:rFonts w:ascii="宋体" w:hAnsi="宋体"/>
          <w:kern w:val="0"/>
          <w:szCs w:val="21"/>
        </w:rPr>
        <w:t>日开标，经评标委员会评定，确定你单位为中标人，中标额为</w:t>
      </w:r>
      <w:r>
        <w:rPr>
          <w:rFonts w:hint="eastAsia" w:ascii="宋体" w:hAnsi="宋体"/>
          <w:kern w:val="0"/>
          <w:szCs w:val="21"/>
        </w:rPr>
        <w:t>（大写）</w:t>
      </w:r>
      <w:r>
        <w:rPr>
          <w:rFonts w:hint="eastAsia" w:ascii="宋体" w:hAnsi="宋体"/>
          <w:kern w:val="0"/>
          <w:szCs w:val="21"/>
          <w:u w:val="single"/>
        </w:rPr>
        <w:t xml:space="preserve">        </w:t>
      </w:r>
      <w:r>
        <w:rPr>
          <w:rFonts w:hint="eastAsia" w:ascii="宋体" w:hAnsi="宋体"/>
          <w:kern w:val="0"/>
          <w:szCs w:val="21"/>
        </w:rPr>
        <w:t>，</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 xml:space="preserve">（其中含安全文明施工费 </w:t>
      </w:r>
      <w:r>
        <w:rPr>
          <w:rFonts w:ascii="宋体" w:hAnsi="宋体"/>
          <w:bCs/>
          <w:kern w:val="0"/>
          <w:szCs w:val="21"/>
          <w:u w:val="single"/>
        </w:rPr>
        <w:t xml:space="preserve">￥    </w:t>
      </w:r>
      <w:r>
        <w:rPr>
          <w:rFonts w:ascii="宋体" w:hAnsi="宋体"/>
          <w:kern w:val="0"/>
          <w:szCs w:val="21"/>
        </w:rPr>
        <w:t>）。中标工程范围：</w:t>
      </w:r>
      <w:r>
        <w:rPr>
          <w:rFonts w:ascii="宋体" w:hAnsi="宋体"/>
          <w:bCs/>
          <w:kern w:val="0"/>
          <w:szCs w:val="21"/>
          <w:u w:val="single"/>
        </w:rPr>
        <w:t xml:space="preserve">     </w:t>
      </w:r>
      <w:r>
        <w:rPr>
          <w:rFonts w:ascii="宋体" w:hAnsi="宋体"/>
          <w:kern w:val="0"/>
          <w:szCs w:val="21"/>
        </w:rPr>
        <w:t xml:space="preserve">，工程规模为 </w:t>
      </w:r>
      <w:r>
        <w:rPr>
          <w:rFonts w:ascii="宋体" w:hAnsi="宋体"/>
          <w:bCs/>
          <w:kern w:val="0"/>
          <w:szCs w:val="21"/>
          <w:u w:val="single"/>
        </w:rPr>
        <w:t xml:space="preserve">      </w:t>
      </w:r>
      <w:r>
        <w:rPr>
          <w:rFonts w:ascii="宋体" w:hAnsi="宋体"/>
          <w:kern w:val="0"/>
          <w:szCs w:val="21"/>
        </w:rPr>
        <w:t xml:space="preserve">，中标工期 </w:t>
      </w:r>
      <w:r>
        <w:rPr>
          <w:rFonts w:ascii="宋体" w:hAnsi="宋体"/>
          <w:bCs/>
          <w:kern w:val="0"/>
          <w:szCs w:val="21"/>
          <w:u w:val="single"/>
        </w:rPr>
        <w:t xml:space="preserve">   </w:t>
      </w:r>
      <w:r>
        <w:rPr>
          <w:rFonts w:ascii="宋体" w:hAnsi="宋体"/>
          <w:kern w:val="0"/>
          <w:szCs w:val="21"/>
          <w:u w:val="single"/>
        </w:rPr>
        <w:t>日历天</w:t>
      </w:r>
      <w:r>
        <w:rPr>
          <w:rFonts w:ascii="宋体" w:hAnsi="宋体"/>
          <w:kern w:val="0"/>
          <w:szCs w:val="21"/>
        </w:rPr>
        <w:t>，工程质量达到国家施工验收规范标准。 项目经理由</w:t>
      </w:r>
    </w:p>
    <w:p w14:paraId="581C6DF5">
      <w:pPr>
        <w:spacing w:line="360" w:lineRule="auto"/>
        <w:ind w:firstLine="0" w:firstLineChars="0"/>
        <w:rPr>
          <w:rFonts w:ascii="宋体" w:hAnsi="宋体"/>
          <w:kern w:val="0"/>
          <w:szCs w:val="21"/>
        </w:rPr>
      </w:pP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担任。</w:t>
      </w:r>
    </w:p>
    <w:p w14:paraId="4596268D">
      <w:pPr>
        <w:spacing w:line="360" w:lineRule="auto"/>
        <w:ind w:firstLine="420" w:firstLineChars="200"/>
        <w:rPr>
          <w:rFonts w:ascii="宋体" w:hAnsi="宋体"/>
          <w:kern w:val="0"/>
          <w:szCs w:val="21"/>
        </w:rPr>
      </w:pPr>
      <w:r>
        <w:rPr>
          <w:rFonts w:ascii="宋体" w:hAnsi="宋体"/>
          <w:kern w:val="0"/>
          <w:szCs w:val="21"/>
        </w:rPr>
        <w:t xml:space="preserve">你单位收到中标通知书后，在 </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日内到我单位签订承发包合同。</w:t>
      </w:r>
      <w:r>
        <w:rPr>
          <w:szCs w:val="21"/>
        </w:rPr>
        <w:t>在此之前按招标文件第二章</w:t>
      </w:r>
      <w:r>
        <w:rPr>
          <w:rFonts w:hint="eastAsia"/>
          <w:szCs w:val="21"/>
        </w:rPr>
        <w:t>“</w:t>
      </w:r>
      <w:r>
        <w:rPr>
          <w:szCs w:val="21"/>
        </w:rPr>
        <w:t>投标人须知</w:t>
      </w:r>
      <w:r>
        <w:rPr>
          <w:rFonts w:hint="eastAsia"/>
          <w:szCs w:val="21"/>
        </w:rPr>
        <w:t>”</w:t>
      </w:r>
      <w:r>
        <w:rPr>
          <w:szCs w:val="21"/>
        </w:rPr>
        <w:t>第7.</w:t>
      </w:r>
      <w:r>
        <w:rPr>
          <w:rFonts w:hint="eastAsia"/>
          <w:szCs w:val="21"/>
        </w:rPr>
        <w:t>3</w:t>
      </w:r>
      <w:r>
        <w:rPr>
          <w:szCs w:val="21"/>
        </w:rPr>
        <w:t>款规定向我方提交履约担保。</w:t>
      </w:r>
    </w:p>
    <w:p w14:paraId="0E50E2DE">
      <w:pPr>
        <w:spacing w:line="360" w:lineRule="auto"/>
        <w:ind w:firstLine="420" w:firstLineChars="200"/>
        <w:rPr>
          <w:rFonts w:ascii="宋体" w:hAnsi="宋体"/>
          <w:kern w:val="0"/>
          <w:szCs w:val="21"/>
        </w:rPr>
      </w:pPr>
      <w:r>
        <w:rPr>
          <w:rFonts w:ascii="宋体" w:hAnsi="宋体"/>
          <w:kern w:val="0"/>
          <w:szCs w:val="21"/>
        </w:rPr>
        <w:t>特此通知。</w:t>
      </w:r>
    </w:p>
    <w:p w14:paraId="5FFF5B99">
      <w:pPr>
        <w:spacing w:line="480" w:lineRule="auto"/>
        <w:rPr>
          <w:rFonts w:ascii="宋体" w:hAnsi="宋体"/>
          <w:kern w:val="0"/>
          <w:sz w:val="24"/>
        </w:rPr>
      </w:pPr>
    </w:p>
    <w:p w14:paraId="09C2C502">
      <w:pPr>
        <w:spacing w:line="480" w:lineRule="auto"/>
        <w:rPr>
          <w:rFonts w:ascii="宋体" w:hAnsi="宋体"/>
          <w:kern w:val="0"/>
          <w:sz w:val="24"/>
        </w:rPr>
      </w:pPr>
    </w:p>
    <w:p w14:paraId="50E86AE7">
      <w:pPr>
        <w:spacing w:line="480" w:lineRule="auto"/>
        <w:rPr>
          <w:rFonts w:ascii="宋体" w:hAnsi="宋体"/>
          <w:kern w:val="0"/>
          <w:sz w:val="24"/>
        </w:rPr>
      </w:pPr>
    </w:p>
    <w:p w14:paraId="4D37796B">
      <w:pPr>
        <w:spacing w:line="480" w:lineRule="auto"/>
        <w:jc w:val="left"/>
        <w:rPr>
          <w:rFonts w:ascii="宋体" w:hAnsi="宋体"/>
          <w:kern w:val="0"/>
          <w:szCs w:val="21"/>
        </w:rPr>
      </w:pPr>
      <w:r>
        <w:rPr>
          <w:rFonts w:ascii="宋体" w:hAnsi="宋体"/>
          <w:kern w:val="0"/>
          <w:sz w:val="24"/>
        </w:rPr>
        <w:t xml:space="preserve">                                </w:t>
      </w:r>
      <w:r>
        <w:rPr>
          <w:rFonts w:ascii="宋体" w:hAnsi="宋体"/>
          <w:kern w:val="0"/>
          <w:szCs w:val="21"/>
        </w:rPr>
        <w:t>招标人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snapToGrid w:val="0"/>
          <w:kern w:val="0"/>
          <w:szCs w:val="21"/>
        </w:rPr>
        <w:t>盖单位法人章</w:t>
      </w:r>
      <w:r>
        <w:rPr>
          <w:rFonts w:ascii="宋体" w:hAnsi="宋体"/>
          <w:kern w:val="0"/>
          <w:szCs w:val="21"/>
        </w:rPr>
        <w:t>）</w:t>
      </w:r>
    </w:p>
    <w:p w14:paraId="04257708">
      <w:pPr>
        <w:spacing w:line="480" w:lineRule="auto"/>
        <w:jc w:val="left"/>
        <w:rPr>
          <w:rFonts w:ascii="宋体" w:hAnsi="宋体"/>
          <w:kern w:val="0"/>
          <w:szCs w:val="21"/>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法定代表人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4B4C9359">
      <w:pPr>
        <w:spacing w:line="480" w:lineRule="auto"/>
        <w:jc w:val="left"/>
        <w:rPr>
          <w:rFonts w:ascii="宋体" w:hAnsi="宋体"/>
          <w:kern w:val="0"/>
          <w:szCs w:val="21"/>
          <w:u w:val="single"/>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联系人</w:t>
      </w:r>
      <w:r>
        <w:rPr>
          <w:rFonts w:ascii="宋体" w:hAnsi="宋体"/>
          <w:snapToGrid w:val="0"/>
          <w:kern w:val="0"/>
          <w:szCs w:val="21"/>
        </w:rPr>
        <w:t>：</w:t>
      </w:r>
      <w:r>
        <w:rPr>
          <w:rFonts w:ascii="宋体" w:hAnsi="宋体"/>
          <w:kern w:val="0"/>
          <w:szCs w:val="21"/>
          <w:u w:val="single"/>
        </w:rPr>
        <w:t xml:space="preserve">                          </w:t>
      </w:r>
    </w:p>
    <w:p w14:paraId="4474E46D">
      <w:pPr>
        <w:spacing w:line="480" w:lineRule="auto"/>
        <w:jc w:val="left"/>
        <w:rPr>
          <w:rFonts w:ascii="宋体" w:hAnsi="宋体"/>
          <w:kern w:val="0"/>
          <w:szCs w:val="21"/>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联系电话</w:t>
      </w:r>
      <w:r>
        <w:rPr>
          <w:rFonts w:ascii="宋体" w:hAnsi="宋体"/>
          <w:snapToGrid w:val="0"/>
          <w:kern w:val="0"/>
          <w:szCs w:val="21"/>
        </w:rPr>
        <w:t>：</w:t>
      </w:r>
      <w:r>
        <w:rPr>
          <w:rFonts w:ascii="宋体" w:hAnsi="宋体"/>
          <w:kern w:val="0"/>
          <w:szCs w:val="21"/>
          <w:u w:val="single"/>
        </w:rPr>
        <w:t xml:space="preserve">                        </w:t>
      </w:r>
    </w:p>
    <w:p w14:paraId="36FD1129">
      <w:pPr>
        <w:spacing w:line="480" w:lineRule="auto"/>
        <w:jc w:val="right"/>
        <w:rPr>
          <w:rFonts w:ascii="宋体" w:hAnsi="宋体"/>
          <w:kern w:val="0"/>
          <w:szCs w:val="21"/>
        </w:rPr>
      </w:pPr>
    </w:p>
    <w:p w14:paraId="376AD70D">
      <w:pPr>
        <w:spacing w:line="480" w:lineRule="auto"/>
        <w:jc w:val="right"/>
        <w:rPr>
          <w:rFonts w:ascii="宋体" w:hAnsi="宋体"/>
          <w:kern w:val="0"/>
          <w:szCs w:val="21"/>
        </w:rPr>
      </w:pPr>
    </w:p>
    <w:p w14:paraId="11457F11">
      <w:pPr>
        <w:spacing w:line="480" w:lineRule="auto"/>
        <w:jc w:val="right"/>
        <w:rPr>
          <w:rFonts w:ascii="宋体" w:hAnsi="宋体"/>
          <w:sz w:val="21"/>
          <w:szCs w:val="21"/>
          <w:u w:val="none"/>
          <w:lang w:eastAsia="zh-CN"/>
        </w:rPr>
      </w:pPr>
      <w:r>
        <w:rPr>
          <w:rFonts w:ascii="宋体" w:hAnsi="宋体"/>
          <w:kern w:val="0"/>
          <w:szCs w:val="21"/>
        </w:rPr>
        <w:t xml:space="preserve">                   签发日期</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020225A0">
      <w:pPr>
        <w:pStyle w:val="33"/>
        <w:spacing w:line="360" w:lineRule="auto"/>
        <w:ind w:firstLine="420" w:firstLineChars="200"/>
        <w:jc w:val="both"/>
        <w:rPr>
          <w:rFonts w:ascii="宋体" w:hAnsi="宋体"/>
          <w:sz w:val="21"/>
          <w:szCs w:val="21"/>
          <w:u w:val="none"/>
          <w:lang w:eastAsia="zh-CN"/>
        </w:rPr>
      </w:pPr>
    </w:p>
    <w:p w14:paraId="06A41E95">
      <w:pPr>
        <w:pStyle w:val="33"/>
        <w:spacing w:line="360" w:lineRule="auto"/>
        <w:jc w:val="both"/>
        <w:rPr>
          <w:rFonts w:ascii="宋体" w:hAnsi="宋体"/>
          <w:sz w:val="21"/>
          <w:szCs w:val="21"/>
          <w:u w:val="none"/>
          <w:lang w:eastAsia="zh-CN"/>
        </w:rPr>
      </w:pPr>
    </w:p>
    <w:p w14:paraId="18140229">
      <w:pPr>
        <w:spacing w:line="200" w:lineRule="exact"/>
        <w:rPr>
          <w:rFonts w:ascii="宋体" w:hAnsi="宋体"/>
          <w:kern w:val="0"/>
        </w:rPr>
      </w:pPr>
      <w:r>
        <w:rPr>
          <w:rFonts w:ascii="宋体" w:hAnsi="宋体"/>
          <w:snapToGrid w:val="0"/>
          <w:kern w:val="0"/>
        </w:rPr>
        <w:br w:type="page"/>
      </w:r>
      <w:bookmarkStart w:id="564" w:name="招标文件03章02评标办法综合评估法"/>
      <w:bookmarkEnd w:id="564"/>
      <w:bookmarkStart w:id="565" w:name="招标文件03章02评标办法综合评估法00"/>
      <w:bookmarkEnd w:id="565"/>
      <w:bookmarkStart w:id="566" w:name="_Toc287620751"/>
      <w:bookmarkStart w:id="567" w:name="_Toc287607812"/>
      <w:bookmarkStart w:id="568" w:name="_Toc224103384"/>
      <w:bookmarkStart w:id="569" w:name="_Toc277082618"/>
      <w:bookmarkStart w:id="570" w:name="_Toc200513198"/>
      <w:bookmarkStart w:id="571" w:name="_Toc430530500"/>
    </w:p>
    <w:p w14:paraId="56C6C9B2">
      <w:pPr>
        <w:pStyle w:val="3"/>
        <w:spacing w:line="360" w:lineRule="auto"/>
        <w:ind w:firstLine="880" w:firstLineChars="200"/>
        <w:jc w:val="center"/>
        <w:rPr>
          <w:rFonts w:ascii="宋体" w:hAnsi="宋体"/>
        </w:rPr>
      </w:pPr>
      <w:bookmarkStart w:id="572" w:name="_Toc509218774"/>
      <w:bookmarkStart w:id="573" w:name="_Toc21665"/>
      <w:bookmarkStart w:id="574" w:name="_Toc16756"/>
      <w:r>
        <w:rPr>
          <w:rFonts w:ascii="宋体" w:hAnsi="宋体"/>
        </w:rPr>
        <w:t xml:space="preserve">第三章 </w:t>
      </w:r>
      <w:r>
        <w:rPr>
          <w:rFonts w:hint="eastAsia" w:ascii="宋体" w:hAnsi="宋体"/>
        </w:rPr>
        <w:t xml:space="preserve"> </w:t>
      </w:r>
      <w:r>
        <w:rPr>
          <w:rFonts w:ascii="宋体" w:hAnsi="宋体"/>
        </w:rPr>
        <w:t>评标办法（综合评估法）</w:t>
      </w:r>
      <w:bookmarkEnd w:id="572"/>
      <w:bookmarkEnd w:id="573"/>
      <w:bookmarkEnd w:id="574"/>
      <w:bookmarkStart w:id="575" w:name="_Toc287607811"/>
      <w:bookmarkStart w:id="576" w:name="_Toc277082617"/>
      <w:bookmarkStart w:id="577" w:name="_Toc430530499"/>
      <w:bookmarkStart w:id="578" w:name="_Toc287620750"/>
      <w:bookmarkStart w:id="579" w:name="_Toc224103383"/>
    </w:p>
    <w:p w14:paraId="0CCE4255">
      <w:pPr>
        <w:pStyle w:val="4"/>
        <w:spacing w:before="100" w:after="100" w:line="360" w:lineRule="auto"/>
        <w:rPr>
          <w:rFonts w:ascii="宋体" w:hAnsi="宋体"/>
        </w:rPr>
      </w:pPr>
      <w:bookmarkStart w:id="580" w:name="_Toc509218775"/>
      <w:bookmarkStart w:id="581" w:name="_Toc1330"/>
      <w:bookmarkStart w:id="582" w:name="_Toc29769"/>
      <w:r>
        <w:rPr>
          <w:rFonts w:hint="eastAsia" w:ascii="宋体" w:hAnsi="宋体"/>
        </w:rPr>
        <w:t>评标办法前附表</w:t>
      </w:r>
      <w:bookmarkEnd w:id="580"/>
      <w:bookmarkEnd w:id="581"/>
      <w:bookmarkEnd w:id="582"/>
    </w:p>
    <w:p w14:paraId="07EE3FA8">
      <w:pPr>
        <w:spacing w:line="360" w:lineRule="auto"/>
        <w:ind w:firstLine="420" w:firstLineChars="200"/>
        <w:rPr>
          <w:szCs w:val="21"/>
        </w:rPr>
      </w:pPr>
      <w:r>
        <w:rPr>
          <w:szCs w:val="21"/>
        </w:rPr>
        <w:t>评标办法中的评审内容必须和投标人须知中的对应内容一致，若投标人须知中未作要求的内容，不得列入评标办法作为评定依据。</w:t>
      </w:r>
    </w:p>
    <w:tbl>
      <w:tblPr>
        <w:tblStyle w:val="45"/>
        <w:tblW w:w="947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1628"/>
        <w:gridCol w:w="734"/>
        <w:gridCol w:w="1570"/>
        <w:gridCol w:w="371"/>
        <w:gridCol w:w="2158"/>
        <w:gridCol w:w="2159"/>
      </w:tblGrid>
      <w:tr w14:paraId="217549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tcBorders>
              <w:right w:val="single" w:color="auto" w:sz="4" w:space="0"/>
            </w:tcBorders>
            <w:vAlign w:val="center"/>
          </w:tcPr>
          <w:p w14:paraId="4461B8E4">
            <w:pPr>
              <w:spacing w:line="400" w:lineRule="exact"/>
              <w:jc w:val="center"/>
              <w:rPr>
                <w:rFonts w:ascii="宋体" w:hAnsi="宋体"/>
                <w:b/>
                <w:kern w:val="0"/>
              </w:rPr>
            </w:pPr>
            <w:r>
              <w:rPr>
                <w:rFonts w:ascii="宋体" w:hAnsi="宋体"/>
                <w:b/>
                <w:kern w:val="0"/>
              </w:rPr>
              <w:t>条款号</w:t>
            </w:r>
          </w:p>
        </w:tc>
        <w:tc>
          <w:tcPr>
            <w:tcW w:w="1628" w:type="dxa"/>
            <w:tcBorders>
              <w:left w:val="single" w:color="auto" w:sz="4" w:space="0"/>
            </w:tcBorders>
            <w:vAlign w:val="center"/>
          </w:tcPr>
          <w:p w14:paraId="08BF8B5C">
            <w:pPr>
              <w:spacing w:line="400" w:lineRule="exact"/>
              <w:jc w:val="center"/>
              <w:rPr>
                <w:rFonts w:ascii="宋体" w:hAnsi="宋体"/>
                <w:b/>
                <w:kern w:val="0"/>
              </w:rPr>
            </w:pPr>
            <w:r>
              <w:rPr>
                <w:rFonts w:ascii="宋体" w:hAnsi="宋体"/>
                <w:b/>
                <w:kern w:val="0"/>
              </w:rPr>
              <w:t>评审因素</w:t>
            </w:r>
          </w:p>
        </w:tc>
        <w:tc>
          <w:tcPr>
            <w:tcW w:w="6992" w:type="dxa"/>
            <w:gridSpan w:val="5"/>
            <w:vAlign w:val="center"/>
          </w:tcPr>
          <w:p w14:paraId="39AF5BB3">
            <w:pPr>
              <w:spacing w:line="400" w:lineRule="exact"/>
              <w:jc w:val="center"/>
              <w:rPr>
                <w:rFonts w:ascii="宋体" w:hAnsi="宋体"/>
                <w:b/>
                <w:kern w:val="0"/>
              </w:rPr>
            </w:pPr>
            <w:r>
              <w:rPr>
                <w:rFonts w:ascii="宋体" w:hAnsi="宋体"/>
                <w:b/>
                <w:kern w:val="0"/>
              </w:rPr>
              <w:t>评审标准</w:t>
            </w:r>
          </w:p>
        </w:tc>
      </w:tr>
      <w:tr w14:paraId="6BA275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14:paraId="72793827">
            <w:pPr>
              <w:spacing w:line="400" w:lineRule="exact"/>
              <w:jc w:val="center"/>
              <w:rPr>
                <w:rFonts w:ascii="宋体" w:hAnsi="宋体"/>
                <w:kern w:val="0"/>
              </w:rPr>
            </w:pPr>
            <w:r>
              <w:rPr>
                <w:rFonts w:ascii="宋体" w:hAnsi="宋体"/>
                <w:kern w:val="0"/>
              </w:rPr>
              <w:t>2.1.</w:t>
            </w:r>
            <w:r>
              <w:rPr>
                <w:rFonts w:hint="eastAsia" w:ascii="宋体" w:hAnsi="宋体"/>
                <w:kern w:val="0"/>
              </w:rPr>
              <w:t>1</w:t>
            </w:r>
          </w:p>
        </w:tc>
        <w:tc>
          <w:tcPr>
            <w:tcW w:w="1628" w:type="dxa"/>
            <w:vMerge w:val="restart"/>
            <w:tcBorders>
              <w:right w:val="single" w:color="auto" w:sz="4" w:space="0"/>
            </w:tcBorders>
            <w:vAlign w:val="center"/>
          </w:tcPr>
          <w:p w14:paraId="1DE07D9D">
            <w:pPr>
              <w:spacing w:line="400" w:lineRule="exact"/>
              <w:jc w:val="center"/>
              <w:rPr>
                <w:rFonts w:ascii="宋体" w:hAnsi="宋体"/>
                <w:kern w:val="0"/>
              </w:rPr>
            </w:pPr>
            <w:r>
              <w:rPr>
                <w:rFonts w:ascii="宋体" w:hAnsi="宋体"/>
                <w:kern w:val="0"/>
              </w:rPr>
              <w:t>资格评审标准</w:t>
            </w:r>
          </w:p>
        </w:tc>
        <w:tc>
          <w:tcPr>
            <w:tcW w:w="2304" w:type="dxa"/>
            <w:gridSpan w:val="2"/>
            <w:tcBorders>
              <w:left w:val="single" w:color="auto" w:sz="4" w:space="0"/>
            </w:tcBorders>
            <w:vAlign w:val="center"/>
          </w:tcPr>
          <w:p w14:paraId="4B45E009">
            <w:pPr>
              <w:spacing w:line="400" w:lineRule="exact"/>
              <w:jc w:val="left"/>
              <w:rPr>
                <w:rFonts w:ascii="宋体" w:hAnsi="宋体"/>
                <w:kern w:val="0"/>
              </w:rPr>
            </w:pPr>
            <w:r>
              <w:rPr>
                <w:rFonts w:hint="eastAsia" w:ascii="宋体" w:hAnsi="宋体"/>
                <w:kern w:val="0"/>
              </w:rPr>
              <w:t>资质条件</w:t>
            </w:r>
          </w:p>
        </w:tc>
        <w:tc>
          <w:tcPr>
            <w:tcW w:w="4688" w:type="dxa"/>
            <w:gridSpan w:val="3"/>
            <w:vAlign w:val="center"/>
          </w:tcPr>
          <w:p w14:paraId="1CCF14DF">
            <w:pPr>
              <w:spacing w:line="400" w:lineRule="exact"/>
              <w:ind w:firstLine="420" w:firstLineChars="200"/>
              <w:jc w:val="left"/>
              <w:rPr>
                <w:rFonts w:hint="eastAsia" w:ascii="宋体" w:hAnsi="宋体" w:eastAsia="宋体"/>
                <w:kern w:val="0"/>
                <w:lang w:eastAsia="zh-CN"/>
              </w:rPr>
            </w:pPr>
            <w:r>
              <w:rPr>
                <w:rFonts w:ascii="宋体" w:hAnsi="宋体"/>
                <w:kern w:val="0"/>
              </w:rPr>
              <w:t>符合第二章“投标人须知”第1.4.1项规定</w:t>
            </w:r>
            <w:r>
              <w:rPr>
                <w:rFonts w:hint="eastAsia" w:ascii="宋体" w:hAnsi="宋体"/>
                <w:kern w:val="0"/>
                <w:lang w:eastAsia="zh-CN"/>
              </w:rPr>
              <w:t>。</w:t>
            </w:r>
          </w:p>
        </w:tc>
      </w:tr>
      <w:tr w14:paraId="7B8E7E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4214BD28">
            <w:pPr>
              <w:spacing w:line="400" w:lineRule="exact"/>
              <w:jc w:val="center"/>
              <w:rPr>
                <w:rFonts w:ascii="宋体" w:hAnsi="宋体"/>
                <w:kern w:val="0"/>
              </w:rPr>
            </w:pPr>
          </w:p>
        </w:tc>
        <w:tc>
          <w:tcPr>
            <w:tcW w:w="1628" w:type="dxa"/>
            <w:vMerge w:val="continue"/>
            <w:tcBorders>
              <w:right w:val="single" w:color="auto" w:sz="4" w:space="0"/>
            </w:tcBorders>
          </w:tcPr>
          <w:p w14:paraId="71B464EB">
            <w:pPr>
              <w:spacing w:line="400" w:lineRule="exact"/>
              <w:jc w:val="center"/>
              <w:rPr>
                <w:rFonts w:ascii="宋体" w:hAnsi="宋体"/>
                <w:kern w:val="0"/>
              </w:rPr>
            </w:pPr>
          </w:p>
        </w:tc>
        <w:tc>
          <w:tcPr>
            <w:tcW w:w="2304" w:type="dxa"/>
            <w:gridSpan w:val="2"/>
            <w:tcBorders>
              <w:left w:val="single" w:color="auto" w:sz="4" w:space="0"/>
            </w:tcBorders>
          </w:tcPr>
          <w:p w14:paraId="2E64DFC1">
            <w:pPr>
              <w:spacing w:line="400" w:lineRule="exact"/>
              <w:jc w:val="left"/>
              <w:rPr>
                <w:rFonts w:hint="eastAsia" w:ascii="宋体" w:hAnsi="宋体" w:eastAsia="宋体"/>
                <w:kern w:val="0"/>
                <w:lang w:eastAsia="zh-CN"/>
              </w:rPr>
            </w:pPr>
            <w:r>
              <w:rPr>
                <w:rFonts w:hint="eastAsia" w:ascii="宋体" w:hAnsi="宋体"/>
                <w:kern w:val="0"/>
                <w:lang w:eastAsia="zh-CN"/>
              </w:rPr>
              <w:t>独立法人资格</w:t>
            </w:r>
          </w:p>
        </w:tc>
        <w:tc>
          <w:tcPr>
            <w:tcW w:w="4688" w:type="dxa"/>
            <w:gridSpan w:val="3"/>
            <w:vAlign w:val="center"/>
          </w:tcPr>
          <w:p w14:paraId="15BEE36F">
            <w:pPr>
              <w:spacing w:line="400" w:lineRule="exact"/>
              <w:ind w:firstLine="420" w:firstLineChars="200"/>
              <w:jc w:val="left"/>
              <w:rPr>
                <w:rFonts w:hint="eastAsia" w:ascii="宋体" w:hAnsi="宋体" w:eastAsia="宋体"/>
                <w:kern w:val="0"/>
                <w:lang w:eastAsia="zh-CN"/>
              </w:rPr>
            </w:pPr>
            <w:r>
              <w:rPr>
                <w:rFonts w:ascii="宋体" w:hAnsi="宋体"/>
                <w:kern w:val="0"/>
              </w:rPr>
              <w:t>符合第二章“投标人须知”第1.4.1项规定</w:t>
            </w:r>
            <w:r>
              <w:rPr>
                <w:rFonts w:hint="eastAsia" w:ascii="宋体" w:hAnsi="宋体"/>
                <w:kern w:val="0"/>
                <w:lang w:eastAsia="zh-CN"/>
              </w:rPr>
              <w:t>。</w:t>
            </w:r>
          </w:p>
        </w:tc>
      </w:tr>
      <w:tr w14:paraId="7A5A2D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32DE35CD">
            <w:pPr>
              <w:spacing w:line="400" w:lineRule="exact"/>
              <w:jc w:val="center"/>
              <w:rPr>
                <w:rFonts w:ascii="宋体" w:hAnsi="宋体"/>
                <w:kern w:val="0"/>
              </w:rPr>
            </w:pPr>
          </w:p>
        </w:tc>
        <w:tc>
          <w:tcPr>
            <w:tcW w:w="1628" w:type="dxa"/>
            <w:vMerge w:val="continue"/>
            <w:tcBorders>
              <w:right w:val="single" w:color="auto" w:sz="4" w:space="0"/>
            </w:tcBorders>
          </w:tcPr>
          <w:p w14:paraId="40C4BF9B">
            <w:pPr>
              <w:spacing w:line="400" w:lineRule="exact"/>
              <w:jc w:val="center"/>
              <w:rPr>
                <w:rFonts w:ascii="宋体" w:hAnsi="宋体"/>
                <w:kern w:val="0"/>
              </w:rPr>
            </w:pPr>
          </w:p>
        </w:tc>
        <w:tc>
          <w:tcPr>
            <w:tcW w:w="2304" w:type="dxa"/>
            <w:gridSpan w:val="2"/>
            <w:tcBorders>
              <w:left w:val="single" w:color="auto" w:sz="4" w:space="0"/>
            </w:tcBorders>
          </w:tcPr>
          <w:p w14:paraId="76560196">
            <w:pPr>
              <w:spacing w:line="400" w:lineRule="exact"/>
              <w:jc w:val="left"/>
              <w:rPr>
                <w:rFonts w:ascii="宋体" w:hAnsi="宋体"/>
                <w:kern w:val="0"/>
              </w:rPr>
            </w:pPr>
            <w:r>
              <w:rPr>
                <w:rFonts w:hint="eastAsia" w:ascii="宋体" w:hAnsi="宋体"/>
                <w:kern w:val="0"/>
              </w:rPr>
              <w:t>安全生产条件</w:t>
            </w:r>
          </w:p>
        </w:tc>
        <w:tc>
          <w:tcPr>
            <w:tcW w:w="4688" w:type="dxa"/>
            <w:gridSpan w:val="3"/>
            <w:vAlign w:val="center"/>
          </w:tcPr>
          <w:p w14:paraId="7795225C">
            <w:pPr>
              <w:spacing w:line="400" w:lineRule="exact"/>
              <w:ind w:firstLine="420" w:firstLineChars="200"/>
              <w:jc w:val="left"/>
              <w:rPr>
                <w:rFonts w:hint="eastAsia" w:ascii="宋体" w:hAnsi="宋体" w:eastAsia="宋体"/>
                <w:kern w:val="0"/>
                <w:lang w:eastAsia="zh-CN"/>
              </w:rPr>
            </w:pPr>
            <w:r>
              <w:rPr>
                <w:rFonts w:ascii="宋体" w:hAnsi="宋体"/>
                <w:kern w:val="0"/>
              </w:rPr>
              <w:t>符合第二章“投标人须知”第1.4.1项规定</w:t>
            </w:r>
            <w:r>
              <w:rPr>
                <w:rFonts w:hint="eastAsia" w:ascii="宋体" w:hAnsi="宋体"/>
                <w:kern w:val="0"/>
                <w:lang w:eastAsia="zh-CN"/>
              </w:rPr>
              <w:t>。</w:t>
            </w:r>
          </w:p>
        </w:tc>
      </w:tr>
      <w:tr w14:paraId="42C49F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6AABEAA2">
            <w:pPr>
              <w:spacing w:line="400" w:lineRule="exact"/>
              <w:jc w:val="center"/>
              <w:rPr>
                <w:rFonts w:ascii="宋体" w:hAnsi="宋体"/>
                <w:kern w:val="0"/>
              </w:rPr>
            </w:pPr>
          </w:p>
        </w:tc>
        <w:tc>
          <w:tcPr>
            <w:tcW w:w="1628" w:type="dxa"/>
            <w:vMerge w:val="continue"/>
            <w:tcBorders>
              <w:right w:val="single" w:color="auto" w:sz="4" w:space="0"/>
            </w:tcBorders>
          </w:tcPr>
          <w:p w14:paraId="3C6B5DE3">
            <w:pPr>
              <w:spacing w:line="400" w:lineRule="exact"/>
              <w:jc w:val="center"/>
              <w:rPr>
                <w:rFonts w:ascii="宋体" w:hAnsi="宋体"/>
                <w:kern w:val="0"/>
              </w:rPr>
            </w:pPr>
          </w:p>
        </w:tc>
        <w:tc>
          <w:tcPr>
            <w:tcW w:w="2304" w:type="dxa"/>
            <w:gridSpan w:val="2"/>
            <w:tcBorders>
              <w:left w:val="single" w:color="auto" w:sz="4" w:space="0"/>
            </w:tcBorders>
            <w:vAlign w:val="center"/>
          </w:tcPr>
          <w:p w14:paraId="6B920484">
            <w:pPr>
              <w:spacing w:line="400" w:lineRule="exact"/>
              <w:jc w:val="left"/>
              <w:rPr>
                <w:rFonts w:ascii="宋体" w:hAnsi="宋体"/>
                <w:kern w:val="0"/>
              </w:rPr>
            </w:pPr>
            <w:r>
              <w:rPr>
                <w:rFonts w:hint="eastAsia" w:ascii="宋体" w:hAnsi="宋体" w:cs="宋体"/>
                <w:kern w:val="0"/>
                <w:lang w:eastAsia="zh-CN"/>
              </w:rPr>
              <w:t>☑</w:t>
            </w:r>
            <w:r>
              <w:rPr>
                <w:rFonts w:ascii="宋体" w:hAnsi="宋体"/>
                <w:kern w:val="0"/>
              </w:rPr>
              <w:t>财务</w:t>
            </w:r>
            <w:r>
              <w:rPr>
                <w:rFonts w:hint="eastAsia" w:ascii="宋体" w:hAnsi="宋体"/>
                <w:kern w:val="0"/>
              </w:rPr>
              <w:t>要求</w:t>
            </w:r>
          </w:p>
        </w:tc>
        <w:tc>
          <w:tcPr>
            <w:tcW w:w="4688" w:type="dxa"/>
            <w:gridSpan w:val="3"/>
            <w:vAlign w:val="center"/>
          </w:tcPr>
          <w:p w14:paraId="5D30BFA2">
            <w:pPr>
              <w:spacing w:line="400" w:lineRule="exact"/>
              <w:ind w:firstLine="420" w:firstLineChars="200"/>
              <w:jc w:val="left"/>
              <w:rPr>
                <w:rFonts w:hint="eastAsia" w:ascii="宋体" w:hAnsi="宋体" w:eastAsia="宋体"/>
                <w:kern w:val="0"/>
                <w:lang w:eastAsia="zh-CN"/>
              </w:rPr>
            </w:pPr>
            <w:r>
              <w:rPr>
                <w:rFonts w:ascii="宋体" w:hAnsi="宋体"/>
                <w:kern w:val="0"/>
              </w:rPr>
              <w:t>符合第二章“投标人须知”第1.4.1项规定</w:t>
            </w:r>
            <w:r>
              <w:rPr>
                <w:rFonts w:hint="eastAsia" w:ascii="宋体" w:hAnsi="宋体"/>
                <w:kern w:val="0"/>
                <w:lang w:eastAsia="zh-CN"/>
              </w:rPr>
              <w:t>。</w:t>
            </w:r>
          </w:p>
        </w:tc>
      </w:tr>
      <w:tr w14:paraId="019455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132BDC61">
            <w:pPr>
              <w:spacing w:line="400" w:lineRule="exact"/>
              <w:jc w:val="center"/>
              <w:rPr>
                <w:rFonts w:ascii="宋体" w:hAnsi="宋体"/>
                <w:kern w:val="0"/>
              </w:rPr>
            </w:pPr>
          </w:p>
        </w:tc>
        <w:tc>
          <w:tcPr>
            <w:tcW w:w="1628" w:type="dxa"/>
            <w:vMerge w:val="continue"/>
            <w:tcBorders>
              <w:right w:val="single" w:color="auto" w:sz="4" w:space="0"/>
            </w:tcBorders>
          </w:tcPr>
          <w:p w14:paraId="656A2BAF">
            <w:pPr>
              <w:spacing w:line="400" w:lineRule="exact"/>
              <w:jc w:val="center"/>
              <w:rPr>
                <w:rFonts w:ascii="宋体" w:hAnsi="宋体"/>
                <w:kern w:val="0"/>
              </w:rPr>
            </w:pPr>
          </w:p>
        </w:tc>
        <w:tc>
          <w:tcPr>
            <w:tcW w:w="2304" w:type="dxa"/>
            <w:gridSpan w:val="2"/>
            <w:tcBorders>
              <w:left w:val="single" w:color="auto" w:sz="4" w:space="0"/>
            </w:tcBorders>
          </w:tcPr>
          <w:p w14:paraId="63C6074A">
            <w:pPr>
              <w:spacing w:line="400" w:lineRule="exact"/>
              <w:jc w:val="left"/>
              <w:rPr>
                <w:rFonts w:ascii="宋体" w:hAnsi="宋体"/>
                <w:kern w:val="0"/>
              </w:rPr>
            </w:pPr>
            <w:r>
              <w:rPr>
                <w:rFonts w:hint="eastAsia" w:ascii="宋体" w:hAnsi="宋体" w:cs="宋体"/>
                <w:kern w:val="0"/>
                <w:lang w:eastAsia="zh-CN"/>
              </w:rPr>
              <w:t>☑</w:t>
            </w:r>
            <w:r>
              <w:rPr>
                <w:rFonts w:hint="eastAsia" w:ascii="宋体" w:hAnsi="宋体"/>
                <w:kern w:val="0"/>
              </w:rPr>
              <w:t>业绩要求</w:t>
            </w:r>
          </w:p>
        </w:tc>
        <w:tc>
          <w:tcPr>
            <w:tcW w:w="4688" w:type="dxa"/>
            <w:gridSpan w:val="3"/>
            <w:vAlign w:val="center"/>
          </w:tcPr>
          <w:p w14:paraId="2BE0F84F">
            <w:pPr>
              <w:spacing w:line="400" w:lineRule="exact"/>
              <w:ind w:firstLine="420" w:firstLineChars="200"/>
              <w:jc w:val="left"/>
              <w:rPr>
                <w:rFonts w:hint="eastAsia" w:ascii="宋体" w:hAnsi="宋体" w:eastAsia="宋体"/>
                <w:kern w:val="0"/>
                <w:lang w:eastAsia="zh-CN"/>
              </w:rPr>
            </w:pPr>
            <w:r>
              <w:rPr>
                <w:rFonts w:ascii="宋体" w:hAnsi="宋体"/>
                <w:kern w:val="0"/>
              </w:rPr>
              <w:t>符合第二章“投标人须知”第1.4.1项规定</w:t>
            </w:r>
            <w:r>
              <w:rPr>
                <w:rFonts w:hint="eastAsia" w:ascii="宋体" w:hAnsi="宋体"/>
                <w:kern w:val="0"/>
                <w:lang w:eastAsia="zh-CN"/>
              </w:rPr>
              <w:t>。</w:t>
            </w:r>
          </w:p>
        </w:tc>
      </w:tr>
      <w:tr w14:paraId="0D9A6C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1E393BAF">
            <w:pPr>
              <w:spacing w:line="400" w:lineRule="exact"/>
              <w:jc w:val="center"/>
              <w:rPr>
                <w:rFonts w:ascii="宋体" w:hAnsi="宋体"/>
                <w:kern w:val="0"/>
              </w:rPr>
            </w:pPr>
          </w:p>
        </w:tc>
        <w:tc>
          <w:tcPr>
            <w:tcW w:w="1628" w:type="dxa"/>
            <w:vMerge w:val="continue"/>
            <w:tcBorders>
              <w:right w:val="single" w:color="auto" w:sz="4" w:space="0"/>
            </w:tcBorders>
          </w:tcPr>
          <w:p w14:paraId="6E1B38DF">
            <w:pPr>
              <w:spacing w:line="400" w:lineRule="exact"/>
              <w:jc w:val="center"/>
              <w:rPr>
                <w:rFonts w:ascii="宋体" w:hAnsi="宋体"/>
                <w:kern w:val="0"/>
              </w:rPr>
            </w:pPr>
          </w:p>
        </w:tc>
        <w:tc>
          <w:tcPr>
            <w:tcW w:w="2304" w:type="dxa"/>
            <w:gridSpan w:val="2"/>
            <w:tcBorders>
              <w:left w:val="single" w:color="auto" w:sz="4" w:space="0"/>
            </w:tcBorders>
          </w:tcPr>
          <w:p w14:paraId="4A30D8D2">
            <w:pPr>
              <w:spacing w:line="400" w:lineRule="exact"/>
              <w:jc w:val="left"/>
              <w:rPr>
                <w:rFonts w:ascii="宋体" w:hAnsi="宋体"/>
                <w:kern w:val="0"/>
              </w:rPr>
            </w:pPr>
            <w:r>
              <w:rPr>
                <w:rFonts w:ascii="宋体" w:hAnsi="宋体"/>
                <w:szCs w:val="21"/>
              </w:rPr>
              <w:t>投标截止日投标资格情况</w:t>
            </w:r>
          </w:p>
        </w:tc>
        <w:tc>
          <w:tcPr>
            <w:tcW w:w="4688" w:type="dxa"/>
            <w:gridSpan w:val="3"/>
            <w:vAlign w:val="center"/>
          </w:tcPr>
          <w:p w14:paraId="4C50D5D7">
            <w:pPr>
              <w:spacing w:line="400" w:lineRule="exact"/>
              <w:ind w:firstLine="420" w:firstLineChars="200"/>
              <w:jc w:val="left"/>
              <w:rPr>
                <w:rFonts w:hint="eastAsia" w:ascii="宋体" w:hAnsi="宋体" w:eastAsia="宋体"/>
                <w:kern w:val="0"/>
                <w:lang w:eastAsia="zh-CN"/>
              </w:rPr>
            </w:pPr>
            <w:r>
              <w:rPr>
                <w:rFonts w:ascii="宋体" w:hAnsi="宋体"/>
                <w:kern w:val="0"/>
              </w:rPr>
              <w:t>符合第二章“投标人须知”第1.4.1项规定</w:t>
            </w:r>
            <w:r>
              <w:rPr>
                <w:rFonts w:hint="eastAsia" w:ascii="宋体" w:hAnsi="宋体"/>
                <w:kern w:val="0"/>
                <w:lang w:eastAsia="zh-CN"/>
              </w:rPr>
              <w:t>。</w:t>
            </w:r>
          </w:p>
        </w:tc>
      </w:tr>
      <w:tr w14:paraId="1F806E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7423D587">
            <w:pPr>
              <w:spacing w:line="400" w:lineRule="exact"/>
              <w:jc w:val="center"/>
              <w:rPr>
                <w:rFonts w:ascii="宋体" w:hAnsi="宋体"/>
                <w:kern w:val="0"/>
              </w:rPr>
            </w:pPr>
          </w:p>
        </w:tc>
        <w:tc>
          <w:tcPr>
            <w:tcW w:w="1628" w:type="dxa"/>
            <w:vMerge w:val="continue"/>
            <w:tcBorders>
              <w:right w:val="single" w:color="auto" w:sz="4" w:space="0"/>
            </w:tcBorders>
          </w:tcPr>
          <w:p w14:paraId="2F7B58B7">
            <w:pPr>
              <w:spacing w:line="400" w:lineRule="exact"/>
              <w:jc w:val="center"/>
              <w:rPr>
                <w:rFonts w:ascii="宋体" w:hAnsi="宋体"/>
                <w:kern w:val="0"/>
              </w:rPr>
            </w:pPr>
          </w:p>
        </w:tc>
        <w:tc>
          <w:tcPr>
            <w:tcW w:w="2304" w:type="dxa"/>
            <w:gridSpan w:val="2"/>
            <w:tcBorders>
              <w:left w:val="single" w:color="auto" w:sz="4" w:space="0"/>
            </w:tcBorders>
          </w:tcPr>
          <w:p w14:paraId="5D802294">
            <w:pPr>
              <w:spacing w:line="400" w:lineRule="exact"/>
              <w:jc w:val="left"/>
              <w:rPr>
                <w:rFonts w:ascii="宋体" w:hAnsi="宋体"/>
                <w:kern w:val="0"/>
              </w:rPr>
            </w:pPr>
            <w:r>
              <w:rPr>
                <w:rFonts w:ascii="宋体" w:hAnsi="宋体"/>
                <w:kern w:val="0"/>
              </w:rPr>
              <w:t>项目经理资格</w:t>
            </w:r>
            <w:r>
              <w:rPr>
                <w:rFonts w:hint="eastAsia" w:ascii="宋体" w:hAnsi="宋体"/>
                <w:kern w:val="0"/>
              </w:rPr>
              <w:t>要求</w:t>
            </w:r>
          </w:p>
        </w:tc>
        <w:tc>
          <w:tcPr>
            <w:tcW w:w="4688" w:type="dxa"/>
            <w:gridSpan w:val="3"/>
            <w:vAlign w:val="center"/>
          </w:tcPr>
          <w:p w14:paraId="3016A543">
            <w:pPr>
              <w:spacing w:line="400" w:lineRule="exact"/>
              <w:ind w:firstLine="420" w:firstLineChars="200"/>
              <w:jc w:val="left"/>
              <w:rPr>
                <w:rFonts w:hint="eastAsia" w:ascii="宋体" w:hAnsi="宋体" w:eastAsia="宋体"/>
                <w:kern w:val="0"/>
                <w:lang w:eastAsia="zh-CN"/>
              </w:rPr>
            </w:pPr>
            <w:r>
              <w:rPr>
                <w:rFonts w:ascii="宋体" w:hAnsi="宋体"/>
                <w:kern w:val="0"/>
              </w:rPr>
              <w:t>符合第二章“投标人须知”第1.4.1项规定</w:t>
            </w:r>
            <w:r>
              <w:rPr>
                <w:rFonts w:hint="eastAsia" w:ascii="宋体" w:hAnsi="宋体"/>
                <w:kern w:val="0"/>
                <w:lang w:eastAsia="zh-CN"/>
              </w:rPr>
              <w:t>。</w:t>
            </w:r>
          </w:p>
        </w:tc>
      </w:tr>
      <w:tr w14:paraId="0A9EE8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0AA77B94">
            <w:pPr>
              <w:spacing w:line="400" w:lineRule="exact"/>
              <w:jc w:val="center"/>
              <w:rPr>
                <w:rFonts w:ascii="宋体" w:hAnsi="宋体"/>
                <w:kern w:val="0"/>
              </w:rPr>
            </w:pPr>
          </w:p>
        </w:tc>
        <w:tc>
          <w:tcPr>
            <w:tcW w:w="1628" w:type="dxa"/>
            <w:vMerge w:val="continue"/>
            <w:tcBorders>
              <w:right w:val="single" w:color="auto" w:sz="4" w:space="0"/>
            </w:tcBorders>
          </w:tcPr>
          <w:p w14:paraId="1CC75989">
            <w:pPr>
              <w:spacing w:line="400" w:lineRule="exact"/>
              <w:jc w:val="center"/>
              <w:rPr>
                <w:rFonts w:ascii="宋体" w:hAnsi="宋体"/>
                <w:kern w:val="0"/>
              </w:rPr>
            </w:pPr>
          </w:p>
        </w:tc>
        <w:tc>
          <w:tcPr>
            <w:tcW w:w="2304" w:type="dxa"/>
            <w:gridSpan w:val="2"/>
            <w:tcBorders>
              <w:left w:val="single" w:color="auto" w:sz="4" w:space="0"/>
            </w:tcBorders>
          </w:tcPr>
          <w:p w14:paraId="4FE92D8C">
            <w:pPr>
              <w:spacing w:line="400" w:lineRule="exact"/>
              <w:jc w:val="left"/>
              <w:rPr>
                <w:rFonts w:ascii="宋体" w:hAnsi="宋体"/>
                <w:kern w:val="0"/>
              </w:rPr>
            </w:pPr>
            <w:r>
              <w:rPr>
                <w:rFonts w:ascii="宋体" w:hAnsi="宋体"/>
                <w:kern w:val="0"/>
              </w:rPr>
              <w:t>其他要求</w:t>
            </w:r>
          </w:p>
        </w:tc>
        <w:tc>
          <w:tcPr>
            <w:tcW w:w="4688" w:type="dxa"/>
            <w:gridSpan w:val="3"/>
            <w:vAlign w:val="center"/>
          </w:tcPr>
          <w:p w14:paraId="24C8A8E5">
            <w:pPr>
              <w:spacing w:line="400" w:lineRule="exact"/>
              <w:ind w:firstLine="420" w:firstLineChars="200"/>
              <w:jc w:val="left"/>
              <w:rPr>
                <w:rFonts w:hint="eastAsia" w:ascii="宋体" w:hAnsi="宋体" w:eastAsia="宋体"/>
                <w:kern w:val="0"/>
                <w:lang w:eastAsia="zh-CN"/>
              </w:rPr>
            </w:pPr>
            <w:r>
              <w:rPr>
                <w:rFonts w:ascii="宋体" w:hAnsi="宋体"/>
                <w:kern w:val="0"/>
              </w:rPr>
              <w:t>符合第二章“投标人须知”第1.4.1项规定</w:t>
            </w:r>
            <w:r>
              <w:rPr>
                <w:rFonts w:hint="eastAsia" w:ascii="宋体" w:hAnsi="宋体"/>
                <w:kern w:val="0"/>
                <w:lang w:eastAsia="zh-CN"/>
              </w:rPr>
              <w:t>。</w:t>
            </w:r>
          </w:p>
        </w:tc>
      </w:tr>
      <w:tr w14:paraId="43A85E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14:paraId="022460D4">
            <w:pPr>
              <w:spacing w:line="400" w:lineRule="exact"/>
              <w:jc w:val="center"/>
              <w:rPr>
                <w:rFonts w:ascii="宋体" w:hAnsi="宋体"/>
                <w:kern w:val="0"/>
              </w:rPr>
            </w:pPr>
            <w:r>
              <w:rPr>
                <w:rFonts w:ascii="宋体" w:hAnsi="宋体"/>
                <w:kern w:val="0"/>
              </w:rPr>
              <w:t>2.1.</w:t>
            </w:r>
            <w:r>
              <w:rPr>
                <w:rFonts w:hint="eastAsia" w:ascii="宋体" w:hAnsi="宋体"/>
                <w:kern w:val="0"/>
              </w:rPr>
              <w:t>2</w:t>
            </w:r>
          </w:p>
        </w:tc>
        <w:tc>
          <w:tcPr>
            <w:tcW w:w="1628" w:type="dxa"/>
            <w:vMerge w:val="restart"/>
            <w:tcBorders>
              <w:right w:val="single" w:color="auto" w:sz="4" w:space="0"/>
            </w:tcBorders>
            <w:vAlign w:val="center"/>
          </w:tcPr>
          <w:p w14:paraId="7DC355DF">
            <w:pPr>
              <w:spacing w:line="400" w:lineRule="exact"/>
              <w:jc w:val="center"/>
              <w:rPr>
                <w:rFonts w:ascii="宋体" w:hAnsi="宋体"/>
                <w:kern w:val="0"/>
              </w:rPr>
            </w:pPr>
            <w:r>
              <w:rPr>
                <w:rFonts w:ascii="宋体" w:hAnsi="宋体"/>
                <w:kern w:val="0"/>
              </w:rPr>
              <w:t>形式评审标准</w:t>
            </w:r>
          </w:p>
        </w:tc>
        <w:tc>
          <w:tcPr>
            <w:tcW w:w="2304" w:type="dxa"/>
            <w:gridSpan w:val="2"/>
            <w:tcBorders>
              <w:left w:val="single" w:color="auto" w:sz="4" w:space="0"/>
            </w:tcBorders>
            <w:vAlign w:val="center"/>
          </w:tcPr>
          <w:p w14:paraId="56EDF5D3">
            <w:pPr>
              <w:spacing w:line="400" w:lineRule="exact"/>
              <w:jc w:val="left"/>
              <w:rPr>
                <w:rFonts w:ascii="宋体" w:hAnsi="宋体"/>
                <w:kern w:val="0"/>
              </w:rPr>
            </w:pPr>
            <w:r>
              <w:rPr>
                <w:rFonts w:ascii="宋体" w:hAnsi="宋体"/>
                <w:kern w:val="0"/>
              </w:rPr>
              <w:t>投标人名称</w:t>
            </w:r>
          </w:p>
        </w:tc>
        <w:tc>
          <w:tcPr>
            <w:tcW w:w="4688" w:type="dxa"/>
            <w:gridSpan w:val="3"/>
            <w:vAlign w:val="center"/>
          </w:tcPr>
          <w:p w14:paraId="7DE2B767">
            <w:pPr>
              <w:spacing w:line="400" w:lineRule="exact"/>
              <w:ind w:firstLine="420" w:firstLineChars="200"/>
              <w:rPr>
                <w:rFonts w:ascii="宋体" w:hAnsi="宋体"/>
                <w:kern w:val="0"/>
              </w:rPr>
            </w:pPr>
            <w:r>
              <w:rPr>
                <w:rFonts w:ascii="宋体" w:hAnsi="宋体"/>
                <w:kern w:val="0"/>
              </w:rPr>
              <w:t>与营业执照、资质证书、安全生产许可证一致。</w:t>
            </w:r>
          </w:p>
        </w:tc>
      </w:tr>
      <w:tr w14:paraId="71E6C2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17B76F01">
            <w:pPr>
              <w:spacing w:line="400" w:lineRule="exact"/>
              <w:jc w:val="center"/>
              <w:rPr>
                <w:rFonts w:ascii="宋体" w:hAnsi="宋体"/>
                <w:kern w:val="0"/>
              </w:rPr>
            </w:pPr>
          </w:p>
        </w:tc>
        <w:tc>
          <w:tcPr>
            <w:tcW w:w="1628" w:type="dxa"/>
            <w:vMerge w:val="continue"/>
            <w:tcBorders>
              <w:right w:val="single" w:color="auto" w:sz="4" w:space="0"/>
            </w:tcBorders>
          </w:tcPr>
          <w:p w14:paraId="620D2913">
            <w:pPr>
              <w:spacing w:line="400" w:lineRule="exact"/>
              <w:jc w:val="center"/>
              <w:rPr>
                <w:rFonts w:ascii="宋体" w:hAnsi="宋体"/>
                <w:kern w:val="0"/>
              </w:rPr>
            </w:pPr>
          </w:p>
        </w:tc>
        <w:tc>
          <w:tcPr>
            <w:tcW w:w="2304" w:type="dxa"/>
            <w:gridSpan w:val="2"/>
            <w:tcBorders>
              <w:left w:val="single" w:color="auto" w:sz="4" w:space="0"/>
            </w:tcBorders>
            <w:vAlign w:val="center"/>
          </w:tcPr>
          <w:p w14:paraId="6E36BDD7">
            <w:pPr>
              <w:spacing w:line="400" w:lineRule="exact"/>
              <w:jc w:val="left"/>
              <w:rPr>
                <w:rFonts w:ascii="宋体" w:hAnsi="宋体"/>
                <w:kern w:val="0"/>
              </w:rPr>
            </w:pPr>
            <w:r>
              <w:rPr>
                <w:rFonts w:ascii="宋体" w:hAnsi="宋体"/>
                <w:kern w:val="0"/>
              </w:rPr>
              <w:t>投标文件格式</w:t>
            </w:r>
          </w:p>
        </w:tc>
        <w:tc>
          <w:tcPr>
            <w:tcW w:w="4688" w:type="dxa"/>
            <w:gridSpan w:val="3"/>
            <w:vAlign w:val="center"/>
          </w:tcPr>
          <w:p w14:paraId="6ACD4BBF">
            <w:pPr>
              <w:spacing w:line="400" w:lineRule="exact"/>
              <w:ind w:firstLine="420" w:firstLineChars="200"/>
              <w:rPr>
                <w:rFonts w:ascii="宋体" w:hAnsi="宋体"/>
                <w:kern w:val="0"/>
              </w:rPr>
            </w:pPr>
            <w:r>
              <w:rPr>
                <w:rFonts w:ascii="宋体" w:hAnsi="宋体"/>
                <w:kern w:val="0"/>
              </w:rPr>
              <w:t>符合第</w:t>
            </w:r>
            <w:r>
              <w:rPr>
                <w:rFonts w:hint="eastAsia" w:ascii="宋体" w:hAnsi="宋体"/>
                <w:kern w:val="0"/>
              </w:rPr>
              <w:t>二</w:t>
            </w:r>
            <w:r>
              <w:rPr>
                <w:rFonts w:ascii="宋体" w:hAnsi="宋体"/>
                <w:kern w:val="0"/>
              </w:rPr>
              <w:t>章“投标</w:t>
            </w:r>
            <w:r>
              <w:rPr>
                <w:rFonts w:hint="eastAsia" w:ascii="宋体" w:hAnsi="宋体"/>
                <w:kern w:val="0"/>
              </w:rPr>
              <w:t>人须知</w:t>
            </w:r>
            <w:r>
              <w:rPr>
                <w:rFonts w:ascii="宋体" w:hAnsi="宋体"/>
                <w:kern w:val="0"/>
              </w:rPr>
              <w:t>”</w:t>
            </w:r>
            <w:r>
              <w:rPr>
                <w:rFonts w:hint="eastAsia" w:ascii="宋体" w:hAnsi="宋体"/>
                <w:kern w:val="0"/>
              </w:rPr>
              <w:t>第3.7款</w:t>
            </w:r>
            <w:r>
              <w:rPr>
                <w:rFonts w:ascii="宋体" w:hAnsi="宋体"/>
                <w:kern w:val="0"/>
              </w:rPr>
              <w:t>的要求</w:t>
            </w:r>
            <w:r>
              <w:rPr>
                <w:rFonts w:hint="eastAsia" w:ascii="宋体" w:hAnsi="宋体"/>
                <w:kern w:val="0"/>
              </w:rPr>
              <w:t>（不含投标函部分）</w:t>
            </w:r>
            <w:r>
              <w:rPr>
                <w:rFonts w:ascii="宋体" w:hAnsi="宋体"/>
                <w:kern w:val="0"/>
              </w:rPr>
              <w:t>。</w:t>
            </w:r>
          </w:p>
          <w:p w14:paraId="5243D6C7">
            <w:pPr>
              <w:spacing w:line="400" w:lineRule="exact"/>
              <w:ind w:firstLine="420" w:firstLineChars="200"/>
              <w:rPr>
                <w:rFonts w:hint="eastAsia" w:ascii="宋体" w:hAnsi="宋体" w:eastAsia="宋体"/>
                <w:kern w:val="0"/>
                <w:lang w:eastAsia="zh-CN"/>
              </w:rPr>
            </w:pPr>
            <w:r>
              <w:rPr>
                <w:rFonts w:hint="eastAsia" w:ascii="宋体" w:hAnsi="宋体" w:cs="宋体"/>
                <w:color w:val="auto"/>
                <w:szCs w:val="21"/>
                <w:highlight w:val="none"/>
              </w:rPr>
              <w:t>编制投标文件时</w:t>
            </w:r>
            <w:r>
              <w:rPr>
                <w:rFonts w:hint="eastAsia" w:ascii="宋体" w:hAnsi="宋体" w:cs="宋体"/>
                <w:color w:val="auto"/>
                <w:szCs w:val="21"/>
                <w:highlight w:val="none"/>
                <w:lang w:val="en-US" w:eastAsia="zh-CN"/>
              </w:rPr>
              <w:t>不得</w:t>
            </w:r>
            <w:r>
              <w:rPr>
                <w:rFonts w:hint="eastAsia" w:ascii="宋体" w:hAnsi="宋体" w:cs="宋体"/>
                <w:color w:val="auto"/>
                <w:szCs w:val="21"/>
                <w:highlight w:val="none"/>
              </w:rPr>
              <w:t>对第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章“投标文件格式”的相应要素作实质性修改</w:t>
            </w:r>
            <w:r>
              <w:rPr>
                <w:rFonts w:hint="eastAsia" w:ascii="宋体" w:hAnsi="宋体" w:cs="宋体"/>
                <w:color w:val="auto"/>
                <w:szCs w:val="21"/>
                <w:highlight w:val="none"/>
                <w:lang w:eastAsia="zh-CN"/>
              </w:rPr>
              <w:t>。</w:t>
            </w:r>
          </w:p>
        </w:tc>
      </w:tr>
      <w:tr w14:paraId="567997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6D722F6D">
            <w:pPr>
              <w:spacing w:line="400" w:lineRule="exact"/>
              <w:jc w:val="center"/>
              <w:rPr>
                <w:rFonts w:ascii="宋体" w:hAnsi="宋体"/>
                <w:kern w:val="0"/>
              </w:rPr>
            </w:pPr>
          </w:p>
        </w:tc>
        <w:tc>
          <w:tcPr>
            <w:tcW w:w="1628" w:type="dxa"/>
            <w:vMerge w:val="continue"/>
            <w:tcBorders>
              <w:right w:val="single" w:color="auto" w:sz="4" w:space="0"/>
            </w:tcBorders>
          </w:tcPr>
          <w:p w14:paraId="5E3015A2">
            <w:pPr>
              <w:spacing w:line="400" w:lineRule="exact"/>
              <w:jc w:val="center"/>
              <w:rPr>
                <w:rFonts w:ascii="宋体" w:hAnsi="宋体"/>
                <w:kern w:val="0"/>
              </w:rPr>
            </w:pPr>
          </w:p>
        </w:tc>
        <w:tc>
          <w:tcPr>
            <w:tcW w:w="2304" w:type="dxa"/>
            <w:gridSpan w:val="2"/>
            <w:tcBorders>
              <w:left w:val="single" w:color="auto" w:sz="4" w:space="0"/>
            </w:tcBorders>
            <w:vAlign w:val="center"/>
          </w:tcPr>
          <w:p w14:paraId="62C877BB">
            <w:pPr>
              <w:spacing w:line="400" w:lineRule="exact"/>
              <w:jc w:val="left"/>
              <w:rPr>
                <w:rFonts w:ascii="宋体" w:hAnsi="宋体"/>
                <w:kern w:val="0"/>
              </w:rPr>
            </w:pPr>
            <w:r>
              <w:rPr>
                <w:rFonts w:ascii="宋体" w:hAnsi="宋体"/>
                <w:kern w:val="0"/>
              </w:rPr>
              <w:t>投标文件的签署</w:t>
            </w:r>
          </w:p>
        </w:tc>
        <w:tc>
          <w:tcPr>
            <w:tcW w:w="4688" w:type="dxa"/>
            <w:gridSpan w:val="3"/>
            <w:vAlign w:val="center"/>
          </w:tcPr>
          <w:p w14:paraId="66435614">
            <w:pPr>
              <w:spacing w:line="400" w:lineRule="exact"/>
              <w:ind w:firstLine="420" w:firstLineChars="200"/>
              <w:rPr>
                <w:rFonts w:ascii="宋体" w:hAnsi="宋体"/>
                <w:kern w:val="0"/>
              </w:rPr>
            </w:pPr>
            <w:r>
              <w:rPr>
                <w:rFonts w:hint="eastAsia" w:ascii="宋体" w:hAnsi="宋体"/>
                <w:kern w:val="0"/>
              </w:rPr>
              <w:t xml:space="preserve">第八章 </w:t>
            </w:r>
            <w:r>
              <w:rPr>
                <w:rFonts w:ascii="宋体" w:hAnsi="宋体"/>
                <w:kern w:val="0"/>
              </w:rPr>
              <w:t>投标文件</w:t>
            </w:r>
            <w:r>
              <w:rPr>
                <w:rFonts w:hint="eastAsia" w:ascii="宋体" w:hAnsi="宋体"/>
                <w:kern w:val="0"/>
              </w:rPr>
              <w:t>格式（不含投标函部分）要求</w:t>
            </w:r>
            <w:r>
              <w:rPr>
                <w:rFonts w:ascii="宋体" w:hAnsi="宋体"/>
                <w:kern w:val="0"/>
              </w:rPr>
              <w:t>法定代表人</w:t>
            </w:r>
            <w:r>
              <w:rPr>
                <w:rFonts w:hint="eastAsia" w:ascii="宋体" w:hAnsi="宋体"/>
                <w:kern w:val="0"/>
                <w:lang w:eastAsia="zh-CN"/>
              </w:rPr>
              <w:t>（</w:t>
            </w:r>
            <w:r>
              <w:rPr>
                <w:rFonts w:ascii="宋体" w:hAnsi="宋体"/>
                <w:kern w:val="0"/>
              </w:rPr>
              <w:t>或其委托代理人</w:t>
            </w:r>
            <w:r>
              <w:rPr>
                <w:rFonts w:hint="eastAsia" w:ascii="宋体" w:hAnsi="宋体"/>
                <w:kern w:val="0"/>
                <w:lang w:eastAsia="zh-CN"/>
              </w:rPr>
              <w:t>）</w:t>
            </w:r>
            <w:r>
              <w:rPr>
                <w:rFonts w:hint="eastAsia" w:ascii="宋体" w:hAnsi="宋体"/>
                <w:kern w:val="0"/>
              </w:rPr>
              <w:t>签名</w:t>
            </w:r>
            <w:r>
              <w:rPr>
                <w:rFonts w:ascii="宋体" w:hAnsi="宋体"/>
                <w:kern w:val="0"/>
              </w:rPr>
              <w:t>（或盖章）</w:t>
            </w:r>
            <w:r>
              <w:rPr>
                <w:rFonts w:hint="eastAsia" w:ascii="宋体" w:hAnsi="宋体"/>
                <w:kern w:val="0"/>
              </w:rPr>
              <w:t>的须</w:t>
            </w:r>
            <w:r>
              <w:rPr>
                <w:rFonts w:ascii="宋体" w:hAnsi="宋体"/>
                <w:kern w:val="0"/>
              </w:rPr>
              <w:t>齐全</w:t>
            </w:r>
            <w:r>
              <w:rPr>
                <w:rFonts w:hint="eastAsia" w:asciiTheme="minorEastAsia" w:hAnsiTheme="minorEastAsia" w:eastAsiaTheme="minorEastAsia" w:cstheme="minorEastAsia"/>
                <w:color w:val="auto"/>
                <w:kern w:val="0"/>
                <w:highlight w:val="none"/>
                <w:lang w:eastAsia="zh-CN"/>
              </w:rPr>
              <w:t>，</w:t>
            </w:r>
            <w:r>
              <w:rPr>
                <w:rFonts w:hint="eastAsia" w:asciiTheme="minorEastAsia" w:hAnsiTheme="minorEastAsia" w:eastAsiaTheme="minorEastAsia" w:cstheme="minorEastAsia"/>
                <w:color w:val="auto"/>
                <w:szCs w:val="21"/>
                <w:highlight w:val="none"/>
                <w:lang w:val="en-US" w:eastAsia="zh-CN"/>
              </w:rPr>
              <w:t>要求签名的，</w:t>
            </w:r>
            <w:r>
              <w:rPr>
                <w:rFonts w:hint="eastAsia" w:asciiTheme="minorEastAsia" w:hAnsiTheme="minorEastAsia" w:eastAsiaTheme="minorEastAsia" w:cstheme="minorEastAsia"/>
                <w:color w:val="auto"/>
                <w:kern w:val="0"/>
                <w:highlight w:val="none"/>
              </w:rPr>
              <w:t>签名采用手写签名或签章或加盖CA数字证书均可</w:t>
            </w:r>
            <w:r>
              <w:rPr>
                <w:rFonts w:ascii="宋体" w:hAnsi="宋体"/>
                <w:kern w:val="0"/>
              </w:rPr>
              <w:t>。</w:t>
            </w:r>
          </w:p>
          <w:p w14:paraId="66C3A215">
            <w:pPr>
              <w:autoSpaceDE w:val="0"/>
              <w:autoSpaceDN w:val="0"/>
              <w:adjustRightInd w:val="0"/>
              <w:snapToGrid w:val="0"/>
              <w:spacing w:line="400" w:lineRule="exact"/>
              <w:ind w:firstLine="420" w:firstLineChars="200"/>
              <w:rPr>
                <w:rFonts w:ascii="宋体" w:hAnsi="宋体"/>
                <w:kern w:val="0"/>
              </w:rPr>
            </w:pPr>
            <w:r>
              <w:rPr>
                <w:rFonts w:hint="eastAsia" w:ascii="宋体" w:hAnsi="宋体"/>
                <w:snapToGrid w:val="0"/>
                <w:kern w:val="0"/>
                <w:szCs w:val="21"/>
              </w:rPr>
              <w:t>若投标单位为联合体，则</w:t>
            </w:r>
            <w:r>
              <w:rPr>
                <w:rFonts w:hint="eastAsia" w:ascii="宋体" w:hAnsi="宋体"/>
                <w:lang w:val="en-US" w:eastAsia="zh-CN"/>
              </w:rPr>
              <w:t>共同投标协议</w:t>
            </w:r>
            <w:r>
              <w:rPr>
                <w:rFonts w:hint="eastAsia" w:ascii="宋体" w:hAnsi="宋体"/>
                <w:snapToGrid w:val="0"/>
                <w:kern w:val="0"/>
                <w:szCs w:val="21"/>
              </w:rPr>
              <w:t>各联合体成员单位签名（或盖章）须齐全，</w:t>
            </w:r>
            <w:r>
              <w:rPr>
                <w:rFonts w:hint="eastAsia" w:ascii="宋体" w:hAnsi="宋体"/>
                <w:lang w:val="en-US" w:eastAsia="zh-CN"/>
              </w:rPr>
              <w:t>共同投标协议</w:t>
            </w:r>
            <w:r>
              <w:rPr>
                <w:rFonts w:hint="eastAsia" w:ascii="宋体" w:hAnsi="宋体"/>
                <w:snapToGrid w:val="0"/>
                <w:kern w:val="0"/>
                <w:szCs w:val="21"/>
              </w:rPr>
              <w:t>以外的</w:t>
            </w:r>
            <w:r>
              <w:rPr>
                <w:rFonts w:ascii="宋体" w:hAnsi="宋体"/>
                <w:kern w:val="0"/>
              </w:rPr>
              <w:t>投标文件</w:t>
            </w:r>
            <w:r>
              <w:rPr>
                <w:rFonts w:hint="eastAsia" w:ascii="宋体" w:hAnsi="宋体"/>
                <w:kern w:val="0"/>
              </w:rPr>
              <w:t>格式中，要求法定代表人</w:t>
            </w:r>
            <w:r>
              <w:rPr>
                <w:rFonts w:hint="eastAsia" w:ascii="宋体" w:hAnsi="宋体"/>
                <w:kern w:val="0"/>
                <w:lang w:eastAsia="zh-CN"/>
              </w:rPr>
              <w:t>（</w:t>
            </w:r>
            <w:r>
              <w:rPr>
                <w:rFonts w:hint="eastAsia" w:ascii="宋体" w:hAnsi="宋体"/>
                <w:kern w:val="0"/>
              </w:rPr>
              <w:t>或其委托代理人</w:t>
            </w:r>
            <w:r>
              <w:rPr>
                <w:rFonts w:hint="eastAsia" w:ascii="宋体" w:hAnsi="宋体"/>
                <w:kern w:val="0"/>
                <w:lang w:eastAsia="zh-CN"/>
              </w:rPr>
              <w:t>）</w:t>
            </w:r>
            <w:r>
              <w:rPr>
                <w:rFonts w:hint="eastAsia" w:ascii="宋体" w:hAnsi="宋体"/>
                <w:kern w:val="0"/>
              </w:rPr>
              <w:t>签名（或盖章）的均由联合体牵头人法定代表人</w:t>
            </w:r>
            <w:r>
              <w:rPr>
                <w:rFonts w:hint="eastAsia" w:ascii="宋体" w:hAnsi="宋体"/>
                <w:kern w:val="0"/>
                <w:lang w:eastAsia="zh-CN"/>
              </w:rPr>
              <w:t>（</w:t>
            </w:r>
            <w:r>
              <w:rPr>
                <w:rFonts w:hint="eastAsia" w:ascii="宋体" w:hAnsi="宋体"/>
                <w:kern w:val="0"/>
              </w:rPr>
              <w:t>或其委托代理人</w:t>
            </w:r>
            <w:r>
              <w:rPr>
                <w:rFonts w:hint="eastAsia" w:ascii="宋体" w:hAnsi="宋体"/>
                <w:kern w:val="0"/>
                <w:lang w:eastAsia="zh-CN"/>
              </w:rPr>
              <w:t>）</w:t>
            </w:r>
            <w:r>
              <w:rPr>
                <w:rFonts w:hint="eastAsia" w:ascii="宋体" w:hAnsi="宋体"/>
                <w:kern w:val="0"/>
              </w:rPr>
              <w:t>签名（或盖章）</w:t>
            </w:r>
            <w:r>
              <w:rPr>
                <w:rFonts w:ascii="宋体" w:hAnsi="宋体"/>
                <w:kern w:val="0"/>
              </w:rPr>
              <w:t>。</w:t>
            </w:r>
          </w:p>
          <w:p w14:paraId="35E73EB3">
            <w:pPr>
              <w:autoSpaceDE w:val="0"/>
              <w:autoSpaceDN w:val="0"/>
              <w:adjustRightInd w:val="0"/>
              <w:snapToGrid w:val="0"/>
              <w:spacing w:line="400" w:lineRule="exact"/>
              <w:ind w:firstLine="420" w:firstLineChars="200"/>
              <w:rPr>
                <w:rFonts w:ascii="宋体" w:hAnsi="宋体"/>
                <w:kern w:val="0"/>
              </w:rPr>
            </w:pPr>
            <w:r>
              <w:rPr>
                <w:rFonts w:hint="eastAsia" w:ascii="宋体" w:hAnsi="宋体"/>
                <w:kern w:val="0"/>
              </w:rPr>
              <w:t>第八章 投标文件格式（不含投标函部分）要求加盖单位法人章的，应使用 CA 数字证书加盖投标人的单位电子印章。</w:t>
            </w:r>
          </w:p>
          <w:p w14:paraId="1A23D355">
            <w:pPr>
              <w:autoSpaceDE w:val="0"/>
              <w:autoSpaceDN w:val="0"/>
              <w:adjustRightInd w:val="0"/>
              <w:snapToGrid w:val="0"/>
              <w:spacing w:line="400" w:lineRule="exact"/>
              <w:ind w:firstLine="420" w:firstLineChars="200"/>
              <w:rPr>
                <w:rFonts w:ascii="宋体" w:hAnsi="宋体"/>
                <w:kern w:val="0"/>
              </w:rPr>
            </w:pPr>
            <w:r>
              <w:rPr>
                <w:rFonts w:hint="eastAsia" w:ascii="宋体" w:hAnsi="宋体"/>
                <w:kern w:val="0"/>
              </w:rPr>
              <w:t>若投标单位为联合体，则</w:t>
            </w:r>
            <w:r>
              <w:rPr>
                <w:rFonts w:hint="eastAsia" w:ascii="宋体" w:hAnsi="宋体"/>
                <w:lang w:val="en-US" w:eastAsia="zh-CN"/>
              </w:rPr>
              <w:t>共同投标协议</w:t>
            </w:r>
            <w:r>
              <w:rPr>
                <w:rFonts w:hint="eastAsia" w:ascii="宋体" w:hAnsi="宋体"/>
                <w:kern w:val="0"/>
              </w:rPr>
              <w:t>中要求各联合体成员盖单位法人章的，各联合体成员盖章须齐全，</w:t>
            </w:r>
            <w:r>
              <w:rPr>
                <w:rFonts w:hint="eastAsia" w:ascii="宋体" w:hAnsi="宋体"/>
                <w:lang w:val="en-US" w:eastAsia="zh-CN"/>
              </w:rPr>
              <w:t>共同投标协议</w:t>
            </w:r>
            <w:r>
              <w:rPr>
                <w:rFonts w:hint="eastAsia" w:ascii="宋体" w:hAnsi="宋体"/>
                <w:kern w:val="0"/>
              </w:rPr>
              <w:t>以外的投标文件格式中要求投标人加盖单位法人章的，均由联合体牵头人使用 CA 数字证书加盖其单位电子印章。</w:t>
            </w:r>
          </w:p>
        </w:tc>
      </w:tr>
      <w:tr w14:paraId="5F8627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56F6686A">
            <w:pPr>
              <w:spacing w:line="400" w:lineRule="exact"/>
              <w:jc w:val="center"/>
              <w:rPr>
                <w:rFonts w:ascii="宋体" w:hAnsi="宋体"/>
                <w:kern w:val="0"/>
              </w:rPr>
            </w:pPr>
          </w:p>
        </w:tc>
        <w:tc>
          <w:tcPr>
            <w:tcW w:w="1628" w:type="dxa"/>
            <w:vMerge w:val="continue"/>
            <w:tcBorders>
              <w:right w:val="single" w:color="auto" w:sz="4" w:space="0"/>
            </w:tcBorders>
          </w:tcPr>
          <w:p w14:paraId="328B4A74">
            <w:pPr>
              <w:spacing w:line="400" w:lineRule="exact"/>
              <w:jc w:val="center"/>
              <w:rPr>
                <w:rFonts w:ascii="宋体" w:hAnsi="宋体"/>
                <w:kern w:val="0"/>
              </w:rPr>
            </w:pPr>
          </w:p>
        </w:tc>
        <w:tc>
          <w:tcPr>
            <w:tcW w:w="2304" w:type="dxa"/>
            <w:gridSpan w:val="2"/>
            <w:tcBorders>
              <w:left w:val="single" w:color="auto" w:sz="4" w:space="0"/>
            </w:tcBorders>
            <w:vAlign w:val="center"/>
          </w:tcPr>
          <w:p w14:paraId="4C4F8868">
            <w:pPr>
              <w:spacing w:line="400" w:lineRule="exact"/>
              <w:jc w:val="left"/>
              <w:rPr>
                <w:rFonts w:ascii="宋体" w:hAnsi="宋体"/>
                <w:kern w:val="0"/>
              </w:rPr>
            </w:pPr>
            <w:r>
              <w:rPr>
                <w:rFonts w:ascii="宋体" w:hAnsi="宋体"/>
                <w:kern w:val="0"/>
              </w:rPr>
              <w:t>委托代理人</w:t>
            </w:r>
          </w:p>
        </w:tc>
        <w:tc>
          <w:tcPr>
            <w:tcW w:w="4688" w:type="dxa"/>
            <w:gridSpan w:val="3"/>
            <w:vAlign w:val="center"/>
          </w:tcPr>
          <w:p w14:paraId="3BE3DE7D">
            <w:pPr>
              <w:spacing w:line="400" w:lineRule="exact"/>
              <w:ind w:firstLine="420" w:firstLineChars="200"/>
              <w:rPr>
                <w:rFonts w:ascii="宋体" w:hAnsi="宋体"/>
                <w:kern w:val="0"/>
              </w:rPr>
            </w:pPr>
            <w:r>
              <w:rPr>
                <w:rFonts w:ascii="宋体" w:hAnsi="宋体"/>
                <w:kern w:val="0"/>
              </w:rPr>
              <w:t>投标人法定代表人的委托代理人有法定代表人签署的授权委托书</w:t>
            </w:r>
            <w:r>
              <w:rPr>
                <w:rFonts w:hint="eastAsia" w:ascii="宋体" w:hAnsi="宋体"/>
                <w:kern w:val="0"/>
              </w:rPr>
              <w:t>和投标人为其缴纳的养老保险</w:t>
            </w:r>
            <w:r>
              <w:rPr>
                <w:rFonts w:hint="eastAsia" w:ascii="宋体" w:hAnsi="宋体"/>
                <w:kern w:val="0"/>
                <w:lang w:val="en-US" w:eastAsia="zh-CN"/>
              </w:rPr>
              <w:t>证明材料</w:t>
            </w:r>
            <w:r>
              <w:rPr>
                <w:rFonts w:hint="eastAsia" w:ascii="宋体" w:hAnsi="宋体"/>
                <w:kern w:val="0"/>
              </w:rPr>
              <w:t>。</w:t>
            </w:r>
          </w:p>
        </w:tc>
      </w:tr>
      <w:tr w14:paraId="27E472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restart"/>
            <w:vAlign w:val="center"/>
          </w:tcPr>
          <w:p w14:paraId="10142085">
            <w:pPr>
              <w:spacing w:line="400" w:lineRule="exact"/>
              <w:jc w:val="center"/>
              <w:rPr>
                <w:rFonts w:ascii="宋体" w:hAnsi="宋体"/>
                <w:kern w:val="0"/>
              </w:rPr>
            </w:pPr>
            <w:r>
              <w:rPr>
                <w:rFonts w:ascii="宋体" w:hAnsi="宋体"/>
                <w:kern w:val="0"/>
              </w:rPr>
              <w:t>2.1.</w:t>
            </w:r>
            <w:r>
              <w:rPr>
                <w:rFonts w:hint="eastAsia" w:ascii="宋体" w:hAnsi="宋体"/>
                <w:kern w:val="0"/>
              </w:rPr>
              <w:t>3</w:t>
            </w:r>
          </w:p>
        </w:tc>
        <w:tc>
          <w:tcPr>
            <w:tcW w:w="1628" w:type="dxa"/>
            <w:vMerge w:val="restart"/>
            <w:vAlign w:val="center"/>
          </w:tcPr>
          <w:p w14:paraId="13173F08">
            <w:pPr>
              <w:spacing w:line="400" w:lineRule="exact"/>
              <w:jc w:val="center"/>
              <w:rPr>
                <w:rFonts w:ascii="宋体" w:hAnsi="宋体"/>
                <w:kern w:val="0"/>
              </w:rPr>
            </w:pPr>
            <w:r>
              <w:rPr>
                <w:rFonts w:hint="eastAsia" w:ascii="宋体" w:hAnsi="宋体"/>
                <w:kern w:val="0"/>
              </w:rPr>
              <w:t>响应性</w:t>
            </w:r>
            <w:r>
              <w:rPr>
                <w:rFonts w:ascii="宋体" w:hAnsi="宋体"/>
                <w:kern w:val="0"/>
              </w:rPr>
              <w:t>评审标准</w:t>
            </w:r>
          </w:p>
        </w:tc>
        <w:tc>
          <w:tcPr>
            <w:tcW w:w="2304" w:type="dxa"/>
            <w:gridSpan w:val="2"/>
            <w:vAlign w:val="center"/>
          </w:tcPr>
          <w:p w14:paraId="695BA3AC">
            <w:pPr>
              <w:spacing w:line="400" w:lineRule="exact"/>
              <w:jc w:val="left"/>
              <w:rPr>
                <w:rFonts w:ascii="宋体" w:hAnsi="宋体"/>
                <w:kern w:val="0"/>
              </w:rPr>
            </w:pPr>
            <w:r>
              <w:rPr>
                <w:rFonts w:ascii="宋体" w:hAnsi="宋体"/>
                <w:kern w:val="0"/>
              </w:rPr>
              <w:t>投标内容</w:t>
            </w:r>
          </w:p>
        </w:tc>
        <w:tc>
          <w:tcPr>
            <w:tcW w:w="4688" w:type="dxa"/>
            <w:gridSpan w:val="3"/>
            <w:vAlign w:val="center"/>
          </w:tcPr>
          <w:p w14:paraId="23A2435A">
            <w:pPr>
              <w:spacing w:line="400" w:lineRule="exact"/>
              <w:ind w:firstLine="420" w:firstLineChars="200"/>
              <w:jc w:val="left"/>
              <w:rPr>
                <w:rFonts w:hint="eastAsia" w:ascii="宋体" w:hAnsi="宋体" w:eastAsia="宋体"/>
                <w:kern w:val="0"/>
                <w:lang w:eastAsia="zh-CN"/>
              </w:rPr>
            </w:pPr>
            <w:r>
              <w:rPr>
                <w:rFonts w:ascii="宋体" w:hAnsi="宋体"/>
                <w:kern w:val="0"/>
              </w:rPr>
              <w:t>符合第二章“投标人须知”第1.3.1项规定</w:t>
            </w:r>
            <w:r>
              <w:rPr>
                <w:rFonts w:hint="eastAsia" w:ascii="宋体" w:hAnsi="宋体"/>
                <w:kern w:val="0"/>
                <w:lang w:eastAsia="zh-CN"/>
              </w:rPr>
              <w:t>。</w:t>
            </w:r>
          </w:p>
        </w:tc>
      </w:tr>
      <w:tr w14:paraId="21BD83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vAlign w:val="center"/>
          </w:tcPr>
          <w:p w14:paraId="1A1E2828">
            <w:pPr>
              <w:spacing w:line="400" w:lineRule="exact"/>
              <w:jc w:val="center"/>
              <w:rPr>
                <w:rFonts w:ascii="宋体" w:hAnsi="宋体"/>
                <w:kern w:val="0"/>
              </w:rPr>
            </w:pPr>
          </w:p>
        </w:tc>
        <w:tc>
          <w:tcPr>
            <w:tcW w:w="1628" w:type="dxa"/>
            <w:vMerge w:val="continue"/>
            <w:textDirection w:val="tbRlV"/>
            <w:vAlign w:val="center"/>
          </w:tcPr>
          <w:p w14:paraId="3C8E4F03">
            <w:pPr>
              <w:spacing w:line="400" w:lineRule="exact"/>
              <w:jc w:val="center"/>
              <w:rPr>
                <w:rFonts w:ascii="宋体" w:hAnsi="宋体"/>
                <w:kern w:val="0"/>
              </w:rPr>
            </w:pPr>
          </w:p>
        </w:tc>
        <w:tc>
          <w:tcPr>
            <w:tcW w:w="2304" w:type="dxa"/>
            <w:gridSpan w:val="2"/>
            <w:tcBorders>
              <w:top w:val="single" w:color="auto" w:sz="4" w:space="0"/>
            </w:tcBorders>
            <w:vAlign w:val="center"/>
          </w:tcPr>
          <w:p w14:paraId="360FF065">
            <w:pPr>
              <w:spacing w:line="400" w:lineRule="exact"/>
              <w:jc w:val="left"/>
              <w:rPr>
                <w:rFonts w:ascii="宋体" w:hAnsi="宋体"/>
                <w:kern w:val="0"/>
              </w:rPr>
            </w:pPr>
            <w:r>
              <w:rPr>
                <w:rFonts w:ascii="宋体" w:hAnsi="宋体"/>
                <w:kern w:val="0"/>
              </w:rPr>
              <w:t>投标保证金</w:t>
            </w:r>
          </w:p>
        </w:tc>
        <w:tc>
          <w:tcPr>
            <w:tcW w:w="4688" w:type="dxa"/>
            <w:gridSpan w:val="3"/>
            <w:vAlign w:val="center"/>
          </w:tcPr>
          <w:p w14:paraId="16AE4E4D">
            <w:pPr>
              <w:tabs>
                <w:tab w:val="left" w:pos="601"/>
                <w:tab w:val="left" w:pos="669"/>
              </w:tabs>
              <w:snapToGrid w:val="0"/>
              <w:spacing w:line="400" w:lineRule="exact"/>
              <w:ind w:firstLine="420" w:firstLineChars="200"/>
              <w:rPr>
                <w:rFonts w:ascii="宋体" w:hAnsi="宋体"/>
                <w:kern w:val="0"/>
              </w:rPr>
            </w:pPr>
            <w:r>
              <w:rPr>
                <w:rFonts w:hint="eastAsia" w:ascii="宋体" w:hAnsi="宋体" w:cs="宋体"/>
                <w:kern w:val="0"/>
              </w:rPr>
              <w:t>符合第二章“投标人须知前附表”第3.4款规定。</w:t>
            </w:r>
          </w:p>
        </w:tc>
      </w:tr>
      <w:tr w14:paraId="6CF5DE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tcPr>
          <w:p w14:paraId="002D3D6B">
            <w:pPr>
              <w:spacing w:line="400" w:lineRule="exact"/>
              <w:jc w:val="center"/>
              <w:rPr>
                <w:rFonts w:ascii="宋体" w:hAnsi="宋体"/>
              </w:rPr>
            </w:pPr>
          </w:p>
        </w:tc>
        <w:tc>
          <w:tcPr>
            <w:tcW w:w="1628" w:type="dxa"/>
            <w:vMerge w:val="continue"/>
          </w:tcPr>
          <w:p w14:paraId="06835CD9">
            <w:pPr>
              <w:spacing w:line="400" w:lineRule="exact"/>
              <w:jc w:val="center"/>
              <w:rPr>
                <w:rFonts w:ascii="宋体" w:hAnsi="宋体"/>
              </w:rPr>
            </w:pPr>
          </w:p>
        </w:tc>
        <w:tc>
          <w:tcPr>
            <w:tcW w:w="2304" w:type="dxa"/>
            <w:gridSpan w:val="2"/>
            <w:vAlign w:val="center"/>
          </w:tcPr>
          <w:p w14:paraId="466092C6">
            <w:pPr>
              <w:spacing w:line="400" w:lineRule="exact"/>
              <w:jc w:val="left"/>
              <w:rPr>
                <w:rFonts w:ascii="宋体" w:hAnsi="宋体"/>
                <w:kern w:val="0"/>
              </w:rPr>
            </w:pPr>
            <w:r>
              <w:rPr>
                <w:rFonts w:ascii="宋体" w:hAnsi="宋体"/>
                <w:kern w:val="0"/>
              </w:rPr>
              <w:t>权利义务</w:t>
            </w:r>
          </w:p>
        </w:tc>
        <w:tc>
          <w:tcPr>
            <w:tcW w:w="4688" w:type="dxa"/>
            <w:gridSpan w:val="3"/>
            <w:vAlign w:val="center"/>
          </w:tcPr>
          <w:p w14:paraId="49B9836C">
            <w:pPr>
              <w:spacing w:after="62" w:afterLines="20" w:line="400" w:lineRule="exact"/>
              <w:ind w:firstLine="420" w:firstLineChars="200"/>
              <w:rPr>
                <w:rFonts w:ascii="宋体" w:hAnsi="宋体"/>
                <w:kern w:val="0"/>
              </w:rPr>
            </w:pPr>
            <w:r>
              <w:rPr>
                <w:rFonts w:ascii="宋体" w:hAnsi="宋体"/>
                <w:kern w:val="0"/>
              </w:rPr>
              <w:t>符合第四章“合同条款及格式”规定，投标文件不应附有招标人不能接受的条件。</w:t>
            </w:r>
            <w:r>
              <w:rPr>
                <w:rFonts w:hint="eastAsia" w:ascii="宋体" w:hAnsi="宋体"/>
                <w:kern w:val="0"/>
              </w:rPr>
              <w:t>（由投标人承诺，承诺书格式详见第八章投标文件格式。）</w:t>
            </w:r>
          </w:p>
        </w:tc>
      </w:tr>
      <w:tr w14:paraId="6CCB46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tcPr>
          <w:p w14:paraId="2DA1FF7E">
            <w:pPr>
              <w:spacing w:line="400" w:lineRule="exact"/>
              <w:jc w:val="center"/>
              <w:rPr>
                <w:rFonts w:ascii="宋体" w:hAnsi="宋体"/>
              </w:rPr>
            </w:pPr>
          </w:p>
        </w:tc>
        <w:tc>
          <w:tcPr>
            <w:tcW w:w="1628" w:type="dxa"/>
            <w:vMerge w:val="continue"/>
          </w:tcPr>
          <w:p w14:paraId="535DE0D9">
            <w:pPr>
              <w:spacing w:line="400" w:lineRule="exact"/>
              <w:jc w:val="center"/>
              <w:rPr>
                <w:rFonts w:ascii="宋体" w:hAnsi="宋体"/>
              </w:rPr>
            </w:pPr>
          </w:p>
        </w:tc>
        <w:tc>
          <w:tcPr>
            <w:tcW w:w="2304" w:type="dxa"/>
            <w:gridSpan w:val="2"/>
            <w:vAlign w:val="center"/>
          </w:tcPr>
          <w:p w14:paraId="4BED0AFC">
            <w:pPr>
              <w:spacing w:line="400" w:lineRule="exact"/>
              <w:jc w:val="left"/>
              <w:rPr>
                <w:rFonts w:ascii="宋体" w:hAnsi="宋体"/>
                <w:kern w:val="0"/>
              </w:rPr>
            </w:pPr>
            <w:r>
              <w:rPr>
                <w:rFonts w:hint="eastAsia" w:ascii="宋体" w:hAnsi="宋体"/>
                <w:kern w:val="0"/>
                <w:lang w:eastAsia="zh-CN"/>
              </w:rPr>
              <w:t>☑</w:t>
            </w:r>
            <w:r>
              <w:rPr>
                <w:rFonts w:ascii="宋体" w:hAnsi="宋体"/>
                <w:kern w:val="0"/>
              </w:rPr>
              <w:t>技术标准和要求</w:t>
            </w:r>
          </w:p>
        </w:tc>
        <w:tc>
          <w:tcPr>
            <w:tcW w:w="4688" w:type="dxa"/>
            <w:gridSpan w:val="3"/>
            <w:vAlign w:val="center"/>
          </w:tcPr>
          <w:p w14:paraId="4C77D004">
            <w:pPr>
              <w:spacing w:line="400" w:lineRule="exact"/>
              <w:ind w:firstLine="420" w:firstLineChars="200"/>
              <w:rPr>
                <w:rFonts w:ascii="宋体" w:hAnsi="宋体"/>
                <w:kern w:val="0"/>
              </w:rPr>
            </w:pPr>
            <w:r>
              <w:rPr>
                <w:rFonts w:ascii="宋体" w:hAnsi="宋体"/>
                <w:kern w:val="0"/>
              </w:rPr>
              <w:t>符合第七章“技术标准和要求”规定</w:t>
            </w:r>
            <w:r>
              <w:rPr>
                <w:rFonts w:hint="eastAsia" w:ascii="宋体" w:hAnsi="宋体"/>
                <w:kern w:val="0"/>
              </w:rPr>
              <w:t>。（由投标人承诺，承诺书格式详见第八章投标文件格式。）</w:t>
            </w:r>
          </w:p>
        </w:tc>
      </w:tr>
      <w:tr w14:paraId="502224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tcPr>
          <w:p w14:paraId="2A881C81">
            <w:pPr>
              <w:spacing w:line="400" w:lineRule="exact"/>
              <w:rPr>
                <w:rFonts w:ascii="宋体" w:hAnsi="宋体"/>
              </w:rPr>
            </w:pPr>
          </w:p>
        </w:tc>
        <w:tc>
          <w:tcPr>
            <w:tcW w:w="1628" w:type="dxa"/>
            <w:vMerge w:val="continue"/>
          </w:tcPr>
          <w:p w14:paraId="49500310">
            <w:pPr>
              <w:spacing w:line="400" w:lineRule="exact"/>
              <w:rPr>
                <w:rFonts w:ascii="宋体" w:hAnsi="宋体"/>
              </w:rPr>
            </w:pPr>
          </w:p>
        </w:tc>
        <w:tc>
          <w:tcPr>
            <w:tcW w:w="2304" w:type="dxa"/>
            <w:gridSpan w:val="2"/>
            <w:vAlign w:val="center"/>
          </w:tcPr>
          <w:p w14:paraId="3A92AFD6">
            <w:pPr>
              <w:spacing w:line="400" w:lineRule="exact"/>
              <w:jc w:val="left"/>
              <w:rPr>
                <w:rFonts w:ascii="宋体" w:hAnsi="宋体"/>
                <w:kern w:val="0"/>
              </w:rPr>
            </w:pPr>
            <w:r>
              <w:rPr>
                <w:rFonts w:hint="eastAsia" w:ascii="宋体" w:hAnsi="宋体"/>
                <w:kern w:val="0"/>
                <w:lang w:val="en-US" w:eastAsia="zh-CN"/>
              </w:rPr>
              <w:t>其他</w:t>
            </w:r>
            <w:r>
              <w:rPr>
                <w:rFonts w:ascii="宋体" w:hAnsi="宋体"/>
                <w:kern w:val="0"/>
              </w:rPr>
              <w:t>实质性要求</w:t>
            </w:r>
          </w:p>
        </w:tc>
        <w:tc>
          <w:tcPr>
            <w:tcW w:w="4688" w:type="dxa"/>
            <w:gridSpan w:val="3"/>
            <w:vAlign w:val="center"/>
          </w:tcPr>
          <w:p w14:paraId="5E552EE4">
            <w:pPr>
              <w:spacing w:after="62" w:afterLines="20" w:line="400" w:lineRule="exact"/>
              <w:ind w:firstLine="420" w:firstLineChars="200"/>
              <w:rPr>
                <w:rFonts w:ascii="宋体" w:hAnsi="宋体"/>
                <w:kern w:val="0"/>
              </w:rPr>
            </w:pPr>
            <w:r>
              <w:rPr>
                <w:rFonts w:hint="eastAsia" w:ascii="宋体" w:hAnsi="宋体"/>
                <w:kern w:val="0"/>
              </w:rPr>
              <w:t>本次投标不得</w:t>
            </w:r>
            <w:r>
              <w:rPr>
                <w:rFonts w:hint="eastAsia" w:ascii="宋体" w:hAnsi="宋体"/>
                <w:kern w:val="0"/>
                <w:lang w:val="en-US" w:eastAsia="zh-CN"/>
              </w:rPr>
              <w:t>存在弄虚作假等</w:t>
            </w:r>
            <w:r>
              <w:rPr>
                <w:rFonts w:ascii="宋体" w:hAnsi="宋体"/>
                <w:kern w:val="0"/>
              </w:rPr>
              <w:t>其他违反招投标相关法律、法规</w:t>
            </w:r>
            <w:r>
              <w:rPr>
                <w:rFonts w:hint="eastAsia" w:ascii="宋体" w:hAnsi="宋体"/>
                <w:kern w:val="0"/>
                <w:lang w:val="en-US" w:eastAsia="zh-CN"/>
              </w:rPr>
              <w:t>的</w:t>
            </w:r>
            <w:r>
              <w:rPr>
                <w:rFonts w:ascii="宋体" w:hAnsi="宋体"/>
                <w:kern w:val="0"/>
              </w:rPr>
              <w:t>行为。</w:t>
            </w:r>
          </w:p>
          <w:p w14:paraId="2049A8ED">
            <w:pPr>
              <w:spacing w:after="62" w:afterLines="20" w:line="400" w:lineRule="exact"/>
              <w:ind w:firstLine="420" w:firstLineChars="200"/>
              <w:rPr>
                <w:rFonts w:ascii="宋体" w:hAnsi="宋体"/>
                <w:kern w:val="0"/>
              </w:rPr>
            </w:pPr>
            <w:r>
              <w:rPr>
                <w:rFonts w:hint="eastAsia" w:ascii="宋体" w:hAnsi="宋体"/>
                <w:kern w:val="0"/>
              </w:rPr>
              <w:t>按评标委员会要求澄清、说明或补正。</w:t>
            </w:r>
          </w:p>
        </w:tc>
      </w:tr>
      <w:tr w14:paraId="540C71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tcBorders>
              <w:right w:val="single" w:color="auto" w:sz="4" w:space="0"/>
            </w:tcBorders>
            <w:vAlign w:val="center"/>
          </w:tcPr>
          <w:p w14:paraId="44376DE1">
            <w:pPr>
              <w:spacing w:line="400" w:lineRule="exact"/>
              <w:jc w:val="center"/>
              <w:rPr>
                <w:rFonts w:ascii="宋体" w:hAnsi="宋体"/>
                <w:kern w:val="0"/>
              </w:rPr>
            </w:pPr>
            <w:r>
              <w:rPr>
                <w:rFonts w:ascii="宋体" w:hAnsi="宋体"/>
                <w:kern w:val="0"/>
              </w:rPr>
              <w:t>2.2.1</w:t>
            </w:r>
          </w:p>
        </w:tc>
        <w:tc>
          <w:tcPr>
            <w:tcW w:w="1628" w:type="dxa"/>
            <w:tcBorders>
              <w:left w:val="single" w:color="auto" w:sz="4" w:space="0"/>
            </w:tcBorders>
            <w:vAlign w:val="center"/>
          </w:tcPr>
          <w:p w14:paraId="581446D3">
            <w:pPr>
              <w:spacing w:line="400" w:lineRule="exact"/>
              <w:jc w:val="center"/>
              <w:rPr>
                <w:rFonts w:ascii="宋体" w:hAnsi="宋体"/>
                <w:kern w:val="0"/>
              </w:rPr>
            </w:pPr>
            <w:r>
              <w:rPr>
                <w:rFonts w:ascii="宋体" w:hAnsi="宋体"/>
                <w:kern w:val="0"/>
              </w:rPr>
              <w:t>分值构成 （总分1</w:t>
            </w:r>
            <w:r>
              <w:rPr>
                <w:rFonts w:hint="eastAsia" w:ascii="宋体" w:hAnsi="宋体"/>
                <w:kern w:val="0"/>
              </w:rPr>
              <w:t>00</w:t>
            </w:r>
            <w:r>
              <w:rPr>
                <w:rFonts w:ascii="宋体" w:hAnsi="宋体"/>
                <w:kern w:val="0"/>
              </w:rPr>
              <w:t>分）</w:t>
            </w:r>
          </w:p>
        </w:tc>
        <w:tc>
          <w:tcPr>
            <w:tcW w:w="6992" w:type="dxa"/>
            <w:gridSpan w:val="5"/>
            <w:vAlign w:val="center"/>
          </w:tcPr>
          <w:p w14:paraId="05E42508">
            <w:pPr>
              <w:snapToGrid w:val="0"/>
              <w:spacing w:line="400" w:lineRule="exact"/>
              <w:ind w:firstLine="420" w:firstLineChars="200"/>
              <w:rPr>
                <w:rFonts w:hint="eastAsia" w:ascii="宋体" w:hAnsi="宋体"/>
                <w:kern w:val="0"/>
              </w:rPr>
            </w:pPr>
            <w:r>
              <w:rPr>
                <w:rFonts w:hint="eastAsia" w:ascii="宋体" w:hAnsi="宋体"/>
                <w:kern w:val="0"/>
                <w:lang w:eastAsia="zh-CN"/>
              </w:rPr>
              <w:t>☑</w:t>
            </w:r>
            <w:r>
              <w:rPr>
                <w:rFonts w:hint="eastAsia" w:ascii="宋体" w:hAnsi="宋体"/>
                <w:kern w:val="0"/>
              </w:rPr>
              <w:t>1</w:t>
            </w:r>
            <w:r>
              <w:rPr>
                <w:rFonts w:ascii="宋体" w:hAnsi="宋体"/>
                <w:kern w:val="0"/>
              </w:rPr>
              <w:t>.</w:t>
            </w:r>
            <w:r>
              <w:rPr>
                <w:rFonts w:hint="eastAsia" w:ascii="宋体" w:hAnsi="宋体"/>
                <w:kern w:val="0"/>
              </w:rPr>
              <w:t>技术</w:t>
            </w:r>
            <w:r>
              <w:rPr>
                <w:rFonts w:hint="eastAsia" w:ascii="宋体" w:hAnsi="宋体"/>
                <w:kern w:val="0"/>
                <w:lang w:val="en-US" w:eastAsia="zh-CN"/>
              </w:rPr>
              <w:t>评审</w:t>
            </w:r>
            <w:r>
              <w:rPr>
                <w:rFonts w:hint="eastAsia" w:ascii="宋体" w:hAnsi="宋体"/>
                <w:kern w:val="0"/>
                <w:u w:val="single"/>
                <w:lang w:val="en-US" w:eastAsia="zh-CN"/>
              </w:rPr>
              <w:t xml:space="preserve"> 20 </w:t>
            </w:r>
            <w:r>
              <w:rPr>
                <w:rFonts w:ascii="宋体" w:hAnsi="宋体"/>
                <w:kern w:val="0"/>
              </w:rPr>
              <w:t>分</w:t>
            </w:r>
            <w:r>
              <w:rPr>
                <w:rFonts w:hint="eastAsia" w:ascii="宋体" w:hAnsi="宋体"/>
                <w:kern w:val="0"/>
              </w:rPr>
              <w:t>；</w:t>
            </w:r>
          </w:p>
          <w:p w14:paraId="6AF6B083">
            <w:pPr>
              <w:snapToGrid w:val="0"/>
              <w:spacing w:line="400" w:lineRule="exact"/>
              <w:ind w:firstLine="420" w:firstLineChars="200"/>
              <w:rPr>
                <w:rFonts w:hint="eastAsia" w:ascii="宋体" w:hAnsi="宋体" w:eastAsia="宋体"/>
                <w:kern w:val="0"/>
                <w:lang w:eastAsia="zh-CN"/>
              </w:rPr>
            </w:pPr>
            <w:r>
              <w:rPr>
                <w:rFonts w:hint="eastAsia" w:ascii="宋体" w:hAnsi="宋体"/>
                <w:kern w:val="0"/>
                <w:lang w:val="en-US" w:eastAsia="zh-CN"/>
              </w:rPr>
              <w:t>☑2</w:t>
            </w:r>
            <w:r>
              <w:rPr>
                <w:rFonts w:ascii="宋体" w:hAnsi="宋体"/>
                <w:kern w:val="0"/>
              </w:rPr>
              <w:t>.</w:t>
            </w:r>
            <w:r>
              <w:rPr>
                <w:rFonts w:hint="eastAsia" w:ascii="宋体" w:hAnsi="宋体"/>
                <w:kern w:val="0"/>
                <w:lang w:val="en-US" w:eastAsia="zh-CN"/>
              </w:rPr>
              <w:t>商务评审</w:t>
            </w:r>
            <w:r>
              <w:rPr>
                <w:rFonts w:hint="eastAsia" w:ascii="宋体" w:hAnsi="宋体"/>
                <w:kern w:val="0"/>
                <w:u w:val="single"/>
                <w:lang w:val="en-US" w:eastAsia="zh-CN"/>
              </w:rPr>
              <w:t xml:space="preserve"> 15 </w:t>
            </w:r>
            <w:r>
              <w:rPr>
                <w:rFonts w:ascii="宋体" w:hAnsi="宋体"/>
                <w:kern w:val="0"/>
              </w:rPr>
              <w:t>分</w:t>
            </w:r>
            <w:r>
              <w:rPr>
                <w:rFonts w:hint="eastAsia" w:ascii="宋体" w:hAnsi="宋体"/>
                <w:i w:val="0"/>
                <w:iCs/>
                <w:kern w:val="0"/>
                <w:lang w:eastAsia="zh-CN"/>
              </w:rPr>
              <w:t>；</w:t>
            </w:r>
          </w:p>
          <w:p w14:paraId="5F483BAB">
            <w:pPr>
              <w:snapToGrid w:val="0"/>
              <w:spacing w:line="400" w:lineRule="exact"/>
              <w:ind w:firstLine="420" w:firstLineChars="200"/>
              <w:rPr>
                <w:rFonts w:ascii="宋体" w:hAnsi="宋体"/>
                <w:i/>
                <w:kern w:val="0"/>
              </w:rPr>
            </w:pPr>
            <w:r>
              <w:rPr>
                <w:rFonts w:hint="eastAsia" w:ascii="宋体" w:hAnsi="宋体"/>
                <w:kern w:val="0"/>
                <w:lang w:val="en-US" w:eastAsia="zh-CN"/>
              </w:rPr>
              <w:t>3</w:t>
            </w:r>
            <w:r>
              <w:rPr>
                <w:rFonts w:hint="eastAsia" w:ascii="宋体" w:hAnsi="宋体"/>
                <w:kern w:val="0"/>
              </w:rPr>
              <w:t>.</w:t>
            </w:r>
            <w:r>
              <w:rPr>
                <w:rFonts w:hint="eastAsia" w:ascii="宋体" w:hAnsi="宋体"/>
                <w:kern w:val="0"/>
                <w:lang w:val="en-US" w:eastAsia="zh-CN"/>
              </w:rPr>
              <w:t>报价评审</w:t>
            </w:r>
            <w:r>
              <w:rPr>
                <w:rFonts w:hint="eastAsia" w:ascii="宋体" w:hAnsi="宋体"/>
                <w:kern w:val="0"/>
                <w:u w:val="single"/>
              </w:rPr>
              <w:t xml:space="preserve"> </w:t>
            </w:r>
            <w:r>
              <w:rPr>
                <w:rFonts w:hint="eastAsia" w:ascii="宋体" w:hAnsi="宋体"/>
                <w:kern w:val="0"/>
                <w:u w:val="single"/>
                <w:lang w:val="en-US" w:eastAsia="zh-CN"/>
              </w:rPr>
              <w:t>65</w:t>
            </w:r>
            <w:r>
              <w:rPr>
                <w:rFonts w:hint="eastAsia" w:ascii="宋体" w:hAnsi="宋体"/>
                <w:kern w:val="0"/>
                <w:u w:val="single"/>
              </w:rPr>
              <w:t xml:space="preserve"> </w:t>
            </w:r>
            <w:r>
              <w:rPr>
                <w:rFonts w:hint="eastAsia" w:ascii="宋体" w:hAnsi="宋体"/>
                <w:kern w:val="0"/>
              </w:rPr>
              <w:t>分。</w:t>
            </w:r>
          </w:p>
        </w:tc>
      </w:tr>
      <w:tr w14:paraId="1E44A7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14:paraId="3ECDFCC8">
            <w:pPr>
              <w:spacing w:line="400" w:lineRule="exact"/>
              <w:jc w:val="center"/>
              <w:rPr>
                <w:rFonts w:ascii="宋体" w:hAnsi="宋体"/>
                <w:kern w:val="0"/>
              </w:rPr>
            </w:pPr>
            <w:r>
              <w:rPr>
                <w:rFonts w:hint="eastAsia" w:ascii="宋体" w:hAnsi="宋体"/>
                <w:kern w:val="0"/>
                <w:lang w:eastAsia="zh-CN"/>
              </w:rPr>
              <w:t>☑</w:t>
            </w:r>
            <w:r>
              <w:rPr>
                <w:rFonts w:hint="eastAsia" w:ascii="宋体" w:hAnsi="宋体"/>
                <w:kern w:val="0"/>
              </w:rPr>
              <w:t>2.2.2（1）</w:t>
            </w:r>
          </w:p>
        </w:tc>
        <w:tc>
          <w:tcPr>
            <w:tcW w:w="1628" w:type="dxa"/>
            <w:vMerge w:val="restart"/>
            <w:tcBorders>
              <w:left w:val="single" w:color="auto" w:sz="4" w:space="0"/>
            </w:tcBorders>
            <w:vAlign w:val="center"/>
          </w:tcPr>
          <w:p w14:paraId="53DF8E0B">
            <w:pPr>
              <w:spacing w:line="400" w:lineRule="exact"/>
              <w:jc w:val="center"/>
              <w:rPr>
                <w:rFonts w:hint="default" w:ascii="宋体" w:hAnsi="宋体" w:eastAsia="宋体"/>
                <w:kern w:val="0"/>
                <w:lang w:val="en-US" w:eastAsia="zh-CN"/>
              </w:rPr>
            </w:pPr>
            <w:r>
              <w:rPr>
                <w:rFonts w:hint="eastAsia" w:ascii="宋体" w:hAnsi="宋体"/>
                <w:kern w:val="0"/>
              </w:rPr>
              <w:t>技术</w:t>
            </w:r>
            <w:r>
              <w:rPr>
                <w:rFonts w:hint="eastAsia" w:ascii="宋体" w:hAnsi="宋体"/>
                <w:kern w:val="0"/>
                <w:lang w:val="en-US" w:eastAsia="zh-CN"/>
              </w:rPr>
              <w:t>评审</w:t>
            </w:r>
            <w:r>
              <w:rPr>
                <w:rFonts w:hint="eastAsia" w:ascii="宋体" w:hAnsi="宋体"/>
                <w:kern w:val="0"/>
              </w:rPr>
              <w:t>标准</w:t>
            </w:r>
          </w:p>
        </w:tc>
        <w:tc>
          <w:tcPr>
            <w:tcW w:w="734" w:type="dxa"/>
            <w:vMerge w:val="restart"/>
            <w:tcBorders>
              <w:right w:val="single" w:color="auto" w:sz="4" w:space="0"/>
            </w:tcBorders>
            <w:vAlign w:val="center"/>
          </w:tcPr>
          <w:p w14:paraId="5A3103FD">
            <w:pPr>
              <w:tabs>
                <w:tab w:val="left" w:pos="1875"/>
              </w:tabs>
              <w:spacing w:line="400" w:lineRule="exact"/>
              <w:jc w:val="center"/>
              <w:rPr>
                <w:rFonts w:ascii="宋体" w:hAnsi="宋体"/>
                <w:kern w:val="0"/>
              </w:rPr>
            </w:pPr>
            <w:r>
              <w:rPr>
                <w:rFonts w:ascii="宋体" w:hAnsi="宋体"/>
                <w:kern w:val="0"/>
              </w:rPr>
              <w:t>技</w:t>
            </w:r>
          </w:p>
          <w:p w14:paraId="4D2C4405">
            <w:pPr>
              <w:tabs>
                <w:tab w:val="left" w:pos="1875"/>
              </w:tabs>
              <w:spacing w:line="400" w:lineRule="exact"/>
              <w:jc w:val="center"/>
              <w:rPr>
                <w:rFonts w:ascii="宋体" w:hAnsi="宋体"/>
                <w:kern w:val="0"/>
              </w:rPr>
            </w:pPr>
            <w:r>
              <w:rPr>
                <w:rFonts w:ascii="宋体" w:hAnsi="宋体"/>
                <w:kern w:val="0"/>
              </w:rPr>
              <w:t>术</w:t>
            </w:r>
          </w:p>
          <w:p w14:paraId="22AAB25F">
            <w:pPr>
              <w:tabs>
                <w:tab w:val="left" w:pos="1875"/>
              </w:tabs>
              <w:spacing w:line="400" w:lineRule="exact"/>
              <w:jc w:val="center"/>
              <w:rPr>
                <w:rFonts w:ascii="宋体" w:hAnsi="宋体"/>
                <w:kern w:val="0"/>
              </w:rPr>
            </w:pPr>
            <w:r>
              <w:rPr>
                <w:rFonts w:ascii="宋体" w:hAnsi="宋体"/>
                <w:kern w:val="0"/>
              </w:rPr>
              <w:t>方</w:t>
            </w:r>
          </w:p>
          <w:p w14:paraId="7C74B14A">
            <w:pPr>
              <w:tabs>
                <w:tab w:val="left" w:pos="1875"/>
              </w:tabs>
              <w:spacing w:line="400" w:lineRule="exact"/>
              <w:jc w:val="center"/>
              <w:rPr>
                <w:rFonts w:ascii="宋体" w:hAnsi="宋体"/>
                <w:kern w:val="0"/>
              </w:rPr>
            </w:pPr>
            <w:r>
              <w:rPr>
                <w:rFonts w:ascii="宋体" w:hAnsi="宋体"/>
                <w:kern w:val="0"/>
              </w:rPr>
              <w:t>案</w:t>
            </w:r>
          </w:p>
          <w:p w14:paraId="3D571939">
            <w:pPr>
              <w:tabs>
                <w:tab w:val="left" w:pos="1875"/>
              </w:tabs>
              <w:spacing w:line="400" w:lineRule="exact"/>
              <w:jc w:val="center"/>
              <w:rPr>
                <w:rFonts w:ascii="宋体" w:hAnsi="宋体"/>
                <w:kern w:val="0"/>
              </w:rPr>
            </w:pPr>
            <w:r>
              <w:rPr>
                <w:rFonts w:ascii="宋体" w:hAnsi="宋体"/>
                <w:kern w:val="0"/>
              </w:rPr>
              <w:t>评</w:t>
            </w:r>
          </w:p>
          <w:p w14:paraId="7BC930AA">
            <w:pPr>
              <w:tabs>
                <w:tab w:val="left" w:pos="1875"/>
              </w:tabs>
              <w:spacing w:line="400" w:lineRule="exact"/>
              <w:jc w:val="center"/>
              <w:rPr>
                <w:rFonts w:ascii="宋体" w:hAnsi="宋体"/>
                <w:kern w:val="0"/>
              </w:rPr>
            </w:pPr>
            <w:r>
              <w:rPr>
                <w:rFonts w:ascii="宋体" w:hAnsi="宋体"/>
                <w:kern w:val="0"/>
              </w:rPr>
              <w:t>审</w:t>
            </w:r>
          </w:p>
        </w:tc>
        <w:tc>
          <w:tcPr>
            <w:tcW w:w="1570" w:type="dxa"/>
            <w:tcBorders>
              <w:left w:val="single" w:color="auto" w:sz="4" w:space="0"/>
            </w:tcBorders>
            <w:vAlign w:val="center"/>
          </w:tcPr>
          <w:p w14:paraId="3C674D0A">
            <w:pPr>
              <w:tabs>
                <w:tab w:val="left" w:pos="1875"/>
              </w:tabs>
              <w:spacing w:line="400" w:lineRule="exact"/>
              <w:rPr>
                <w:rFonts w:ascii="宋体" w:hAnsi="宋体"/>
                <w:kern w:val="0"/>
              </w:rPr>
            </w:pPr>
            <w:r>
              <w:rPr>
                <w:rFonts w:hint="eastAsia" w:ascii="宋体" w:hAnsi="宋体" w:cs="宋体"/>
                <w:kern w:val="0"/>
              </w:rPr>
              <w:t>技术方案形式要求</w:t>
            </w:r>
          </w:p>
        </w:tc>
        <w:tc>
          <w:tcPr>
            <w:tcW w:w="4688" w:type="dxa"/>
            <w:gridSpan w:val="3"/>
            <w:vAlign w:val="center"/>
          </w:tcPr>
          <w:p w14:paraId="3191199A">
            <w:pPr>
              <w:snapToGrid w:val="0"/>
              <w:spacing w:line="400" w:lineRule="exact"/>
              <w:ind w:firstLine="420" w:firstLineChars="200"/>
              <w:rPr>
                <w:rFonts w:ascii="宋体" w:hAnsi="宋体"/>
                <w:u w:val="single"/>
              </w:rPr>
            </w:pPr>
            <w:r>
              <w:rPr>
                <w:rFonts w:hint="eastAsia" w:ascii="宋体" w:hAnsi="宋体" w:cs="宋体"/>
                <w:kern w:val="0"/>
              </w:rPr>
              <w:t>须符合第二章投标人须知前附表第3.7.5项（</w:t>
            </w:r>
            <w:r>
              <w:rPr>
                <w:rFonts w:hint="eastAsia" w:ascii="宋体" w:hAnsi="宋体" w:cs="宋体"/>
                <w:kern w:val="0"/>
                <w:lang w:val="en-US" w:eastAsia="zh-CN"/>
              </w:rPr>
              <w:t>4</w:t>
            </w:r>
            <w:r>
              <w:rPr>
                <w:rFonts w:hint="eastAsia" w:ascii="宋体" w:hAnsi="宋体" w:cs="宋体"/>
                <w:kern w:val="0"/>
              </w:rPr>
              <w:t>）技术部分</w:t>
            </w:r>
            <w:r>
              <w:rPr>
                <w:rFonts w:hint="eastAsia" w:ascii="宋体" w:hAnsi="宋体" w:cs="宋体"/>
                <w:kern w:val="0"/>
                <w:lang w:val="en-US" w:eastAsia="zh-CN"/>
              </w:rPr>
              <w:t>的</w:t>
            </w:r>
            <w:r>
              <w:rPr>
                <w:rFonts w:hint="eastAsia" w:ascii="宋体" w:hAnsi="宋体" w:cs="宋体"/>
                <w:kern w:val="0"/>
              </w:rPr>
              <w:t>要求，否则其技术方案为0分，不再对技术方案的其他评分标准进行评审。</w:t>
            </w:r>
          </w:p>
        </w:tc>
      </w:tr>
      <w:tr w14:paraId="480212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20119EAC">
            <w:pPr>
              <w:spacing w:line="400" w:lineRule="exact"/>
              <w:jc w:val="center"/>
              <w:rPr>
                <w:rFonts w:ascii="宋体" w:hAnsi="宋体"/>
                <w:kern w:val="0"/>
              </w:rPr>
            </w:pPr>
          </w:p>
        </w:tc>
        <w:tc>
          <w:tcPr>
            <w:tcW w:w="1628" w:type="dxa"/>
            <w:vMerge w:val="continue"/>
            <w:tcBorders>
              <w:left w:val="single" w:color="auto" w:sz="4" w:space="0"/>
            </w:tcBorders>
            <w:vAlign w:val="center"/>
          </w:tcPr>
          <w:p w14:paraId="6DD34795">
            <w:pPr>
              <w:spacing w:line="400" w:lineRule="exact"/>
              <w:jc w:val="center"/>
              <w:rPr>
                <w:rFonts w:ascii="宋体" w:hAnsi="宋体"/>
                <w:kern w:val="0"/>
              </w:rPr>
            </w:pPr>
          </w:p>
        </w:tc>
        <w:tc>
          <w:tcPr>
            <w:tcW w:w="734" w:type="dxa"/>
            <w:vMerge w:val="continue"/>
            <w:tcBorders>
              <w:right w:val="single" w:color="auto" w:sz="4" w:space="0"/>
            </w:tcBorders>
            <w:vAlign w:val="center"/>
          </w:tcPr>
          <w:p w14:paraId="5111B89D">
            <w:pPr>
              <w:tabs>
                <w:tab w:val="left" w:pos="1875"/>
              </w:tabs>
              <w:spacing w:line="400" w:lineRule="exact"/>
              <w:jc w:val="center"/>
              <w:rPr>
                <w:rFonts w:ascii="宋体" w:hAnsi="宋体"/>
                <w:kern w:val="0"/>
              </w:rPr>
            </w:pPr>
          </w:p>
        </w:tc>
        <w:tc>
          <w:tcPr>
            <w:tcW w:w="1570" w:type="dxa"/>
            <w:tcBorders>
              <w:left w:val="single" w:color="auto" w:sz="4" w:space="0"/>
            </w:tcBorders>
            <w:vAlign w:val="center"/>
          </w:tcPr>
          <w:p w14:paraId="0BC897E3">
            <w:pPr>
              <w:tabs>
                <w:tab w:val="left" w:pos="1875"/>
              </w:tabs>
              <w:spacing w:line="400" w:lineRule="exact"/>
              <w:rPr>
                <w:rFonts w:ascii="宋体" w:hAnsi="宋体"/>
                <w:kern w:val="0"/>
              </w:rPr>
            </w:pPr>
            <w:r>
              <w:rPr>
                <w:rFonts w:hint="eastAsia" w:ascii="宋体" w:hAnsi="宋体"/>
                <w:kern w:val="0"/>
              </w:rPr>
              <w:t>内容完整性和编制水平</w:t>
            </w:r>
          </w:p>
        </w:tc>
        <w:tc>
          <w:tcPr>
            <w:tcW w:w="4688" w:type="dxa"/>
            <w:gridSpan w:val="3"/>
            <w:vAlign w:val="center"/>
          </w:tcPr>
          <w:p w14:paraId="68F9F442">
            <w:pPr>
              <w:snapToGrid w:val="0"/>
              <w:spacing w:line="400" w:lineRule="exact"/>
              <w:ind w:firstLine="420" w:firstLineChars="200"/>
              <w:rPr>
                <w:rFonts w:hint="eastAsia" w:ascii="宋体" w:hAnsi="宋体"/>
                <w:u w:val="single"/>
              </w:rPr>
            </w:pPr>
            <w:r>
              <w:rPr>
                <w:rFonts w:ascii="宋体" w:hAnsi="宋体"/>
                <w:u w:val="single"/>
              </w:rPr>
              <w:t xml:space="preserve"> </w:t>
            </w:r>
            <w:r>
              <w:rPr>
                <w:rFonts w:hint="eastAsia" w:ascii="宋体" w:hAnsi="宋体"/>
                <w:u w:val="single"/>
                <w:lang w:val="en-US" w:eastAsia="zh-CN"/>
              </w:rPr>
              <w:t>3</w:t>
            </w:r>
            <w:r>
              <w:rPr>
                <w:rFonts w:hint="eastAsia" w:ascii="宋体" w:hAnsi="宋体"/>
                <w:u w:val="single"/>
              </w:rPr>
              <w:t xml:space="preserve"> </w:t>
            </w:r>
            <w:r>
              <w:rPr>
                <w:rFonts w:ascii="宋体" w:hAnsi="宋体"/>
              </w:rPr>
              <w:t>分</w:t>
            </w:r>
            <w:r>
              <w:rPr>
                <w:rFonts w:hint="eastAsia" w:ascii="宋体" w:hAnsi="宋体"/>
                <w:lang w:val="en-US" w:eastAsia="zh-CN"/>
              </w:rPr>
              <w:t xml:space="preserve">   </w:t>
            </w:r>
            <w:r>
              <w:rPr>
                <w:rFonts w:hint="eastAsia" w:ascii="宋体" w:hAnsi="宋体"/>
                <w:u w:val="none"/>
              </w:rPr>
              <w:t>编制要点：</w:t>
            </w:r>
            <w:r>
              <w:rPr>
                <w:rFonts w:hint="eastAsia" w:ascii="宋体" w:hAnsi="宋体"/>
                <w:u w:val="single"/>
              </w:rPr>
              <w:t xml:space="preserve"> 项目总体认识全面</w:t>
            </w:r>
            <w:r>
              <w:rPr>
                <w:rFonts w:hint="eastAsia" w:ascii="宋体" w:hAnsi="宋体"/>
                <w:u w:val="single"/>
                <w:lang w:val="en-US" w:eastAsia="zh-CN"/>
              </w:rPr>
              <w:t>深</w:t>
            </w:r>
            <w:r>
              <w:rPr>
                <w:rFonts w:hint="eastAsia" w:ascii="宋体" w:hAnsi="宋体"/>
                <w:u w:val="single"/>
              </w:rPr>
              <w:t xml:space="preserve">刻，论述完整清晰，总体组织符合实际、总体设计符合规范，总体计划合理，综合措施科学 </w:t>
            </w:r>
            <w:r>
              <w:rPr>
                <w:rFonts w:hint="eastAsia" w:ascii="宋体" w:hAnsi="宋体"/>
                <w:u w:val="none"/>
              </w:rPr>
              <w:t>；</w:t>
            </w:r>
          </w:p>
          <w:p w14:paraId="704B3789">
            <w:pPr>
              <w:snapToGrid w:val="0"/>
              <w:spacing w:line="400" w:lineRule="exact"/>
              <w:ind w:firstLine="420" w:firstLineChars="200"/>
              <w:rPr>
                <w:rFonts w:ascii="宋体" w:hAnsi="宋体"/>
                <w:u w:val="single"/>
              </w:rPr>
            </w:pPr>
            <w:r>
              <w:rPr>
                <w:rFonts w:hint="eastAsia" w:ascii="宋体" w:hAnsi="宋体"/>
                <w:u w:val="none"/>
              </w:rPr>
              <w:t>优得2.5分（不含）-3分，良得2分（不含）-2.5分，一般得1分（不含）-2分，差得0-1分。</w:t>
            </w:r>
          </w:p>
        </w:tc>
      </w:tr>
      <w:tr w14:paraId="58F500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6EFF98CF">
            <w:pPr>
              <w:spacing w:line="400" w:lineRule="exact"/>
              <w:ind w:firstLine="210" w:firstLineChars="100"/>
              <w:jc w:val="center"/>
              <w:rPr>
                <w:rFonts w:ascii="宋体" w:hAnsi="宋体"/>
                <w:kern w:val="0"/>
              </w:rPr>
            </w:pPr>
          </w:p>
        </w:tc>
        <w:tc>
          <w:tcPr>
            <w:tcW w:w="1628" w:type="dxa"/>
            <w:vMerge w:val="continue"/>
            <w:tcBorders>
              <w:left w:val="single" w:color="auto" w:sz="4" w:space="0"/>
            </w:tcBorders>
            <w:vAlign w:val="center"/>
          </w:tcPr>
          <w:p w14:paraId="5ED9B970">
            <w:pPr>
              <w:spacing w:line="400" w:lineRule="exact"/>
              <w:ind w:firstLine="210" w:firstLineChars="100"/>
              <w:jc w:val="center"/>
              <w:rPr>
                <w:rFonts w:ascii="宋体" w:hAnsi="宋体"/>
                <w:kern w:val="0"/>
              </w:rPr>
            </w:pPr>
          </w:p>
        </w:tc>
        <w:tc>
          <w:tcPr>
            <w:tcW w:w="734" w:type="dxa"/>
            <w:vMerge w:val="continue"/>
            <w:tcBorders>
              <w:right w:val="single" w:color="auto" w:sz="4" w:space="0"/>
            </w:tcBorders>
            <w:vAlign w:val="center"/>
          </w:tcPr>
          <w:p w14:paraId="78342744">
            <w:pPr>
              <w:tabs>
                <w:tab w:val="left" w:pos="1875"/>
              </w:tabs>
              <w:spacing w:line="400" w:lineRule="exact"/>
              <w:jc w:val="left"/>
              <w:rPr>
                <w:rFonts w:ascii="宋体" w:hAnsi="宋体"/>
                <w:kern w:val="0"/>
              </w:rPr>
            </w:pPr>
          </w:p>
        </w:tc>
        <w:tc>
          <w:tcPr>
            <w:tcW w:w="1570" w:type="dxa"/>
            <w:tcBorders>
              <w:left w:val="single" w:color="auto" w:sz="4" w:space="0"/>
            </w:tcBorders>
            <w:vAlign w:val="center"/>
          </w:tcPr>
          <w:p w14:paraId="3036A74A">
            <w:pPr>
              <w:tabs>
                <w:tab w:val="left" w:pos="1875"/>
              </w:tabs>
              <w:spacing w:line="400" w:lineRule="exact"/>
              <w:rPr>
                <w:rFonts w:ascii="宋体" w:hAnsi="宋体"/>
                <w:kern w:val="0"/>
              </w:rPr>
            </w:pPr>
            <w:r>
              <w:rPr>
                <w:rFonts w:hint="eastAsia" w:ascii="宋体" w:hAnsi="宋体"/>
                <w:kern w:val="0"/>
              </w:rPr>
              <w:t>施工方案与技术措施</w:t>
            </w:r>
          </w:p>
        </w:tc>
        <w:tc>
          <w:tcPr>
            <w:tcW w:w="4688" w:type="dxa"/>
            <w:gridSpan w:val="3"/>
            <w:vAlign w:val="center"/>
          </w:tcPr>
          <w:p w14:paraId="0E8B33E6">
            <w:pPr>
              <w:snapToGrid w:val="0"/>
              <w:spacing w:line="400" w:lineRule="exact"/>
              <w:ind w:firstLine="420" w:firstLineChars="200"/>
              <w:rPr>
                <w:rFonts w:hint="eastAsia" w:asciiTheme="minorEastAsia" w:hAnsiTheme="minorEastAsia" w:eastAsiaTheme="minorEastAsia" w:cstheme="minorEastAsia"/>
                <w:color w:val="auto"/>
                <w:highlight w:val="none"/>
                <w:u w:val="single"/>
              </w:rPr>
            </w:pPr>
            <w:r>
              <w:rPr>
                <w:rFonts w:ascii="宋体" w:hAnsi="宋体"/>
                <w:u w:val="single"/>
              </w:rPr>
              <w:t xml:space="preserve"> </w:t>
            </w:r>
            <w:r>
              <w:rPr>
                <w:rFonts w:hint="eastAsia" w:ascii="宋体" w:hAnsi="宋体"/>
                <w:u w:val="single"/>
                <w:lang w:val="en-US" w:eastAsia="zh-CN"/>
              </w:rPr>
              <w:t xml:space="preserve">3 </w:t>
            </w:r>
            <w:r>
              <w:rPr>
                <w:rFonts w:ascii="宋体" w:hAnsi="宋体"/>
              </w:rPr>
              <w:t xml:space="preserve">分 </w:t>
            </w:r>
            <w:r>
              <w:rPr>
                <w:rFonts w:hint="eastAsia" w:ascii="宋体" w:hAnsi="宋体"/>
              </w:rPr>
              <w:t xml:space="preserve"> </w:t>
            </w:r>
            <w:r>
              <w:rPr>
                <w:rFonts w:ascii="宋体" w:hAnsi="宋体"/>
              </w:rPr>
              <w:t xml:space="preserve"> 编制要点</w:t>
            </w:r>
            <w:r>
              <w:rPr>
                <w:rFonts w:hint="eastAsia" w:ascii="宋体" w:hAnsi="宋体"/>
              </w:rPr>
              <w:t>：</w:t>
            </w:r>
            <w:r>
              <w:rPr>
                <w:rFonts w:hint="eastAsia" w:ascii="宋体" w:hAnsi="宋体"/>
                <w:u w:val="single"/>
              </w:rPr>
              <w:t xml:space="preserve"> 投标人须针对本项目按施工设计图和现行施工有关技术标准要求，针对该项目</w:t>
            </w:r>
            <w:r>
              <w:rPr>
                <w:rFonts w:hint="eastAsia" w:ascii="宋体" w:hAnsi="宋体"/>
                <w:u w:val="single"/>
                <w:lang w:eastAsia="zh-CN"/>
              </w:rPr>
              <w:t>古建和石质文物保存现状</w:t>
            </w:r>
            <w:r>
              <w:rPr>
                <w:rFonts w:hint="eastAsia" w:ascii="宋体" w:hAnsi="宋体"/>
                <w:u w:val="single"/>
              </w:rPr>
              <w:t>，制定施工程序、施工方法等技术措施，完善施工方案的工程措施。包括但不限于 1.文物本体的现状保护和游客通道防护；2.</w:t>
            </w:r>
            <w:r>
              <w:rPr>
                <w:rFonts w:hint="eastAsia" w:ascii="宋体" w:hAnsi="宋体"/>
                <w:u w:val="single"/>
                <w:lang w:eastAsia="zh-CN"/>
              </w:rPr>
              <w:t>古建筑修缮</w:t>
            </w:r>
            <w:r>
              <w:rPr>
                <w:rFonts w:hint="eastAsia" w:ascii="宋体" w:hAnsi="宋体"/>
                <w:u w:val="single"/>
              </w:rPr>
              <w:t>；3</w:t>
            </w:r>
            <w:r>
              <w:rPr>
                <w:rFonts w:hint="eastAsia" w:ascii="宋体" w:hAnsi="宋体"/>
                <w:u w:val="single"/>
                <w:lang w:eastAsia="zh-CN"/>
              </w:rPr>
              <w:t>石质文物本体病害治理</w:t>
            </w:r>
            <w:r>
              <w:rPr>
                <w:rFonts w:hint="eastAsia" w:ascii="宋体" w:hAnsi="宋体"/>
                <w:u w:val="single"/>
              </w:rPr>
              <w:t>等；</w:t>
            </w:r>
            <w:r>
              <w:rPr>
                <w:rFonts w:hint="eastAsia" w:ascii="宋体" w:hAnsi="宋体"/>
                <w:u w:val="single"/>
                <w:lang w:val="en-US" w:eastAsia="zh-CN"/>
              </w:rPr>
              <w:t>4石质</w:t>
            </w:r>
            <w:r>
              <w:rPr>
                <w:rFonts w:hint="eastAsia" w:ascii="宋体" w:hAnsi="宋体"/>
                <w:u w:val="single"/>
              </w:rPr>
              <w:t>风化病害加固试验等措施，修缮材料（加固材料、</w:t>
            </w:r>
            <w:r>
              <w:rPr>
                <w:rFonts w:hint="eastAsia" w:ascii="宋体" w:hAnsi="宋体"/>
                <w:u w:val="single"/>
                <w:lang w:eastAsia="zh-CN"/>
              </w:rPr>
              <w:t>灌浆</w:t>
            </w:r>
            <w:r>
              <w:rPr>
                <w:rFonts w:hint="eastAsia" w:ascii="宋体" w:hAnsi="宋体"/>
                <w:u w:val="single"/>
              </w:rPr>
              <w:t xml:space="preserve">粘接材料）等 </w:t>
            </w:r>
            <w:r>
              <w:rPr>
                <w:rFonts w:hint="eastAsia" w:asciiTheme="minorEastAsia" w:hAnsiTheme="minorEastAsia" w:eastAsiaTheme="minorEastAsia" w:cstheme="minorEastAsia"/>
                <w:color w:val="auto"/>
                <w:highlight w:val="none"/>
                <w:u w:val="none"/>
              </w:rPr>
              <w:t>；</w:t>
            </w:r>
          </w:p>
          <w:p w14:paraId="376050F7">
            <w:pPr>
              <w:snapToGrid w:val="0"/>
              <w:spacing w:line="400" w:lineRule="exact"/>
              <w:ind w:firstLine="420" w:firstLineChars="200"/>
              <w:rPr>
                <w:rFonts w:ascii="宋体" w:hAnsi="宋体"/>
                <w:kern w:val="0"/>
              </w:rPr>
            </w:pPr>
            <w:r>
              <w:rPr>
                <w:rFonts w:hint="eastAsia" w:ascii="宋体" w:hAnsi="宋体"/>
                <w:u w:val="none"/>
              </w:rPr>
              <w:t>优得2.5分（不含）-3分，良得2分（不含）-2.5分，一般得1分（不含）-2分，差得0-1分。</w:t>
            </w:r>
          </w:p>
        </w:tc>
      </w:tr>
      <w:tr w14:paraId="112485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563A31C0">
            <w:pPr>
              <w:spacing w:line="400" w:lineRule="exact"/>
              <w:ind w:firstLine="210" w:firstLineChars="100"/>
              <w:jc w:val="center"/>
              <w:rPr>
                <w:rFonts w:ascii="宋体" w:hAnsi="宋体"/>
                <w:kern w:val="0"/>
              </w:rPr>
            </w:pPr>
          </w:p>
        </w:tc>
        <w:tc>
          <w:tcPr>
            <w:tcW w:w="1628" w:type="dxa"/>
            <w:vMerge w:val="continue"/>
            <w:tcBorders>
              <w:left w:val="single" w:color="auto" w:sz="4" w:space="0"/>
            </w:tcBorders>
            <w:vAlign w:val="center"/>
          </w:tcPr>
          <w:p w14:paraId="633EB0E6">
            <w:pPr>
              <w:spacing w:line="400" w:lineRule="exact"/>
              <w:ind w:firstLine="210" w:firstLineChars="100"/>
              <w:jc w:val="center"/>
              <w:rPr>
                <w:rFonts w:ascii="宋体" w:hAnsi="宋体"/>
                <w:kern w:val="0"/>
              </w:rPr>
            </w:pPr>
          </w:p>
        </w:tc>
        <w:tc>
          <w:tcPr>
            <w:tcW w:w="734" w:type="dxa"/>
            <w:vMerge w:val="continue"/>
            <w:tcBorders>
              <w:right w:val="single" w:color="auto" w:sz="4" w:space="0"/>
            </w:tcBorders>
            <w:vAlign w:val="center"/>
          </w:tcPr>
          <w:p w14:paraId="33C1E1F7">
            <w:pPr>
              <w:tabs>
                <w:tab w:val="left" w:pos="1875"/>
              </w:tabs>
              <w:spacing w:line="400" w:lineRule="exact"/>
              <w:jc w:val="left"/>
              <w:rPr>
                <w:rFonts w:ascii="宋体" w:hAnsi="宋体"/>
                <w:kern w:val="0"/>
              </w:rPr>
            </w:pPr>
          </w:p>
        </w:tc>
        <w:tc>
          <w:tcPr>
            <w:tcW w:w="1570" w:type="dxa"/>
            <w:tcBorders>
              <w:left w:val="single" w:color="auto" w:sz="4" w:space="0"/>
            </w:tcBorders>
            <w:vAlign w:val="center"/>
          </w:tcPr>
          <w:p w14:paraId="5C2F79C7">
            <w:pPr>
              <w:tabs>
                <w:tab w:val="left" w:pos="1875"/>
              </w:tabs>
              <w:spacing w:line="400" w:lineRule="exact"/>
              <w:rPr>
                <w:rFonts w:ascii="宋体" w:hAnsi="宋体"/>
                <w:kern w:val="0"/>
              </w:rPr>
            </w:pPr>
            <w:r>
              <w:rPr>
                <w:rFonts w:ascii="宋体" w:hAnsi="宋体"/>
                <w:kern w:val="0"/>
              </w:rPr>
              <w:t>质量管理体系与措施</w:t>
            </w:r>
          </w:p>
        </w:tc>
        <w:tc>
          <w:tcPr>
            <w:tcW w:w="4688" w:type="dxa"/>
            <w:gridSpan w:val="3"/>
            <w:vAlign w:val="center"/>
          </w:tcPr>
          <w:p w14:paraId="11BC374B">
            <w:pPr>
              <w:snapToGrid w:val="0"/>
              <w:spacing w:line="400" w:lineRule="exact"/>
              <w:ind w:firstLine="420" w:firstLineChars="200"/>
              <w:rPr>
                <w:rFonts w:hint="eastAsia" w:asciiTheme="minorEastAsia" w:hAnsiTheme="minorEastAsia" w:eastAsiaTheme="minorEastAsia" w:cstheme="minorEastAsia"/>
                <w:color w:val="auto"/>
                <w:highlight w:val="none"/>
                <w:u w:val="single"/>
              </w:rPr>
            </w:pPr>
            <w:r>
              <w:rPr>
                <w:rFonts w:ascii="宋体" w:hAnsi="宋体"/>
                <w:u w:val="single"/>
              </w:rPr>
              <w:t xml:space="preserve"> </w:t>
            </w:r>
            <w:r>
              <w:rPr>
                <w:rFonts w:hint="eastAsia" w:ascii="宋体" w:hAnsi="宋体"/>
                <w:u w:val="single"/>
                <w:lang w:val="en-US" w:eastAsia="zh-CN"/>
              </w:rPr>
              <w:t xml:space="preserve">3 </w:t>
            </w:r>
            <w:r>
              <w:rPr>
                <w:rFonts w:ascii="宋体" w:hAnsi="宋体"/>
              </w:rPr>
              <w:t>分   编制要点</w:t>
            </w:r>
            <w:r>
              <w:rPr>
                <w:rFonts w:hint="eastAsia" w:ascii="宋体" w:hAnsi="宋体"/>
              </w:rPr>
              <w:t>：</w:t>
            </w:r>
            <w:r>
              <w:rPr>
                <w:rFonts w:hint="eastAsia" w:ascii="宋体" w:hAnsi="宋体"/>
                <w:u w:val="single"/>
              </w:rPr>
              <w:t xml:space="preserve"> 质量管理体系完善、</w:t>
            </w:r>
            <w:r>
              <w:rPr>
                <w:rFonts w:hint="eastAsia" w:ascii="宋体" w:hAnsi="宋体"/>
                <w:u w:val="single"/>
                <w:lang w:val="en-US" w:eastAsia="zh-CN"/>
              </w:rPr>
              <w:t>健</w:t>
            </w:r>
            <w:r>
              <w:rPr>
                <w:rFonts w:hint="eastAsia" w:ascii="宋体" w:hAnsi="宋体"/>
                <w:u w:val="single"/>
              </w:rPr>
              <w:t xml:space="preserve">全，工程质量保证计划全面细致、结合实际、措施具体 </w:t>
            </w:r>
            <w:r>
              <w:rPr>
                <w:rFonts w:hint="eastAsia" w:asciiTheme="minorEastAsia" w:hAnsiTheme="minorEastAsia" w:eastAsiaTheme="minorEastAsia" w:cstheme="minorEastAsia"/>
                <w:color w:val="auto"/>
                <w:highlight w:val="none"/>
                <w:u w:val="none"/>
              </w:rPr>
              <w:t>；</w:t>
            </w:r>
          </w:p>
          <w:p w14:paraId="6DF5AF1E">
            <w:pPr>
              <w:snapToGrid w:val="0"/>
              <w:spacing w:line="400" w:lineRule="exact"/>
              <w:ind w:firstLine="420" w:firstLineChars="200"/>
              <w:rPr>
                <w:rFonts w:ascii="宋体" w:hAnsi="宋体"/>
                <w:kern w:val="0"/>
              </w:rPr>
            </w:pPr>
            <w:r>
              <w:rPr>
                <w:rFonts w:hint="eastAsia" w:ascii="宋体" w:hAnsi="宋体"/>
                <w:u w:val="none"/>
              </w:rPr>
              <w:t>优得2.5分（不含）-3分，良得2分（不含）-2.5分，一般得1分（不含）-2分，差得0-1分。</w:t>
            </w:r>
          </w:p>
        </w:tc>
      </w:tr>
      <w:tr w14:paraId="466FA3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2553CF48">
            <w:pPr>
              <w:spacing w:line="400" w:lineRule="exact"/>
              <w:ind w:firstLine="210" w:firstLineChars="100"/>
              <w:jc w:val="center"/>
              <w:rPr>
                <w:rFonts w:ascii="宋体" w:hAnsi="宋体"/>
                <w:kern w:val="0"/>
              </w:rPr>
            </w:pPr>
          </w:p>
        </w:tc>
        <w:tc>
          <w:tcPr>
            <w:tcW w:w="1628" w:type="dxa"/>
            <w:vMerge w:val="continue"/>
            <w:tcBorders>
              <w:left w:val="single" w:color="auto" w:sz="4" w:space="0"/>
            </w:tcBorders>
            <w:vAlign w:val="center"/>
          </w:tcPr>
          <w:p w14:paraId="48E472F9">
            <w:pPr>
              <w:spacing w:line="400" w:lineRule="exact"/>
              <w:ind w:firstLine="210" w:firstLineChars="100"/>
              <w:jc w:val="center"/>
              <w:rPr>
                <w:rFonts w:ascii="宋体" w:hAnsi="宋体"/>
                <w:kern w:val="0"/>
              </w:rPr>
            </w:pPr>
          </w:p>
        </w:tc>
        <w:tc>
          <w:tcPr>
            <w:tcW w:w="734" w:type="dxa"/>
            <w:vMerge w:val="continue"/>
            <w:tcBorders>
              <w:right w:val="single" w:color="auto" w:sz="4" w:space="0"/>
            </w:tcBorders>
            <w:vAlign w:val="center"/>
          </w:tcPr>
          <w:p w14:paraId="2EA842BC">
            <w:pPr>
              <w:tabs>
                <w:tab w:val="left" w:pos="1875"/>
              </w:tabs>
              <w:spacing w:line="400" w:lineRule="exact"/>
              <w:jc w:val="left"/>
              <w:rPr>
                <w:rFonts w:ascii="宋体" w:hAnsi="宋体"/>
                <w:kern w:val="0"/>
              </w:rPr>
            </w:pPr>
          </w:p>
        </w:tc>
        <w:tc>
          <w:tcPr>
            <w:tcW w:w="1570" w:type="dxa"/>
            <w:tcBorders>
              <w:left w:val="single" w:color="auto" w:sz="4" w:space="0"/>
            </w:tcBorders>
            <w:vAlign w:val="center"/>
          </w:tcPr>
          <w:p w14:paraId="606276E3">
            <w:pPr>
              <w:tabs>
                <w:tab w:val="left" w:pos="1875"/>
              </w:tabs>
              <w:spacing w:line="400" w:lineRule="exact"/>
              <w:rPr>
                <w:rFonts w:ascii="宋体" w:hAnsi="宋体"/>
                <w:kern w:val="0"/>
              </w:rPr>
            </w:pPr>
            <w:r>
              <w:rPr>
                <w:rFonts w:ascii="宋体" w:hAnsi="宋体"/>
                <w:kern w:val="0"/>
              </w:rPr>
              <w:t>安全管理体系与措施</w:t>
            </w:r>
          </w:p>
        </w:tc>
        <w:tc>
          <w:tcPr>
            <w:tcW w:w="4688" w:type="dxa"/>
            <w:gridSpan w:val="3"/>
            <w:vAlign w:val="center"/>
          </w:tcPr>
          <w:p w14:paraId="627C0F28">
            <w:pPr>
              <w:snapToGrid w:val="0"/>
              <w:spacing w:line="400" w:lineRule="exact"/>
              <w:ind w:firstLine="420" w:firstLineChars="200"/>
              <w:rPr>
                <w:rFonts w:hint="eastAsia" w:asciiTheme="minorEastAsia" w:hAnsiTheme="minorEastAsia" w:eastAsiaTheme="minorEastAsia" w:cstheme="minorEastAsia"/>
                <w:color w:val="auto"/>
                <w:highlight w:val="none"/>
                <w:u w:val="none"/>
              </w:rPr>
            </w:pPr>
            <w:r>
              <w:rPr>
                <w:rFonts w:ascii="宋体" w:hAnsi="宋体"/>
                <w:u w:val="single"/>
              </w:rPr>
              <w:t xml:space="preserve"> </w:t>
            </w:r>
            <w:r>
              <w:rPr>
                <w:rFonts w:hint="eastAsia" w:ascii="宋体" w:hAnsi="宋体"/>
                <w:u w:val="single"/>
                <w:lang w:val="en-US" w:eastAsia="zh-CN"/>
              </w:rPr>
              <w:t xml:space="preserve">3 </w:t>
            </w:r>
            <w:r>
              <w:rPr>
                <w:rFonts w:ascii="宋体" w:hAnsi="宋体"/>
              </w:rPr>
              <w:t>分   编制要点</w:t>
            </w:r>
            <w:r>
              <w:rPr>
                <w:rFonts w:hint="eastAsia" w:ascii="宋体" w:hAnsi="宋体"/>
              </w:rPr>
              <w:t>：</w:t>
            </w:r>
            <w:r>
              <w:rPr>
                <w:rFonts w:hint="eastAsia" w:ascii="宋体" w:hAnsi="宋体"/>
                <w:u w:val="single"/>
              </w:rPr>
              <w:t xml:space="preserve"> 建立施工安全保障体系，施工现场管理人员安全生产职责明确，施工安全保证目标明确，针对工程特点，周边环境和施工工艺，确定危险源并制定具体的防护措施 </w:t>
            </w:r>
            <w:r>
              <w:rPr>
                <w:rFonts w:hint="eastAsia" w:asciiTheme="minorEastAsia" w:hAnsiTheme="minorEastAsia" w:eastAsiaTheme="minorEastAsia" w:cstheme="minorEastAsia"/>
                <w:color w:val="auto"/>
                <w:highlight w:val="none"/>
                <w:u w:val="none"/>
              </w:rPr>
              <w:t>；</w:t>
            </w:r>
          </w:p>
          <w:p w14:paraId="27CCFB62">
            <w:pPr>
              <w:snapToGrid w:val="0"/>
              <w:spacing w:line="400" w:lineRule="exact"/>
              <w:ind w:firstLine="420" w:firstLineChars="200"/>
              <w:rPr>
                <w:rFonts w:ascii="宋体" w:hAnsi="宋体"/>
                <w:kern w:val="0"/>
              </w:rPr>
            </w:pPr>
            <w:r>
              <w:rPr>
                <w:rFonts w:hint="eastAsia" w:ascii="宋体" w:hAnsi="宋体"/>
                <w:u w:val="none"/>
              </w:rPr>
              <w:t>优得2.5分（不含）-3分，良得2分（不含）-2.5分，一般得1分（不含）-2分，差得0-1分。</w:t>
            </w:r>
          </w:p>
        </w:tc>
      </w:tr>
      <w:tr w14:paraId="404A06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728FFEB9">
            <w:pPr>
              <w:spacing w:line="400" w:lineRule="exact"/>
              <w:ind w:firstLine="210" w:firstLineChars="100"/>
              <w:jc w:val="center"/>
              <w:rPr>
                <w:rFonts w:ascii="宋体" w:hAnsi="宋体"/>
                <w:kern w:val="0"/>
              </w:rPr>
            </w:pPr>
          </w:p>
        </w:tc>
        <w:tc>
          <w:tcPr>
            <w:tcW w:w="1628" w:type="dxa"/>
            <w:vMerge w:val="continue"/>
            <w:tcBorders>
              <w:left w:val="single" w:color="auto" w:sz="4" w:space="0"/>
            </w:tcBorders>
            <w:vAlign w:val="center"/>
          </w:tcPr>
          <w:p w14:paraId="0EA44643">
            <w:pPr>
              <w:spacing w:line="400" w:lineRule="exact"/>
              <w:ind w:firstLine="210" w:firstLineChars="100"/>
              <w:jc w:val="center"/>
              <w:rPr>
                <w:rFonts w:ascii="宋体" w:hAnsi="宋体"/>
                <w:kern w:val="0"/>
              </w:rPr>
            </w:pPr>
          </w:p>
        </w:tc>
        <w:tc>
          <w:tcPr>
            <w:tcW w:w="734" w:type="dxa"/>
            <w:vMerge w:val="continue"/>
            <w:tcBorders>
              <w:right w:val="single" w:color="auto" w:sz="4" w:space="0"/>
            </w:tcBorders>
            <w:vAlign w:val="center"/>
          </w:tcPr>
          <w:p w14:paraId="7D19AED2">
            <w:pPr>
              <w:tabs>
                <w:tab w:val="left" w:pos="1875"/>
              </w:tabs>
              <w:spacing w:line="400" w:lineRule="exact"/>
              <w:jc w:val="left"/>
              <w:rPr>
                <w:rFonts w:ascii="宋体" w:hAnsi="宋体"/>
                <w:kern w:val="0"/>
              </w:rPr>
            </w:pPr>
          </w:p>
        </w:tc>
        <w:tc>
          <w:tcPr>
            <w:tcW w:w="1570" w:type="dxa"/>
            <w:tcBorders>
              <w:left w:val="single" w:color="auto" w:sz="4" w:space="0"/>
            </w:tcBorders>
            <w:vAlign w:val="center"/>
          </w:tcPr>
          <w:p w14:paraId="2D93DCAF">
            <w:pPr>
              <w:tabs>
                <w:tab w:val="left" w:pos="1875"/>
              </w:tabs>
              <w:spacing w:line="400" w:lineRule="exact"/>
              <w:rPr>
                <w:rFonts w:ascii="宋体" w:hAnsi="宋体"/>
                <w:kern w:val="0"/>
              </w:rPr>
            </w:pPr>
            <w:r>
              <w:rPr>
                <w:rFonts w:ascii="宋体" w:hAnsi="宋体"/>
                <w:kern w:val="0"/>
              </w:rPr>
              <w:t>环境保护管理体系</w:t>
            </w:r>
            <w:r>
              <w:rPr>
                <w:rFonts w:hint="eastAsia" w:ascii="宋体" w:hAnsi="宋体"/>
                <w:kern w:val="0"/>
                <w:lang w:val="en-US" w:eastAsia="zh-CN"/>
              </w:rPr>
              <w:t>与</w:t>
            </w:r>
            <w:r>
              <w:rPr>
                <w:rFonts w:ascii="宋体" w:hAnsi="宋体"/>
                <w:kern w:val="0"/>
              </w:rPr>
              <w:t>措施</w:t>
            </w:r>
          </w:p>
        </w:tc>
        <w:tc>
          <w:tcPr>
            <w:tcW w:w="4688" w:type="dxa"/>
            <w:gridSpan w:val="3"/>
            <w:vAlign w:val="center"/>
          </w:tcPr>
          <w:p w14:paraId="6348D94B">
            <w:pPr>
              <w:snapToGrid w:val="0"/>
              <w:spacing w:line="400" w:lineRule="exact"/>
              <w:ind w:firstLine="420" w:firstLineChars="200"/>
              <w:rPr>
                <w:rFonts w:hint="eastAsia" w:asciiTheme="minorEastAsia" w:hAnsiTheme="minorEastAsia" w:eastAsiaTheme="minorEastAsia" w:cstheme="minorEastAsia"/>
                <w:color w:val="auto"/>
                <w:highlight w:val="none"/>
                <w:u w:val="single"/>
              </w:rPr>
            </w:pPr>
            <w:r>
              <w:rPr>
                <w:rFonts w:ascii="宋体" w:hAnsi="宋体"/>
                <w:u w:val="single"/>
              </w:rPr>
              <w:t xml:space="preserve"> </w:t>
            </w:r>
            <w:r>
              <w:rPr>
                <w:rFonts w:hint="eastAsia" w:ascii="宋体" w:hAnsi="宋体"/>
                <w:u w:val="single"/>
                <w:lang w:val="en-US" w:eastAsia="zh-CN"/>
              </w:rPr>
              <w:t xml:space="preserve">3 </w:t>
            </w:r>
            <w:r>
              <w:rPr>
                <w:rFonts w:ascii="宋体" w:hAnsi="宋体"/>
              </w:rPr>
              <w:t>分   编制要点</w:t>
            </w:r>
            <w:r>
              <w:rPr>
                <w:rFonts w:hint="eastAsia" w:ascii="宋体" w:hAnsi="宋体"/>
              </w:rPr>
              <w:t>：</w:t>
            </w:r>
            <w:r>
              <w:rPr>
                <w:rFonts w:hint="eastAsia" w:ascii="宋体" w:hAnsi="宋体"/>
                <w:u w:val="single"/>
              </w:rPr>
              <w:t xml:space="preserve"> 环境保护管理体系措施完善、健全，根据实际情况制定环境保护管理措施，关键地点、工序、环节控制保障措施得力，责任措施具体 </w:t>
            </w:r>
            <w:r>
              <w:rPr>
                <w:rFonts w:hint="eastAsia" w:asciiTheme="minorEastAsia" w:hAnsiTheme="minorEastAsia" w:eastAsiaTheme="minorEastAsia" w:cstheme="minorEastAsia"/>
                <w:color w:val="auto"/>
                <w:highlight w:val="none"/>
                <w:u w:val="none"/>
              </w:rPr>
              <w:t>；</w:t>
            </w:r>
          </w:p>
          <w:p w14:paraId="768952FB">
            <w:pPr>
              <w:snapToGrid w:val="0"/>
              <w:spacing w:line="400" w:lineRule="exact"/>
              <w:ind w:firstLine="420" w:firstLineChars="200"/>
              <w:rPr>
                <w:rFonts w:ascii="宋体" w:hAnsi="宋体"/>
                <w:kern w:val="0"/>
              </w:rPr>
            </w:pPr>
            <w:r>
              <w:rPr>
                <w:rFonts w:hint="eastAsia" w:ascii="宋体" w:hAnsi="宋体"/>
                <w:u w:val="none"/>
              </w:rPr>
              <w:t>优得2.5分（不含）-3分，良得2分（不含）-2.5分，一般得1分（不含）-2分，差得0-1分。</w:t>
            </w:r>
          </w:p>
        </w:tc>
      </w:tr>
      <w:tr w14:paraId="5DA2E6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455388AF">
            <w:pPr>
              <w:spacing w:line="400" w:lineRule="exact"/>
              <w:ind w:firstLine="210" w:firstLineChars="100"/>
              <w:jc w:val="center"/>
              <w:rPr>
                <w:rFonts w:ascii="宋体" w:hAnsi="宋体"/>
                <w:kern w:val="0"/>
              </w:rPr>
            </w:pPr>
          </w:p>
        </w:tc>
        <w:tc>
          <w:tcPr>
            <w:tcW w:w="1628" w:type="dxa"/>
            <w:vMerge w:val="continue"/>
            <w:tcBorders>
              <w:left w:val="single" w:color="auto" w:sz="4" w:space="0"/>
            </w:tcBorders>
            <w:vAlign w:val="center"/>
          </w:tcPr>
          <w:p w14:paraId="0086DAEE">
            <w:pPr>
              <w:spacing w:line="400" w:lineRule="exact"/>
              <w:ind w:firstLine="210" w:firstLineChars="100"/>
              <w:jc w:val="center"/>
              <w:rPr>
                <w:rFonts w:ascii="宋体" w:hAnsi="宋体"/>
                <w:kern w:val="0"/>
              </w:rPr>
            </w:pPr>
          </w:p>
        </w:tc>
        <w:tc>
          <w:tcPr>
            <w:tcW w:w="734" w:type="dxa"/>
            <w:vMerge w:val="continue"/>
            <w:tcBorders>
              <w:right w:val="single" w:color="auto" w:sz="4" w:space="0"/>
            </w:tcBorders>
            <w:vAlign w:val="center"/>
          </w:tcPr>
          <w:p w14:paraId="439A52E5">
            <w:pPr>
              <w:tabs>
                <w:tab w:val="left" w:pos="1875"/>
              </w:tabs>
              <w:spacing w:line="400" w:lineRule="exact"/>
              <w:jc w:val="left"/>
              <w:rPr>
                <w:rFonts w:ascii="宋体" w:hAnsi="宋体"/>
                <w:kern w:val="0"/>
              </w:rPr>
            </w:pPr>
          </w:p>
        </w:tc>
        <w:tc>
          <w:tcPr>
            <w:tcW w:w="1570" w:type="dxa"/>
            <w:tcBorders>
              <w:left w:val="single" w:color="auto" w:sz="4" w:space="0"/>
            </w:tcBorders>
            <w:vAlign w:val="center"/>
          </w:tcPr>
          <w:p w14:paraId="5A06B3F8">
            <w:pPr>
              <w:tabs>
                <w:tab w:val="left" w:pos="1875"/>
              </w:tabs>
              <w:spacing w:line="400" w:lineRule="exact"/>
              <w:rPr>
                <w:rFonts w:ascii="宋体" w:hAnsi="宋体"/>
                <w:kern w:val="0"/>
              </w:rPr>
            </w:pPr>
            <w:r>
              <w:rPr>
                <w:rFonts w:ascii="宋体" w:hAnsi="宋体"/>
                <w:kern w:val="0"/>
              </w:rPr>
              <w:t>工程进度计划与措施</w:t>
            </w:r>
          </w:p>
        </w:tc>
        <w:tc>
          <w:tcPr>
            <w:tcW w:w="4688" w:type="dxa"/>
            <w:gridSpan w:val="3"/>
            <w:vAlign w:val="center"/>
          </w:tcPr>
          <w:p w14:paraId="4C3E97C8">
            <w:pPr>
              <w:snapToGrid w:val="0"/>
              <w:spacing w:line="400" w:lineRule="exact"/>
              <w:ind w:firstLine="420" w:firstLineChars="200"/>
              <w:rPr>
                <w:rFonts w:hint="eastAsia" w:asciiTheme="minorEastAsia" w:hAnsiTheme="minorEastAsia" w:eastAsiaTheme="minorEastAsia" w:cstheme="minorEastAsia"/>
                <w:color w:val="auto"/>
                <w:highlight w:val="none"/>
                <w:u w:val="single"/>
              </w:rPr>
            </w:pPr>
            <w:r>
              <w:rPr>
                <w:rFonts w:ascii="宋体" w:hAnsi="宋体"/>
                <w:u w:val="single"/>
              </w:rPr>
              <w:t xml:space="preserve"> </w:t>
            </w:r>
            <w:r>
              <w:rPr>
                <w:rFonts w:hint="eastAsia" w:ascii="宋体" w:hAnsi="宋体"/>
                <w:u w:val="single"/>
                <w:lang w:val="en-US" w:eastAsia="zh-CN"/>
              </w:rPr>
              <w:t xml:space="preserve">3 </w:t>
            </w:r>
            <w:r>
              <w:rPr>
                <w:rFonts w:ascii="宋体" w:hAnsi="宋体"/>
              </w:rPr>
              <w:t>分   编制要点</w:t>
            </w:r>
            <w:r>
              <w:rPr>
                <w:rFonts w:hint="eastAsia" w:ascii="宋体" w:hAnsi="宋体"/>
              </w:rPr>
              <w:t>：</w:t>
            </w:r>
            <w:r>
              <w:rPr>
                <w:rFonts w:hint="eastAsia" w:ascii="宋体" w:hAnsi="宋体"/>
                <w:u w:val="single"/>
              </w:rPr>
              <w:t xml:space="preserve"> 总计划满足招标文件</w:t>
            </w:r>
            <w:r>
              <w:rPr>
                <w:rFonts w:hint="eastAsia" w:ascii="宋体" w:hAnsi="宋体"/>
                <w:u w:val="single"/>
                <w:lang w:val="en-US" w:eastAsia="zh-CN"/>
              </w:rPr>
              <w:t>要</w:t>
            </w:r>
            <w:r>
              <w:rPr>
                <w:rFonts w:hint="eastAsia" w:ascii="宋体" w:hAnsi="宋体"/>
                <w:u w:val="single"/>
              </w:rPr>
              <w:t xml:space="preserve">求，各关键节点的工期切实可行，保证工期的措施科学、可靠。施工总体进度计划合理、控制性项目安排得当，工程进度补救措施可行，能保证在招标人规定的总工期内完成 </w:t>
            </w:r>
            <w:r>
              <w:rPr>
                <w:rFonts w:hint="eastAsia" w:asciiTheme="minorEastAsia" w:hAnsiTheme="minorEastAsia" w:eastAsiaTheme="minorEastAsia" w:cstheme="minorEastAsia"/>
                <w:color w:val="auto"/>
                <w:highlight w:val="none"/>
                <w:u w:val="none"/>
              </w:rPr>
              <w:t>；</w:t>
            </w:r>
          </w:p>
          <w:p w14:paraId="3BE0E103">
            <w:pPr>
              <w:snapToGrid w:val="0"/>
              <w:spacing w:line="400" w:lineRule="exact"/>
              <w:ind w:firstLine="420" w:firstLineChars="200"/>
              <w:rPr>
                <w:rFonts w:ascii="宋体" w:hAnsi="宋体"/>
                <w:kern w:val="0"/>
              </w:rPr>
            </w:pPr>
            <w:r>
              <w:rPr>
                <w:rFonts w:hint="eastAsia" w:ascii="宋体" w:hAnsi="宋体"/>
                <w:u w:val="none"/>
              </w:rPr>
              <w:t>优得2.5分（不含）-3分，良得2分（不含）-2.5分，一般得1分（不含）-2分，差得0-1分。</w:t>
            </w:r>
          </w:p>
        </w:tc>
      </w:tr>
      <w:tr w14:paraId="4E7293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0795AA5C">
            <w:pPr>
              <w:spacing w:line="400" w:lineRule="exact"/>
              <w:ind w:firstLine="210" w:firstLineChars="100"/>
              <w:jc w:val="center"/>
              <w:rPr>
                <w:rFonts w:ascii="宋体" w:hAnsi="宋体"/>
                <w:kern w:val="0"/>
              </w:rPr>
            </w:pPr>
          </w:p>
        </w:tc>
        <w:tc>
          <w:tcPr>
            <w:tcW w:w="1628" w:type="dxa"/>
            <w:vMerge w:val="continue"/>
            <w:tcBorders>
              <w:left w:val="single" w:color="auto" w:sz="4" w:space="0"/>
            </w:tcBorders>
            <w:vAlign w:val="center"/>
          </w:tcPr>
          <w:p w14:paraId="5B6D5638">
            <w:pPr>
              <w:spacing w:line="400" w:lineRule="exact"/>
              <w:ind w:firstLine="210" w:firstLineChars="100"/>
              <w:jc w:val="center"/>
              <w:rPr>
                <w:rFonts w:ascii="宋体" w:hAnsi="宋体"/>
                <w:kern w:val="0"/>
              </w:rPr>
            </w:pPr>
          </w:p>
        </w:tc>
        <w:tc>
          <w:tcPr>
            <w:tcW w:w="734" w:type="dxa"/>
            <w:vMerge w:val="continue"/>
            <w:tcBorders>
              <w:right w:val="single" w:color="auto" w:sz="4" w:space="0"/>
            </w:tcBorders>
            <w:vAlign w:val="center"/>
          </w:tcPr>
          <w:p w14:paraId="3FB01341">
            <w:pPr>
              <w:tabs>
                <w:tab w:val="left" w:pos="1875"/>
              </w:tabs>
              <w:spacing w:line="400" w:lineRule="exact"/>
              <w:jc w:val="left"/>
              <w:rPr>
                <w:rFonts w:ascii="宋体" w:hAnsi="宋体"/>
                <w:kern w:val="0"/>
              </w:rPr>
            </w:pPr>
          </w:p>
        </w:tc>
        <w:tc>
          <w:tcPr>
            <w:tcW w:w="1570" w:type="dxa"/>
            <w:tcBorders>
              <w:left w:val="single" w:color="auto" w:sz="4" w:space="0"/>
            </w:tcBorders>
            <w:vAlign w:val="center"/>
          </w:tcPr>
          <w:p w14:paraId="0DFECB9F">
            <w:pPr>
              <w:tabs>
                <w:tab w:val="left" w:pos="1875"/>
              </w:tabs>
              <w:spacing w:line="400" w:lineRule="exact"/>
              <w:rPr>
                <w:rFonts w:ascii="宋体" w:hAnsi="宋体"/>
                <w:kern w:val="0"/>
              </w:rPr>
            </w:pPr>
            <w:r>
              <w:rPr>
                <w:rFonts w:ascii="宋体" w:hAnsi="宋体"/>
                <w:kern w:val="0"/>
              </w:rPr>
              <w:t>资源配备计划与先进性</w:t>
            </w:r>
          </w:p>
        </w:tc>
        <w:tc>
          <w:tcPr>
            <w:tcW w:w="4688" w:type="dxa"/>
            <w:gridSpan w:val="3"/>
            <w:vAlign w:val="center"/>
          </w:tcPr>
          <w:p w14:paraId="17D2CFFC">
            <w:pPr>
              <w:snapToGrid w:val="0"/>
              <w:spacing w:line="400" w:lineRule="exact"/>
              <w:ind w:firstLine="420" w:firstLineChars="200"/>
              <w:rPr>
                <w:rFonts w:hint="eastAsia" w:asciiTheme="minorEastAsia" w:hAnsiTheme="minorEastAsia" w:eastAsiaTheme="minorEastAsia" w:cstheme="minorEastAsia"/>
                <w:color w:val="auto"/>
                <w:highlight w:val="none"/>
                <w:u w:val="single"/>
              </w:rPr>
            </w:pPr>
            <w:r>
              <w:rPr>
                <w:rFonts w:ascii="宋体" w:hAnsi="宋体"/>
                <w:u w:val="single"/>
              </w:rPr>
              <w:t xml:space="preserve"> </w:t>
            </w:r>
            <w:r>
              <w:rPr>
                <w:rFonts w:hint="eastAsia" w:ascii="宋体" w:hAnsi="宋体"/>
                <w:u w:val="single"/>
                <w:lang w:val="en-US" w:eastAsia="zh-CN"/>
              </w:rPr>
              <w:t xml:space="preserve">2 </w:t>
            </w:r>
            <w:r>
              <w:rPr>
                <w:rFonts w:ascii="宋体" w:hAnsi="宋体"/>
              </w:rPr>
              <w:t>分   编制要点</w:t>
            </w:r>
            <w:r>
              <w:rPr>
                <w:rFonts w:hint="eastAsia" w:ascii="宋体" w:hAnsi="宋体"/>
              </w:rPr>
              <w:t>：</w:t>
            </w:r>
            <w:r>
              <w:rPr>
                <w:rFonts w:hint="eastAsia" w:ascii="宋体" w:hAnsi="宋体"/>
                <w:u w:val="single"/>
              </w:rPr>
              <w:t xml:space="preserve"> 劳动力配置计划应</w:t>
            </w:r>
            <w:r>
              <w:rPr>
                <w:rFonts w:hint="eastAsia" w:ascii="宋体" w:hAnsi="宋体"/>
                <w:u w:val="single"/>
                <w:lang w:val="en-US" w:eastAsia="zh-CN"/>
              </w:rPr>
              <w:t>根据</w:t>
            </w:r>
            <w:r>
              <w:rPr>
                <w:rFonts w:hint="eastAsia" w:ascii="宋体" w:hAnsi="宋体"/>
                <w:u w:val="single"/>
              </w:rPr>
              <w:t>施工进度计划、工程项目工程量</w:t>
            </w:r>
            <w:r>
              <w:rPr>
                <w:rFonts w:hint="eastAsia" w:ascii="宋体" w:hAnsi="宋体"/>
                <w:u w:val="single"/>
                <w:lang w:eastAsia="zh-CN"/>
              </w:rPr>
              <w:t>，</w:t>
            </w:r>
            <w:r>
              <w:rPr>
                <w:rFonts w:hint="eastAsia" w:ascii="宋体" w:hAnsi="宋体"/>
                <w:u w:val="single"/>
              </w:rPr>
              <w:t>编制劳动力配置计划</w:t>
            </w:r>
            <w:r>
              <w:rPr>
                <w:rFonts w:hint="eastAsia" w:ascii="宋体" w:hAnsi="宋体"/>
                <w:u w:val="single"/>
                <w:lang w:eastAsia="zh-CN"/>
              </w:rPr>
              <w:t>，</w:t>
            </w:r>
            <w:r>
              <w:rPr>
                <w:rFonts w:hint="eastAsia" w:ascii="宋体" w:hAnsi="宋体"/>
                <w:u w:val="single"/>
              </w:rPr>
              <w:t xml:space="preserve">应细化到专业工种；物资配置计划应根据施工进度计划编制等 </w:t>
            </w:r>
            <w:r>
              <w:rPr>
                <w:rFonts w:hint="eastAsia" w:asciiTheme="minorEastAsia" w:hAnsiTheme="minorEastAsia" w:eastAsiaTheme="minorEastAsia" w:cstheme="minorEastAsia"/>
                <w:color w:val="auto"/>
                <w:highlight w:val="none"/>
                <w:u w:val="none"/>
              </w:rPr>
              <w:t>；</w:t>
            </w:r>
          </w:p>
          <w:p w14:paraId="47DB0511">
            <w:pPr>
              <w:snapToGrid w:val="0"/>
              <w:spacing w:line="400" w:lineRule="exact"/>
              <w:ind w:firstLine="420" w:firstLineChars="200"/>
              <w:rPr>
                <w:rFonts w:ascii="宋体" w:hAnsi="宋体"/>
                <w:kern w:val="0"/>
              </w:rPr>
            </w:pPr>
            <w:r>
              <w:rPr>
                <w:rFonts w:hint="eastAsia" w:ascii="宋体" w:hAnsi="宋体" w:eastAsia="宋体" w:cs="宋体"/>
                <w:color w:val="000000"/>
                <w:highlight w:val="none"/>
                <w:u w:val="none"/>
              </w:rPr>
              <w:t>优得</w:t>
            </w:r>
            <w:r>
              <w:rPr>
                <w:rFonts w:hint="eastAsia" w:ascii="宋体" w:hAnsi="宋体" w:eastAsia="宋体" w:cs="宋体"/>
                <w:color w:val="000000"/>
                <w:highlight w:val="none"/>
                <w:u w:val="none"/>
                <w:lang w:val="en-US" w:eastAsia="zh-CN"/>
              </w:rPr>
              <w:t>1.5</w:t>
            </w:r>
            <w:r>
              <w:rPr>
                <w:rFonts w:hint="eastAsia" w:ascii="宋体" w:hAnsi="宋体" w:eastAsia="宋体" w:cs="宋体"/>
                <w:color w:val="000000"/>
                <w:highlight w:val="none"/>
                <w:u w:val="none"/>
              </w:rPr>
              <w:t>分</w:t>
            </w:r>
            <w:r>
              <w:rPr>
                <w:rFonts w:hint="eastAsia" w:ascii="宋体" w:hAnsi="宋体" w:eastAsia="宋体" w:cs="宋体"/>
                <w:color w:val="000000"/>
                <w:highlight w:val="none"/>
                <w:u w:val="none"/>
                <w:lang w:eastAsia="zh-CN"/>
              </w:rPr>
              <w:t>（</w:t>
            </w:r>
            <w:r>
              <w:rPr>
                <w:rFonts w:hint="eastAsia" w:ascii="宋体" w:hAnsi="宋体" w:eastAsia="宋体" w:cs="宋体"/>
                <w:color w:val="000000"/>
                <w:highlight w:val="none"/>
                <w:u w:val="none"/>
                <w:lang w:val="en-US" w:eastAsia="zh-CN"/>
              </w:rPr>
              <w:t>不含</w:t>
            </w:r>
            <w:r>
              <w:rPr>
                <w:rFonts w:hint="eastAsia" w:ascii="宋体" w:hAnsi="宋体" w:eastAsia="宋体" w:cs="宋体"/>
                <w:color w:val="000000"/>
                <w:highlight w:val="none"/>
                <w:u w:val="none"/>
                <w:lang w:eastAsia="zh-CN"/>
              </w:rPr>
              <w:t>）</w:t>
            </w:r>
            <w:r>
              <w:rPr>
                <w:rFonts w:hint="eastAsia" w:ascii="宋体" w:hAnsi="宋体" w:eastAsia="宋体" w:cs="宋体"/>
                <w:color w:val="000000"/>
                <w:highlight w:val="none"/>
                <w:u w:val="none"/>
                <w:lang w:val="en-US" w:eastAsia="zh-CN"/>
              </w:rPr>
              <w:t>-2分</w:t>
            </w:r>
            <w:r>
              <w:rPr>
                <w:rFonts w:hint="eastAsia" w:ascii="宋体" w:hAnsi="宋体" w:eastAsia="宋体" w:cs="宋体"/>
                <w:color w:val="000000"/>
                <w:highlight w:val="none"/>
                <w:u w:val="none"/>
              </w:rPr>
              <w:t>，良得</w:t>
            </w:r>
            <w:r>
              <w:rPr>
                <w:rFonts w:hint="eastAsia" w:ascii="宋体" w:hAnsi="宋体" w:eastAsia="宋体" w:cs="宋体"/>
                <w:color w:val="000000"/>
                <w:highlight w:val="none"/>
                <w:u w:val="none"/>
                <w:lang w:val="en-US" w:eastAsia="zh-CN"/>
              </w:rPr>
              <w:t>1</w:t>
            </w:r>
            <w:r>
              <w:rPr>
                <w:rFonts w:hint="eastAsia" w:ascii="宋体" w:hAnsi="宋体" w:eastAsia="宋体" w:cs="宋体"/>
                <w:color w:val="000000"/>
                <w:highlight w:val="none"/>
                <w:u w:val="none"/>
              </w:rPr>
              <w:t>分</w:t>
            </w:r>
            <w:r>
              <w:rPr>
                <w:rFonts w:hint="eastAsia" w:ascii="宋体" w:hAnsi="宋体" w:eastAsia="宋体" w:cs="宋体"/>
                <w:color w:val="000000"/>
                <w:highlight w:val="none"/>
                <w:u w:val="none"/>
                <w:lang w:eastAsia="zh-CN"/>
              </w:rPr>
              <w:t>（</w:t>
            </w:r>
            <w:r>
              <w:rPr>
                <w:rFonts w:hint="eastAsia" w:ascii="宋体" w:hAnsi="宋体" w:eastAsia="宋体" w:cs="宋体"/>
                <w:color w:val="000000"/>
                <w:highlight w:val="none"/>
                <w:u w:val="none"/>
                <w:lang w:val="en-US" w:eastAsia="zh-CN"/>
              </w:rPr>
              <w:t>不含</w:t>
            </w:r>
            <w:r>
              <w:rPr>
                <w:rFonts w:hint="eastAsia" w:ascii="宋体" w:hAnsi="宋体" w:eastAsia="宋体" w:cs="宋体"/>
                <w:color w:val="000000"/>
                <w:highlight w:val="none"/>
                <w:u w:val="none"/>
                <w:lang w:eastAsia="zh-CN"/>
              </w:rPr>
              <w:t>）</w:t>
            </w:r>
            <w:r>
              <w:rPr>
                <w:rFonts w:hint="eastAsia" w:ascii="宋体" w:hAnsi="宋体" w:eastAsia="宋体" w:cs="宋体"/>
                <w:color w:val="000000"/>
                <w:highlight w:val="none"/>
                <w:u w:val="none"/>
                <w:lang w:val="en-US" w:eastAsia="zh-CN"/>
              </w:rPr>
              <w:t>-1.5分</w:t>
            </w:r>
            <w:r>
              <w:rPr>
                <w:rFonts w:hint="eastAsia" w:ascii="宋体" w:hAnsi="宋体" w:eastAsia="宋体" w:cs="宋体"/>
                <w:color w:val="000000"/>
                <w:highlight w:val="none"/>
                <w:u w:val="none"/>
              </w:rPr>
              <w:t>，一般得</w:t>
            </w:r>
            <w:r>
              <w:rPr>
                <w:rFonts w:hint="eastAsia" w:ascii="宋体" w:hAnsi="宋体" w:eastAsia="宋体" w:cs="宋体"/>
                <w:color w:val="000000"/>
                <w:highlight w:val="none"/>
                <w:u w:val="none"/>
                <w:lang w:val="en-US" w:eastAsia="zh-CN"/>
              </w:rPr>
              <w:t>0.5</w:t>
            </w:r>
            <w:r>
              <w:rPr>
                <w:rFonts w:hint="eastAsia" w:ascii="宋体" w:hAnsi="宋体" w:eastAsia="宋体" w:cs="宋体"/>
                <w:color w:val="000000"/>
                <w:highlight w:val="none"/>
                <w:u w:val="none"/>
              </w:rPr>
              <w:t>分</w:t>
            </w:r>
            <w:r>
              <w:rPr>
                <w:rFonts w:hint="eastAsia" w:ascii="宋体" w:hAnsi="宋体" w:eastAsia="宋体" w:cs="宋体"/>
                <w:color w:val="000000"/>
                <w:highlight w:val="none"/>
                <w:u w:val="none"/>
                <w:lang w:eastAsia="zh-CN"/>
              </w:rPr>
              <w:t>（</w:t>
            </w:r>
            <w:r>
              <w:rPr>
                <w:rFonts w:hint="eastAsia" w:ascii="宋体" w:hAnsi="宋体" w:eastAsia="宋体" w:cs="宋体"/>
                <w:color w:val="000000"/>
                <w:highlight w:val="none"/>
                <w:u w:val="none"/>
                <w:lang w:val="en-US" w:eastAsia="zh-CN"/>
              </w:rPr>
              <w:t>不含</w:t>
            </w:r>
            <w:r>
              <w:rPr>
                <w:rFonts w:hint="eastAsia" w:ascii="宋体" w:hAnsi="宋体" w:eastAsia="宋体" w:cs="宋体"/>
                <w:color w:val="000000"/>
                <w:highlight w:val="none"/>
                <w:u w:val="none"/>
                <w:lang w:eastAsia="zh-CN"/>
              </w:rPr>
              <w:t>）</w:t>
            </w:r>
            <w:r>
              <w:rPr>
                <w:rFonts w:hint="eastAsia" w:ascii="宋体" w:hAnsi="宋体" w:eastAsia="宋体" w:cs="宋体"/>
                <w:color w:val="000000"/>
                <w:highlight w:val="none"/>
                <w:u w:val="none"/>
                <w:lang w:val="en-US" w:eastAsia="zh-CN"/>
              </w:rPr>
              <w:t>-1分</w:t>
            </w:r>
            <w:r>
              <w:rPr>
                <w:rFonts w:hint="eastAsia" w:ascii="宋体" w:hAnsi="宋体" w:eastAsia="宋体" w:cs="宋体"/>
                <w:color w:val="000000"/>
                <w:highlight w:val="none"/>
                <w:u w:val="none"/>
              </w:rPr>
              <w:t>，差得</w:t>
            </w:r>
            <w:r>
              <w:rPr>
                <w:rFonts w:hint="eastAsia" w:ascii="宋体" w:hAnsi="宋体" w:eastAsia="宋体" w:cs="宋体"/>
                <w:color w:val="000000"/>
                <w:highlight w:val="none"/>
                <w:u w:val="none"/>
                <w:lang w:val="en-US" w:eastAsia="zh-CN"/>
              </w:rPr>
              <w:t>0-0.5</w:t>
            </w:r>
            <w:r>
              <w:rPr>
                <w:rFonts w:hint="eastAsia" w:ascii="宋体" w:hAnsi="宋体" w:eastAsia="宋体" w:cs="宋体"/>
                <w:color w:val="000000"/>
                <w:highlight w:val="none"/>
                <w:u w:val="none"/>
              </w:rPr>
              <w:t>分。</w:t>
            </w:r>
          </w:p>
        </w:tc>
      </w:tr>
      <w:tr w14:paraId="4BA026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14:paraId="0308C3AD">
            <w:pPr>
              <w:spacing w:line="400" w:lineRule="exact"/>
              <w:ind w:firstLine="0" w:firstLineChars="0"/>
              <w:jc w:val="center"/>
              <w:rPr>
                <w:rFonts w:hint="default" w:ascii="宋体" w:hAnsi="宋体" w:eastAsia="宋体"/>
                <w:kern w:val="0"/>
                <w:lang w:val="en-US" w:eastAsia="zh-CN"/>
              </w:rPr>
            </w:pPr>
            <w:r>
              <w:rPr>
                <w:rFonts w:hint="eastAsia" w:ascii="宋体" w:hAnsi="宋体"/>
                <w:kern w:val="0"/>
                <w:lang w:val="en-US" w:eastAsia="zh-CN"/>
              </w:rPr>
              <w:t>☑2.2.2（2）</w:t>
            </w:r>
          </w:p>
        </w:tc>
        <w:tc>
          <w:tcPr>
            <w:tcW w:w="1628" w:type="dxa"/>
            <w:vMerge w:val="restart"/>
            <w:tcBorders>
              <w:left w:val="single" w:color="auto" w:sz="4" w:space="0"/>
            </w:tcBorders>
            <w:vAlign w:val="center"/>
          </w:tcPr>
          <w:p w14:paraId="539E6F6F">
            <w:pPr>
              <w:spacing w:line="400" w:lineRule="exact"/>
              <w:ind w:firstLine="0" w:firstLineChars="0"/>
              <w:jc w:val="center"/>
              <w:rPr>
                <w:rFonts w:ascii="宋体" w:hAnsi="宋体"/>
                <w:kern w:val="0"/>
              </w:rPr>
            </w:pPr>
            <w:r>
              <w:rPr>
                <w:rFonts w:hint="eastAsia" w:ascii="宋体" w:hAnsi="宋体"/>
                <w:kern w:val="0"/>
                <w:lang w:val="en-US" w:eastAsia="zh-CN"/>
              </w:rPr>
              <w:t>商务评审</w:t>
            </w:r>
            <w:r>
              <w:rPr>
                <w:rFonts w:hint="eastAsia" w:ascii="宋体" w:hAnsi="宋体"/>
                <w:kern w:val="0"/>
              </w:rPr>
              <w:t>标准</w:t>
            </w:r>
          </w:p>
        </w:tc>
        <w:tc>
          <w:tcPr>
            <w:tcW w:w="2304" w:type="dxa"/>
            <w:gridSpan w:val="2"/>
            <w:vAlign w:val="center"/>
          </w:tcPr>
          <w:p w14:paraId="24BD9C96">
            <w:pPr>
              <w:snapToGrid w:val="0"/>
              <w:spacing w:line="400" w:lineRule="exact"/>
              <w:jc w:val="left"/>
              <w:rPr>
                <w:rFonts w:hint="eastAsia" w:ascii="宋体" w:hAnsi="宋体" w:cs="宋体"/>
                <w:kern w:val="0"/>
              </w:rPr>
            </w:pPr>
            <w:r>
              <w:rPr>
                <w:rFonts w:hint="eastAsia" w:ascii="宋体" w:hAnsi="宋体" w:cs="宋体"/>
                <w:szCs w:val="21"/>
                <w:lang w:eastAsia="zh-CN"/>
              </w:rPr>
              <w:t>☑</w:t>
            </w:r>
            <w:r>
              <w:rPr>
                <w:rFonts w:hint="eastAsia" w:ascii="宋体" w:hAnsi="宋体" w:cs="宋体"/>
                <w:color w:val="auto"/>
                <w:kern w:val="0"/>
                <w:szCs w:val="21"/>
                <w:highlight w:val="none"/>
                <w:lang w:val="en-US" w:eastAsia="zh-CN" w:bidi="ar"/>
              </w:rPr>
              <w:t>投标人</w:t>
            </w:r>
            <w:r>
              <w:rPr>
                <w:rFonts w:hint="eastAsia" w:ascii="宋体" w:hAnsi="宋体" w:cs="宋体"/>
                <w:color w:val="auto"/>
                <w:kern w:val="0"/>
                <w:szCs w:val="21"/>
                <w:highlight w:val="none"/>
                <w:lang w:bidi="ar"/>
              </w:rPr>
              <w:t>业绩</w:t>
            </w:r>
          </w:p>
        </w:tc>
        <w:tc>
          <w:tcPr>
            <w:tcW w:w="4688" w:type="dxa"/>
            <w:gridSpan w:val="3"/>
            <w:vAlign w:val="center"/>
          </w:tcPr>
          <w:p w14:paraId="21F8E17F">
            <w:pPr>
              <w:autoSpaceDE w:val="0"/>
              <w:autoSpaceDN w:val="0"/>
              <w:adjustRightInd w:val="0"/>
              <w:snapToGrid w:val="0"/>
              <w:spacing w:line="400" w:lineRule="exact"/>
              <w:ind w:firstLine="415" w:firstLineChars="198"/>
              <w:rPr>
                <w:rFonts w:hint="eastAsia" w:ascii="宋体" w:hAnsi="宋体"/>
                <w:color w:val="auto"/>
                <w:szCs w:val="21"/>
                <w:highlight w:val="none"/>
              </w:rPr>
            </w:pPr>
            <w:r>
              <w:rPr>
                <w:rFonts w:hint="eastAsia" w:asciiTheme="minorEastAsia" w:hAnsiTheme="minorEastAsia" w:eastAsiaTheme="minorEastAsia" w:cstheme="minorEastAsia"/>
                <w:kern w:val="0"/>
                <w:sz w:val="21"/>
                <w:szCs w:val="21"/>
                <w:highlight w:val="none"/>
                <w:lang w:eastAsia="zh-CN"/>
              </w:rPr>
              <w:t>在通过资格审查的基础上（通过资格审查的业绩不参与商务评审</w:t>
            </w:r>
            <w:r>
              <w:rPr>
                <w:rFonts w:hint="eastAsia" w:asciiTheme="minorEastAsia" w:hAnsiTheme="minorEastAsia" w:eastAsiaTheme="minorEastAsia" w:cstheme="minorEastAsia"/>
                <w:color w:val="auto"/>
                <w:kern w:val="0"/>
                <w:sz w:val="21"/>
                <w:szCs w:val="21"/>
                <w:highlight w:val="none"/>
                <w:lang w:eastAsia="zh-CN"/>
              </w:rPr>
              <w:t>），投标人</w:t>
            </w:r>
            <w:r>
              <w:rPr>
                <w:rFonts w:hint="eastAsia" w:asciiTheme="minorEastAsia" w:hAnsiTheme="minorEastAsia" w:eastAsiaTheme="minorEastAsia" w:cstheme="minorEastAsia"/>
                <w:snapToGrid/>
                <w:color w:val="auto"/>
                <w:sz w:val="21"/>
                <w:szCs w:val="21"/>
                <w:highlight w:val="none"/>
                <w:u w:val="none"/>
                <w:lang w:eastAsia="zh-CN"/>
              </w:rPr>
              <w:t>自</w:t>
            </w:r>
            <w:r>
              <w:rPr>
                <w:rFonts w:hint="eastAsia" w:asciiTheme="minorEastAsia" w:hAnsiTheme="minorEastAsia" w:eastAsiaTheme="minorEastAsia" w:cstheme="minorEastAsia"/>
                <w:snapToGrid/>
                <w:color w:val="auto"/>
                <w:sz w:val="21"/>
                <w:szCs w:val="21"/>
                <w:highlight w:val="none"/>
                <w:u w:val="single"/>
                <w:lang w:eastAsia="zh-CN"/>
              </w:rPr>
              <w:t xml:space="preserve"> </w:t>
            </w:r>
            <w:r>
              <w:rPr>
                <w:rFonts w:hint="eastAsia" w:asciiTheme="minorEastAsia" w:hAnsiTheme="minorEastAsia" w:eastAsiaTheme="minorEastAsia" w:cstheme="minorEastAsia"/>
                <w:snapToGrid/>
                <w:color w:val="auto"/>
                <w:sz w:val="21"/>
                <w:szCs w:val="21"/>
                <w:highlight w:val="none"/>
                <w:u w:val="single"/>
                <w:lang w:val="en-US" w:eastAsia="zh-CN"/>
              </w:rPr>
              <w:t>2023</w:t>
            </w:r>
            <w:r>
              <w:rPr>
                <w:rFonts w:hint="eastAsia" w:asciiTheme="minorEastAsia" w:hAnsiTheme="minorEastAsia" w:eastAsiaTheme="minorEastAsia" w:cstheme="minorEastAsia"/>
                <w:snapToGrid/>
                <w:color w:val="auto"/>
                <w:sz w:val="21"/>
                <w:szCs w:val="21"/>
                <w:highlight w:val="none"/>
                <w:u w:val="single"/>
                <w:lang w:eastAsia="zh-CN"/>
              </w:rPr>
              <w:t xml:space="preserve"> </w:t>
            </w:r>
            <w:r>
              <w:rPr>
                <w:rFonts w:hint="eastAsia" w:asciiTheme="minorEastAsia" w:hAnsiTheme="minorEastAsia" w:eastAsiaTheme="minorEastAsia" w:cstheme="minorEastAsia"/>
                <w:snapToGrid/>
                <w:color w:val="auto"/>
                <w:sz w:val="21"/>
                <w:szCs w:val="21"/>
                <w:highlight w:val="none"/>
                <w:u w:val="none"/>
                <w:lang w:eastAsia="zh-CN"/>
              </w:rPr>
              <w:t>年1月1日起</w:t>
            </w:r>
            <w:r>
              <w:rPr>
                <w:rFonts w:hint="eastAsia" w:ascii="宋体" w:hAnsi="宋体"/>
                <w:color w:val="auto"/>
                <w:szCs w:val="21"/>
                <w:highlight w:val="none"/>
              </w:rPr>
              <w:t>至投标截止日止（以竣工时间为准）</w:t>
            </w:r>
            <w:r>
              <w:rPr>
                <w:rFonts w:hint="eastAsia" w:ascii="宋体" w:hAnsi="宋体"/>
                <w:color w:val="auto"/>
                <w:szCs w:val="21"/>
                <w:highlight w:val="none"/>
                <w:lang w:eastAsia="zh-CN"/>
              </w:rPr>
              <w:t>，每增加</w:t>
            </w:r>
            <w:r>
              <w:rPr>
                <w:rFonts w:hint="eastAsia" w:ascii="宋体" w:hAnsi="宋体"/>
                <w:color w:val="auto"/>
                <w:szCs w:val="21"/>
                <w:highlight w:val="none"/>
              </w:rPr>
              <w:t>1个</w:t>
            </w:r>
            <w:r>
              <w:rPr>
                <w:rFonts w:hint="eastAsia" w:ascii="宋体" w:hAnsi="宋体"/>
                <w:color w:val="auto"/>
                <w:szCs w:val="21"/>
                <w:highlight w:val="none"/>
                <w:u w:val="single"/>
                <w:lang w:eastAsia="zh-CN"/>
              </w:rPr>
              <w:t xml:space="preserve"> </w:t>
            </w:r>
            <w:r>
              <w:rPr>
                <w:rFonts w:hint="eastAsia" w:ascii="宋体" w:hAnsi="宋体"/>
                <w:color w:val="auto"/>
                <w:szCs w:val="21"/>
                <w:highlight w:val="none"/>
                <w:u w:val="single"/>
                <w:lang w:val="en-US" w:eastAsia="zh-CN"/>
              </w:rPr>
              <w:t xml:space="preserve">单项合同金额达到150万元及以上的全国重点文物保护单位或世界文化遗产的文物保护工程 </w:t>
            </w:r>
            <w:r>
              <w:rPr>
                <w:rFonts w:hint="eastAsia" w:ascii="宋体" w:hAnsi="宋体"/>
                <w:color w:val="auto"/>
                <w:szCs w:val="21"/>
                <w:highlight w:val="none"/>
                <w:u w:val="none"/>
                <w:lang w:val="en-US" w:eastAsia="zh-CN"/>
              </w:rPr>
              <w:t>施工</w:t>
            </w:r>
            <w:r>
              <w:rPr>
                <w:rFonts w:hint="eastAsia" w:ascii="宋体" w:hAnsi="宋体"/>
                <w:color w:val="auto"/>
                <w:szCs w:val="21"/>
                <w:highlight w:val="none"/>
              </w:rPr>
              <w:t>业绩</w:t>
            </w:r>
            <w:r>
              <w:rPr>
                <w:rFonts w:hint="eastAsia" w:ascii="宋体" w:hAnsi="宋体"/>
                <w:color w:val="auto"/>
                <w:szCs w:val="21"/>
                <w:highlight w:val="none"/>
                <w:lang w:val="en-US" w:eastAsia="zh-CN"/>
              </w:rPr>
              <w:t>得</w:t>
            </w:r>
            <w:r>
              <w:rPr>
                <w:rFonts w:hint="eastAsia" w:ascii="宋体" w:hAnsi="宋体"/>
                <w:color w:val="auto"/>
                <w:szCs w:val="21"/>
                <w:highlight w:val="none"/>
                <w:u w:val="single"/>
                <w:lang w:val="en-US" w:eastAsia="zh-CN"/>
              </w:rPr>
              <w:t xml:space="preserve"> 3 </w:t>
            </w:r>
            <w:r>
              <w:rPr>
                <w:rFonts w:hint="eastAsia" w:ascii="宋体" w:hAnsi="宋体"/>
                <w:color w:val="auto"/>
                <w:szCs w:val="21"/>
                <w:highlight w:val="none"/>
                <w:lang w:val="en-US" w:eastAsia="zh-CN"/>
              </w:rPr>
              <w:t>分，本项最多得</w:t>
            </w:r>
            <w:r>
              <w:rPr>
                <w:rFonts w:hint="eastAsia" w:ascii="宋体" w:hAnsi="宋体"/>
                <w:color w:val="auto"/>
                <w:szCs w:val="21"/>
                <w:highlight w:val="none"/>
                <w:u w:val="single"/>
                <w:lang w:val="en-US" w:eastAsia="zh-CN"/>
              </w:rPr>
              <w:t xml:space="preserve"> 9 </w:t>
            </w:r>
            <w:r>
              <w:rPr>
                <w:rFonts w:hint="eastAsia" w:ascii="宋体" w:hAnsi="宋体"/>
                <w:color w:val="auto"/>
                <w:szCs w:val="21"/>
                <w:highlight w:val="none"/>
                <w:lang w:val="en-US" w:eastAsia="zh-CN"/>
              </w:rPr>
              <w:t>分</w:t>
            </w:r>
            <w:r>
              <w:rPr>
                <w:rFonts w:hint="eastAsia" w:ascii="宋体" w:hAnsi="宋体"/>
                <w:color w:val="auto"/>
                <w:szCs w:val="21"/>
                <w:highlight w:val="none"/>
              </w:rPr>
              <w:t>。</w:t>
            </w:r>
          </w:p>
          <w:p w14:paraId="7FE93533">
            <w:pPr>
              <w:autoSpaceDE w:val="0"/>
              <w:autoSpaceDN w:val="0"/>
              <w:adjustRightInd w:val="0"/>
              <w:snapToGrid w:val="0"/>
              <w:spacing w:line="400" w:lineRule="exact"/>
              <w:ind w:firstLine="415" w:firstLineChars="198"/>
              <w:rPr>
                <w:highlight w:val="none"/>
              </w:rPr>
            </w:pPr>
            <w:r>
              <w:rPr>
                <w:rFonts w:hint="eastAsia" w:ascii="宋体" w:hAnsi="宋体"/>
                <w:color w:val="auto"/>
                <w:szCs w:val="21"/>
                <w:highlight w:val="none"/>
              </w:rPr>
              <w:t>提供</w:t>
            </w:r>
            <w:r>
              <w:rPr>
                <w:rFonts w:hint="eastAsia" w:ascii="宋体" w:hAnsi="宋体"/>
                <w:color w:val="auto"/>
                <w:szCs w:val="21"/>
                <w:highlight w:val="none"/>
                <w:lang w:eastAsia="zh-CN"/>
              </w:rPr>
              <w:t>：</w:t>
            </w:r>
            <w:r>
              <w:rPr>
                <w:rFonts w:hint="eastAsia" w:ascii="宋体" w:hAnsi="宋体"/>
                <w:color w:val="auto"/>
                <w:szCs w:val="21"/>
                <w:highlight w:val="none"/>
              </w:rPr>
              <w:t>该业绩的合同协议书和工程竣工</w:t>
            </w:r>
            <w:r>
              <w:rPr>
                <w:rFonts w:hint="eastAsia" w:ascii="宋体" w:hAnsi="宋体"/>
                <w:szCs w:val="21"/>
                <w:highlight w:val="none"/>
              </w:rPr>
              <w:t>验收合格的证明材料。若</w:t>
            </w:r>
            <w:r>
              <w:rPr>
                <w:rFonts w:hint="eastAsia" w:ascii="宋体" w:hAnsi="宋体"/>
                <w:szCs w:val="21"/>
                <w:highlight w:val="none"/>
                <w:lang w:val="en-US" w:eastAsia="zh-CN"/>
              </w:rPr>
              <w:t>提供的业绩证明材料不能</w:t>
            </w:r>
            <w:r>
              <w:rPr>
                <w:rFonts w:hint="eastAsia" w:ascii="宋体" w:hAnsi="宋体"/>
                <w:szCs w:val="21"/>
                <w:highlight w:val="none"/>
              </w:rPr>
              <w:t>体现</w:t>
            </w:r>
            <w:r>
              <w:rPr>
                <w:rFonts w:hint="eastAsia" w:ascii="宋体" w:hAnsi="宋体"/>
                <w:szCs w:val="21"/>
                <w:highlight w:val="none"/>
                <w:lang w:val="en-US" w:eastAsia="zh-CN"/>
              </w:rPr>
              <w:t>上述业绩指标</w:t>
            </w:r>
            <w:r>
              <w:rPr>
                <w:rFonts w:hint="eastAsia" w:ascii="宋体" w:hAnsi="宋体"/>
                <w:szCs w:val="21"/>
                <w:highlight w:val="none"/>
              </w:rPr>
              <w:t>的，应补充提供</w:t>
            </w:r>
            <w:r>
              <w:rPr>
                <w:rFonts w:hint="eastAsia" w:ascii="宋体" w:hAnsi="宋体"/>
                <w:szCs w:val="21"/>
                <w:highlight w:val="none"/>
                <w:u w:val="none"/>
                <w:lang w:eastAsia="zh-CN"/>
              </w:rPr>
              <w:t>业主证明</w:t>
            </w:r>
            <w:r>
              <w:rPr>
                <w:rFonts w:hint="eastAsia" w:ascii="宋体" w:hAnsi="宋体"/>
                <w:szCs w:val="21"/>
                <w:highlight w:val="none"/>
                <w:u w:val="none"/>
                <w:lang w:val="en-US" w:eastAsia="zh-CN"/>
              </w:rPr>
              <w:t>。</w:t>
            </w:r>
          </w:p>
          <w:p w14:paraId="306A3A45">
            <w:pPr>
              <w:autoSpaceDE w:val="0"/>
              <w:autoSpaceDN w:val="0"/>
              <w:adjustRightInd w:val="0"/>
              <w:snapToGrid w:val="0"/>
              <w:spacing w:line="400" w:lineRule="exact"/>
              <w:ind w:firstLine="415" w:firstLineChars="198"/>
              <w:rPr>
                <w:rFonts w:hint="eastAsia" w:ascii="宋体" w:hAnsi="宋体"/>
                <w:szCs w:val="21"/>
                <w:highlight w:val="none"/>
              </w:rPr>
            </w:pPr>
            <w:r>
              <w:rPr>
                <w:rFonts w:hint="eastAsia" w:ascii="宋体" w:hAnsi="宋体"/>
                <w:szCs w:val="21"/>
                <w:highlight w:val="none"/>
              </w:rPr>
              <w:t>注：</w:t>
            </w: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lang w:eastAsia="zh-CN"/>
              </w:rPr>
              <w:t>）</w:t>
            </w:r>
            <w:r>
              <w:rPr>
                <w:rFonts w:hint="eastAsia" w:ascii="宋体" w:hAnsi="宋体"/>
                <w:szCs w:val="21"/>
                <w:highlight w:val="none"/>
              </w:rPr>
              <w:t>当上述</w:t>
            </w:r>
            <w:r>
              <w:rPr>
                <w:rFonts w:hint="eastAsia" w:ascii="宋体" w:hAnsi="宋体"/>
                <w:szCs w:val="21"/>
                <w:highlight w:val="none"/>
                <w:lang w:val="en-US" w:eastAsia="zh-CN"/>
              </w:rPr>
              <w:t>业绩证明材料</w:t>
            </w:r>
            <w:r>
              <w:rPr>
                <w:rFonts w:hint="eastAsia" w:ascii="宋体" w:hAnsi="宋体"/>
                <w:szCs w:val="21"/>
                <w:highlight w:val="none"/>
              </w:rPr>
              <w:t>中针对同一指标存在不一致时，以工程竣工验收合格的证明材料为准。</w:t>
            </w:r>
          </w:p>
          <w:p w14:paraId="08371FD2">
            <w:pPr>
              <w:autoSpaceDE w:val="0"/>
              <w:autoSpaceDN w:val="0"/>
              <w:adjustRightInd w:val="0"/>
              <w:snapToGrid w:val="0"/>
              <w:spacing w:line="400" w:lineRule="exact"/>
              <w:ind w:firstLine="415" w:firstLineChars="198"/>
              <w:rPr>
                <w:rFonts w:hint="default" w:ascii="宋体" w:hAnsi="宋体" w:eastAsia="宋体"/>
                <w:u w:val="single"/>
                <w:lang w:val="en-US" w:eastAsia="zh-CN"/>
              </w:rPr>
            </w:pPr>
            <w:r>
              <w:rPr>
                <w:rFonts w:hint="eastAsia" w:ascii="宋体" w:hAnsi="宋体"/>
                <w:szCs w:val="21"/>
                <w:highlight w:val="none"/>
              </w:rPr>
              <w:t>（2）投标人提供的业绩为联合体业绩的，其在该业绩中的工作分工应与本项目承担的工作一致</w:t>
            </w:r>
            <w:r>
              <w:rPr>
                <w:rFonts w:hint="eastAsia" w:ascii="宋体" w:hAnsi="宋体"/>
                <w:szCs w:val="21"/>
                <w:highlight w:val="none"/>
                <w:lang w:eastAsia="zh-CN"/>
              </w:rPr>
              <w:t>。</w:t>
            </w:r>
          </w:p>
        </w:tc>
      </w:tr>
      <w:tr w14:paraId="45A0ED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79E46343">
            <w:pPr>
              <w:spacing w:line="400" w:lineRule="exact"/>
              <w:ind w:firstLine="0" w:firstLineChars="0"/>
              <w:jc w:val="center"/>
              <w:rPr>
                <w:rFonts w:hint="eastAsia" w:ascii="宋体" w:hAnsi="宋体"/>
                <w:kern w:val="0"/>
                <w:lang w:val="en-US" w:eastAsia="zh-CN"/>
              </w:rPr>
            </w:pPr>
          </w:p>
        </w:tc>
        <w:tc>
          <w:tcPr>
            <w:tcW w:w="1628" w:type="dxa"/>
            <w:vMerge w:val="continue"/>
            <w:tcBorders>
              <w:left w:val="single" w:color="auto" w:sz="4" w:space="0"/>
            </w:tcBorders>
            <w:vAlign w:val="center"/>
          </w:tcPr>
          <w:p w14:paraId="2296B317">
            <w:pPr>
              <w:spacing w:line="400" w:lineRule="exact"/>
              <w:ind w:firstLine="0" w:firstLineChars="0"/>
              <w:jc w:val="center"/>
              <w:rPr>
                <w:rFonts w:hint="eastAsia" w:ascii="宋体" w:hAnsi="宋体"/>
                <w:kern w:val="0"/>
                <w:lang w:val="en-US" w:eastAsia="zh-CN"/>
              </w:rPr>
            </w:pPr>
          </w:p>
        </w:tc>
        <w:tc>
          <w:tcPr>
            <w:tcW w:w="2304" w:type="dxa"/>
            <w:gridSpan w:val="2"/>
            <w:vAlign w:val="center"/>
          </w:tcPr>
          <w:p w14:paraId="1B2B524F">
            <w:pPr>
              <w:snapToGrid w:val="0"/>
              <w:spacing w:line="400" w:lineRule="exact"/>
              <w:jc w:val="both"/>
              <w:rPr>
                <w:rFonts w:hint="eastAsia" w:ascii="宋体" w:hAnsi="宋体" w:cs="宋体"/>
                <w:kern w:val="0"/>
                <w:lang w:val="en-US" w:eastAsia="zh-CN"/>
              </w:rPr>
            </w:pPr>
            <w:r>
              <w:rPr>
                <w:rFonts w:hint="eastAsia" w:ascii="宋体" w:hAnsi="宋体" w:cs="宋体"/>
                <w:szCs w:val="21"/>
                <w:lang w:eastAsia="zh-CN"/>
              </w:rPr>
              <w:t>☑</w:t>
            </w:r>
            <w:r>
              <w:rPr>
                <w:rFonts w:hint="eastAsia" w:ascii="宋体" w:hAnsi="宋体" w:cs="宋体"/>
                <w:kern w:val="0"/>
              </w:rPr>
              <w:t>人员职称（或执业）证书</w:t>
            </w:r>
          </w:p>
        </w:tc>
        <w:tc>
          <w:tcPr>
            <w:tcW w:w="4688" w:type="dxa"/>
            <w:gridSpan w:val="3"/>
            <w:vAlign w:val="center"/>
          </w:tcPr>
          <w:p w14:paraId="1AA7B946">
            <w:pPr>
              <w:snapToGrid w:val="0"/>
              <w:spacing w:line="400" w:lineRule="exact"/>
              <w:ind w:firstLine="420" w:firstLineChars="200"/>
              <w:jc w:val="both"/>
              <w:rPr>
                <w:rFonts w:hint="default" w:ascii="宋体" w:hAnsi="宋体"/>
                <w:color w:val="auto"/>
                <w:highlight w:val="none"/>
                <w:u w:val="none"/>
                <w:lang w:val="en-US" w:eastAsia="zh-CN"/>
              </w:rPr>
            </w:pPr>
            <w:r>
              <w:rPr>
                <w:rFonts w:hint="eastAsia" w:ascii="宋体" w:hAnsi="宋体"/>
                <w:color w:val="auto"/>
                <w:highlight w:val="none"/>
                <w:u w:val="none"/>
                <w:lang w:val="en-US" w:eastAsia="zh-CN"/>
              </w:rPr>
              <w:t>投标人拟派下列人员中，每具有1个</w:t>
            </w:r>
            <w:r>
              <w:rPr>
                <w:rFonts w:hint="eastAsia" w:ascii="宋体" w:hAnsi="宋体" w:cs="宋体"/>
                <w:kern w:val="0"/>
              </w:rPr>
              <w:t>职称（或执业）</w:t>
            </w:r>
            <w:r>
              <w:rPr>
                <w:rFonts w:hint="eastAsia" w:ascii="宋体" w:hAnsi="宋体" w:cs="宋体"/>
                <w:color w:val="auto"/>
                <w:kern w:val="0"/>
              </w:rPr>
              <w:t>证书</w:t>
            </w:r>
            <w:r>
              <w:rPr>
                <w:rFonts w:hint="eastAsia" w:ascii="宋体" w:hAnsi="宋体"/>
                <w:color w:val="auto"/>
                <w:highlight w:val="none"/>
                <w:u w:val="none"/>
                <w:lang w:val="en-US" w:eastAsia="zh-CN"/>
              </w:rPr>
              <w:t>，得</w:t>
            </w:r>
            <w:r>
              <w:rPr>
                <w:rFonts w:hint="eastAsia" w:ascii="宋体" w:hAnsi="宋体"/>
                <w:color w:val="auto"/>
                <w:highlight w:val="none"/>
                <w:u w:val="single"/>
                <w:lang w:val="en-US" w:eastAsia="zh-CN"/>
              </w:rPr>
              <w:t xml:space="preserve"> 2 </w:t>
            </w:r>
            <w:r>
              <w:rPr>
                <w:rFonts w:hint="eastAsia" w:ascii="宋体" w:hAnsi="宋体"/>
                <w:color w:val="auto"/>
                <w:highlight w:val="none"/>
                <w:u w:val="none"/>
                <w:lang w:val="en-US" w:eastAsia="zh-CN"/>
              </w:rPr>
              <w:t>分</w:t>
            </w:r>
            <w:r>
              <w:rPr>
                <w:rFonts w:hint="eastAsia" w:ascii="宋体" w:hAnsi="宋体"/>
                <w:color w:val="auto"/>
                <w:highlight w:val="none"/>
              </w:rPr>
              <w:t>，</w:t>
            </w:r>
            <w:r>
              <w:rPr>
                <w:rFonts w:hint="eastAsia" w:ascii="宋体" w:hAnsi="宋体"/>
                <w:color w:val="auto"/>
                <w:highlight w:val="none"/>
                <w:lang w:val="en-US" w:eastAsia="zh-CN"/>
              </w:rPr>
              <w:t>本项</w:t>
            </w:r>
            <w:r>
              <w:rPr>
                <w:rFonts w:hint="eastAsia" w:ascii="宋体" w:hAnsi="宋体"/>
                <w:color w:val="auto"/>
                <w:highlight w:val="none"/>
              </w:rPr>
              <w:t>最多得</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6</w:t>
            </w:r>
            <w:r>
              <w:rPr>
                <w:rFonts w:hint="eastAsia" w:ascii="宋体" w:hAnsi="宋体"/>
                <w:color w:val="auto"/>
                <w:highlight w:val="none"/>
                <w:u w:val="single"/>
              </w:rPr>
              <w:t xml:space="preserve"> </w:t>
            </w:r>
            <w:r>
              <w:rPr>
                <w:rFonts w:hint="eastAsia" w:ascii="宋体" w:hAnsi="宋体"/>
                <w:color w:val="auto"/>
                <w:highlight w:val="none"/>
              </w:rPr>
              <w:t>分</w:t>
            </w:r>
            <w:r>
              <w:rPr>
                <w:rFonts w:hint="eastAsia" w:ascii="宋体" w:hAnsi="宋体"/>
                <w:color w:val="auto"/>
                <w:highlight w:val="none"/>
                <w:u w:val="none"/>
                <w:lang w:val="en-US" w:eastAsia="zh-CN"/>
              </w:rPr>
              <w:t>：</w:t>
            </w:r>
          </w:p>
          <w:p w14:paraId="63F6A678">
            <w:pPr>
              <w:snapToGrid w:val="0"/>
              <w:spacing w:line="400" w:lineRule="exact"/>
              <w:ind w:firstLine="420" w:firstLineChars="200"/>
              <w:jc w:val="both"/>
              <w:rPr>
                <w:rFonts w:hint="eastAsia" w:ascii="宋体" w:hAnsi="宋体"/>
                <w:color w:val="auto"/>
                <w:highlight w:val="none"/>
                <w:u w:val="single"/>
                <w:lang w:val="en-US" w:eastAsia="zh-CN"/>
              </w:rPr>
            </w:pPr>
            <w:r>
              <w:rPr>
                <w:rFonts w:hint="eastAsia" w:ascii="宋体" w:hAnsi="宋体"/>
                <w:color w:val="auto"/>
                <w:highlight w:val="none"/>
                <w:u w:val="none"/>
                <w:lang w:val="en-US" w:eastAsia="zh-CN"/>
              </w:rPr>
              <w:t>☑项目经理：</w:t>
            </w:r>
            <w:r>
              <w:rPr>
                <w:rFonts w:hint="eastAsia" w:ascii="宋体" w:hAnsi="宋体"/>
                <w:color w:val="auto"/>
                <w:highlight w:val="none"/>
                <w:u w:val="single"/>
                <w:lang w:val="en-US" w:eastAsia="zh-CN"/>
              </w:rPr>
              <w:t xml:space="preserve"> 投标人拟派的项目经理同时具有</w:t>
            </w:r>
            <w:r>
              <w:rPr>
                <w:rFonts w:hint="eastAsia" w:ascii="宋体" w:hAnsi="宋体" w:cs="宋体"/>
                <w:color w:val="auto"/>
                <w:szCs w:val="21"/>
                <w:u w:val="single"/>
                <w:lang w:val="en-US" w:eastAsia="zh-CN"/>
              </w:rPr>
              <w:t xml:space="preserve">古建筑和石窟寺及石刻文物保护工程责任工程师执业资格 </w:t>
            </w:r>
            <w:r>
              <w:rPr>
                <w:rFonts w:hint="eastAsia" w:ascii="宋体" w:hAnsi="宋体"/>
                <w:color w:val="auto"/>
                <w:highlight w:val="none"/>
                <w:u w:val="single"/>
                <w:lang w:val="en-US" w:eastAsia="zh-CN"/>
              </w:rPr>
              <w:t xml:space="preserve">，得2分 </w:t>
            </w:r>
            <w:r>
              <w:rPr>
                <w:rFonts w:hint="eastAsia" w:ascii="宋体" w:hAnsi="宋体"/>
                <w:color w:val="auto"/>
                <w:highlight w:val="none"/>
                <w:u w:val="none"/>
                <w:lang w:val="en-US" w:eastAsia="zh-CN"/>
              </w:rPr>
              <w:t>。</w:t>
            </w:r>
          </w:p>
          <w:p w14:paraId="1F1880E0">
            <w:pPr>
              <w:snapToGrid w:val="0"/>
              <w:spacing w:after="31" w:afterLines="10" w:line="400" w:lineRule="exact"/>
              <w:ind w:firstLine="420" w:firstLineChars="200"/>
              <w:rPr>
                <w:rFonts w:hint="eastAsia" w:ascii="宋体" w:hAnsi="宋体"/>
                <w:color w:val="auto"/>
                <w:kern w:val="0"/>
                <w:szCs w:val="21"/>
              </w:rPr>
            </w:pPr>
            <w:r>
              <w:rPr>
                <w:rFonts w:hint="eastAsia" w:ascii="宋体" w:hAnsi="宋体"/>
                <w:color w:val="auto"/>
                <w:highlight w:val="none"/>
                <w:u w:val="none"/>
                <w:lang w:val="en-US" w:eastAsia="zh-CN"/>
              </w:rPr>
              <w:t>☑其他拟派人员：</w:t>
            </w:r>
            <w:r>
              <w:rPr>
                <w:rFonts w:hint="eastAsia" w:ascii="宋体" w:hAnsi="宋体"/>
                <w:color w:val="auto"/>
                <w:highlight w:val="none"/>
                <w:u w:val="single"/>
                <w:lang w:val="en-US" w:eastAsia="zh-CN"/>
              </w:rPr>
              <w:t xml:space="preserve"> 投标人拟派的其他人员具有文物保护工程古建筑责任工程师执业资格证，得2分，同时具有工程类正高级职称证书的，再得2分 </w:t>
            </w:r>
            <w:r>
              <w:rPr>
                <w:rFonts w:hint="eastAsia" w:ascii="宋体" w:hAnsi="宋体"/>
                <w:color w:val="auto"/>
                <w:highlight w:val="none"/>
                <w:u w:val="none"/>
                <w:lang w:val="en-US" w:eastAsia="zh-CN"/>
              </w:rPr>
              <w:t>。</w:t>
            </w:r>
          </w:p>
          <w:p w14:paraId="7FABAB81">
            <w:pPr>
              <w:snapToGrid w:val="0"/>
              <w:spacing w:after="31" w:afterLines="10" w:line="400" w:lineRule="exact"/>
              <w:ind w:firstLine="420" w:firstLineChars="200"/>
              <w:rPr>
                <w:rFonts w:hint="eastAsia" w:ascii="宋体" w:hAnsi="宋体"/>
                <w:i/>
                <w:iCs/>
                <w:color w:val="auto"/>
                <w:highlight w:val="none"/>
                <w:u w:val="none"/>
                <w:lang w:val="en-US" w:eastAsia="zh-CN"/>
              </w:rPr>
            </w:pPr>
            <w:r>
              <w:rPr>
                <w:rFonts w:hint="eastAsia" w:ascii="宋体" w:hAnsi="宋体"/>
                <w:color w:val="auto"/>
                <w:kern w:val="0"/>
                <w:szCs w:val="21"/>
              </w:rPr>
              <w:t>提供</w:t>
            </w:r>
            <w:r>
              <w:rPr>
                <w:rFonts w:hint="eastAsia" w:ascii="宋体" w:hAnsi="宋体"/>
                <w:color w:val="auto"/>
                <w:kern w:val="0"/>
                <w:szCs w:val="21"/>
                <w:lang w:eastAsia="zh-CN"/>
              </w:rPr>
              <w:t>：</w:t>
            </w:r>
            <w:r>
              <w:rPr>
                <w:rFonts w:hint="eastAsia" w:ascii="宋体" w:hAnsi="宋体"/>
                <w:color w:val="auto"/>
                <w:kern w:val="0"/>
                <w:szCs w:val="21"/>
                <w:lang w:val="en-US" w:eastAsia="zh-CN"/>
              </w:rPr>
              <w:t>拟派人员</w:t>
            </w:r>
            <w:r>
              <w:rPr>
                <w:rFonts w:hint="eastAsia" w:ascii="宋体" w:hAnsi="宋体"/>
                <w:color w:val="auto"/>
                <w:kern w:val="0"/>
                <w:szCs w:val="21"/>
              </w:rPr>
              <w:t>身份证、职称（或执业）证书、投标人为其缴纳的养老保险证明</w:t>
            </w:r>
            <w:r>
              <w:rPr>
                <w:rFonts w:hint="eastAsia" w:ascii="宋体" w:hAnsi="宋体"/>
                <w:kern w:val="0"/>
                <w:szCs w:val="21"/>
              </w:rPr>
              <w:t>材料</w:t>
            </w:r>
            <w:r>
              <w:rPr>
                <w:rFonts w:hint="eastAsia" w:ascii="宋体" w:hAnsi="宋体"/>
                <w:kern w:val="0"/>
                <w:szCs w:val="21"/>
                <w:lang w:eastAsia="zh-CN"/>
              </w:rPr>
              <w:t>（</w:t>
            </w:r>
            <w:r>
              <w:rPr>
                <w:rFonts w:hint="eastAsia" w:ascii="宋体" w:hAnsi="宋体"/>
                <w:kern w:val="0"/>
                <w:szCs w:val="21"/>
              </w:rPr>
              <w:t>养老保险证明材料</w:t>
            </w:r>
            <w:r>
              <w:rPr>
                <w:rFonts w:hint="eastAsia" w:ascii="宋体" w:hAnsi="宋体"/>
                <w:i w:val="0"/>
                <w:iCs/>
                <w:color w:val="auto"/>
                <w:kern w:val="0"/>
                <w:szCs w:val="21"/>
                <w:highlight w:val="none"/>
              </w:rPr>
              <w:t>按</w:t>
            </w:r>
            <w:r>
              <w:rPr>
                <w:rFonts w:hint="eastAsia" w:ascii="宋体" w:hAnsi="宋体"/>
                <w:iCs/>
                <w:color w:val="auto"/>
                <w:kern w:val="0"/>
                <w:szCs w:val="21"/>
                <w:highlight w:val="none"/>
              </w:rPr>
              <w:t>第二章“投标人须知前附表”第1.4.1项</w:t>
            </w:r>
            <w:r>
              <w:rPr>
                <w:rFonts w:hint="eastAsia" w:ascii="宋体" w:hAnsi="宋体"/>
                <w:i w:val="0"/>
                <w:iCs/>
                <w:color w:val="auto"/>
                <w:kern w:val="0"/>
                <w:szCs w:val="21"/>
                <w:highlight w:val="none"/>
                <w:lang w:val="en-US" w:eastAsia="zh-CN"/>
              </w:rPr>
              <w:t>特别说明（3）</w:t>
            </w:r>
            <w:r>
              <w:rPr>
                <w:rFonts w:hint="eastAsia" w:ascii="宋体" w:hAnsi="宋体"/>
                <w:i w:val="0"/>
                <w:iCs/>
                <w:color w:val="auto"/>
                <w:kern w:val="0"/>
                <w:szCs w:val="21"/>
                <w:highlight w:val="none"/>
              </w:rPr>
              <w:t>相关要求提供</w:t>
            </w:r>
            <w:r>
              <w:rPr>
                <w:rFonts w:hint="eastAsia" w:ascii="宋体" w:hAnsi="宋体"/>
                <w:kern w:val="0"/>
                <w:szCs w:val="21"/>
                <w:lang w:eastAsia="zh-CN"/>
              </w:rPr>
              <w:t>）。</w:t>
            </w:r>
          </w:p>
        </w:tc>
      </w:tr>
      <w:tr w14:paraId="4D0CF9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14:paraId="4B32C0BC">
            <w:pPr>
              <w:spacing w:line="400" w:lineRule="exact"/>
              <w:jc w:val="center"/>
              <w:rPr>
                <w:rFonts w:ascii="宋体" w:hAnsi="宋体"/>
                <w:kern w:val="0"/>
              </w:rPr>
            </w:pPr>
            <w:r>
              <w:rPr>
                <w:rFonts w:hint="eastAsia" w:ascii="宋体" w:hAnsi="宋体"/>
                <w:kern w:val="0"/>
              </w:rPr>
              <w:t>2.2.2（</w:t>
            </w:r>
            <w:r>
              <w:rPr>
                <w:rFonts w:hint="eastAsia" w:ascii="宋体" w:hAnsi="宋体"/>
                <w:kern w:val="0"/>
                <w:lang w:val="en-US" w:eastAsia="zh-CN"/>
              </w:rPr>
              <w:t>3</w:t>
            </w:r>
            <w:r>
              <w:rPr>
                <w:rFonts w:hint="eastAsia" w:ascii="宋体" w:hAnsi="宋体"/>
                <w:kern w:val="0"/>
              </w:rPr>
              <w:t>）</w:t>
            </w:r>
          </w:p>
        </w:tc>
        <w:tc>
          <w:tcPr>
            <w:tcW w:w="1628" w:type="dxa"/>
            <w:vMerge w:val="restart"/>
            <w:tcBorders>
              <w:left w:val="single" w:color="auto" w:sz="4" w:space="0"/>
            </w:tcBorders>
            <w:vAlign w:val="center"/>
          </w:tcPr>
          <w:p w14:paraId="409A7BD4">
            <w:pPr>
              <w:spacing w:line="400" w:lineRule="exact"/>
              <w:jc w:val="center"/>
              <w:rPr>
                <w:rFonts w:ascii="宋体" w:hAnsi="宋体"/>
                <w:kern w:val="0"/>
              </w:rPr>
            </w:pPr>
            <w:r>
              <w:rPr>
                <w:rFonts w:hint="eastAsia" w:ascii="宋体" w:hAnsi="宋体"/>
                <w:kern w:val="0"/>
              </w:rPr>
              <w:t>投标函</w:t>
            </w:r>
            <w:r>
              <w:rPr>
                <w:rFonts w:hint="eastAsia" w:ascii="宋体" w:hAnsi="宋体"/>
                <w:kern w:val="0"/>
                <w:lang w:val="en-US" w:eastAsia="zh-CN"/>
              </w:rPr>
              <w:t>部分</w:t>
            </w:r>
            <w:r>
              <w:rPr>
                <w:rFonts w:hint="eastAsia" w:ascii="宋体" w:hAnsi="宋体"/>
                <w:kern w:val="0"/>
              </w:rPr>
              <w:t>评审标准</w:t>
            </w:r>
          </w:p>
        </w:tc>
        <w:tc>
          <w:tcPr>
            <w:tcW w:w="2304" w:type="dxa"/>
            <w:gridSpan w:val="2"/>
            <w:vAlign w:val="center"/>
          </w:tcPr>
          <w:p w14:paraId="710609EF">
            <w:pPr>
              <w:tabs>
                <w:tab w:val="left" w:pos="1875"/>
              </w:tabs>
              <w:spacing w:line="400" w:lineRule="exact"/>
              <w:jc w:val="left"/>
              <w:rPr>
                <w:rFonts w:ascii="宋体" w:hAnsi="宋体" w:cs="宋体"/>
                <w:kern w:val="0"/>
              </w:rPr>
            </w:pPr>
            <w:r>
              <w:rPr>
                <w:rFonts w:hint="eastAsia" w:ascii="宋体" w:hAnsi="宋体" w:cs="宋体"/>
                <w:kern w:val="0"/>
              </w:rPr>
              <w:t>投标函部分的签名盖章</w:t>
            </w:r>
          </w:p>
        </w:tc>
        <w:tc>
          <w:tcPr>
            <w:tcW w:w="4688" w:type="dxa"/>
            <w:gridSpan w:val="3"/>
            <w:vAlign w:val="center"/>
          </w:tcPr>
          <w:p w14:paraId="29A523FD">
            <w:pPr>
              <w:snapToGrid w:val="0"/>
              <w:spacing w:line="400" w:lineRule="exact"/>
              <w:ind w:firstLine="420" w:firstLineChars="200"/>
              <w:rPr>
                <w:rFonts w:ascii="宋体" w:hAnsi="宋体" w:cs="宋体"/>
                <w:kern w:val="0"/>
              </w:rPr>
            </w:pPr>
            <w:r>
              <w:rPr>
                <w:rFonts w:hint="eastAsia" w:ascii="宋体" w:hAnsi="宋体" w:cs="宋体"/>
                <w:kern w:val="0"/>
              </w:rPr>
              <w:t>投标函部分的格式要求法定代表人</w:t>
            </w:r>
            <w:r>
              <w:rPr>
                <w:rFonts w:hint="eastAsia" w:ascii="宋体" w:hAnsi="宋体" w:cs="宋体"/>
                <w:kern w:val="0"/>
                <w:lang w:eastAsia="zh-CN"/>
              </w:rPr>
              <w:t>（</w:t>
            </w:r>
            <w:r>
              <w:rPr>
                <w:rFonts w:hint="eastAsia" w:ascii="宋体" w:hAnsi="宋体" w:cs="宋体"/>
                <w:kern w:val="0"/>
              </w:rPr>
              <w:t>或其委托代理人</w:t>
            </w:r>
            <w:r>
              <w:rPr>
                <w:rFonts w:hint="eastAsia" w:ascii="宋体" w:hAnsi="宋体" w:cs="宋体"/>
                <w:kern w:val="0"/>
                <w:lang w:eastAsia="zh-CN"/>
              </w:rPr>
              <w:t>）</w:t>
            </w:r>
            <w:r>
              <w:rPr>
                <w:rFonts w:hint="eastAsia" w:ascii="宋体" w:hAnsi="宋体" w:cs="宋体"/>
                <w:kern w:val="0"/>
              </w:rPr>
              <w:t>签名（或盖章）的须齐全，</w:t>
            </w:r>
            <w:r>
              <w:rPr>
                <w:rFonts w:hint="eastAsia" w:asciiTheme="minorEastAsia" w:hAnsiTheme="minorEastAsia" w:eastAsiaTheme="minorEastAsia" w:cstheme="minorEastAsia"/>
                <w:color w:val="auto"/>
                <w:szCs w:val="21"/>
                <w:highlight w:val="none"/>
                <w:lang w:val="en-US" w:eastAsia="zh-CN"/>
              </w:rPr>
              <w:t>要求签名的，</w:t>
            </w:r>
            <w:r>
              <w:rPr>
                <w:rFonts w:hint="eastAsia" w:asciiTheme="minorEastAsia" w:hAnsiTheme="minorEastAsia" w:eastAsiaTheme="minorEastAsia" w:cstheme="minorEastAsia"/>
                <w:color w:val="auto"/>
                <w:kern w:val="0"/>
                <w:highlight w:val="none"/>
              </w:rPr>
              <w:t>签名采用手写签名或签章或加盖CA数字证书均可</w:t>
            </w:r>
            <w:r>
              <w:rPr>
                <w:rFonts w:hint="eastAsia" w:asciiTheme="minorEastAsia" w:hAnsiTheme="minorEastAsia" w:eastAsiaTheme="minorEastAsia" w:cstheme="minorEastAsia"/>
                <w:color w:val="auto"/>
                <w:kern w:val="0"/>
                <w:highlight w:val="none"/>
                <w:lang w:eastAsia="zh-CN"/>
              </w:rPr>
              <w:t>，</w:t>
            </w:r>
            <w:r>
              <w:rPr>
                <w:rFonts w:hint="eastAsia" w:ascii="宋体" w:hAnsi="宋体" w:cs="宋体"/>
                <w:kern w:val="0"/>
              </w:rPr>
              <w:t>要求加盖单位法人章的，应使用 CA 数字证书加盖投标人的单位电子印章。</w:t>
            </w:r>
          </w:p>
          <w:p w14:paraId="17F47C33">
            <w:pPr>
              <w:snapToGrid w:val="0"/>
              <w:spacing w:line="400" w:lineRule="exact"/>
              <w:ind w:firstLine="420" w:firstLineChars="200"/>
              <w:rPr>
                <w:rFonts w:ascii="宋体" w:hAnsi="宋体"/>
                <w:u w:val="single"/>
              </w:rPr>
            </w:pPr>
            <w:r>
              <w:rPr>
                <w:rFonts w:hint="eastAsia" w:ascii="宋体" w:hAnsi="宋体" w:cs="宋体"/>
                <w:kern w:val="0"/>
              </w:rPr>
              <w:t>联合体投标的，投标函部分的格式中要求投标人加盖单位法人章的，均由联合体牵头人使用 CA 数字证书加盖其单位电子印章。</w:t>
            </w:r>
          </w:p>
        </w:tc>
      </w:tr>
      <w:tr w14:paraId="014191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33904D2B">
            <w:pPr>
              <w:spacing w:line="400" w:lineRule="exact"/>
              <w:rPr>
                <w:rFonts w:hint="eastAsia" w:ascii="宋体" w:hAnsi="宋体"/>
                <w:kern w:val="0"/>
              </w:rPr>
            </w:pPr>
          </w:p>
        </w:tc>
        <w:tc>
          <w:tcPr>
            <w:tcW w:w="1628" w:type="dxa"/>
            <w:vMerge w:val="continue"/>
            <w:tcBorders>
              <w:left w:val="single" w:color="auto" w:sz="4" w:space="0"/>
            </w:tcBorders>
            <w:vAlign w:val="center"/>
          </w:tcPr>
          <w:p w14:paraId="62920842">
            <w:pPr>
              <w:spacing w:line="400" w:lineRule="exact"/>
              <w:jc w:val="center"/>
              <w:rPr>
                <w:rFonts w:hint="eastAsia" w:ascii="宋体" w:hAnsi="宋体"/>
                <w:kern w:val="0"/>
              </w:rPr>
            </w:pPr>
          </w:p>
        </w:tc>
        <w:tc>
          <w:tcPr>
            <w:tcW w:w="2304" w:type="dxa"/>
            <w:gridSpan w:val="2"/>
            <w:vAlign w:val="center"/>
          </w:tcPr>
          <w:p w14:paraId="3DFA2690">
            <w:pPr>
              <w:tabs>
                <w:tab w:val="left" w:pos="1875"/>
              </w:tabs>
              <w:spacing w:line="400" w:lineRule="exact"/>
              <w:jc w:val="left"/>
              <w:rPr>
                <w:rFonts w:hint="eastAsia" w:ascii="宋体" w:hAnsi="宋体" w:cs="宋体"/>
                <w:kern w:val="0"/>
              </w:rPr>
            </w:pPr>
            <w:r>
              <w:rPr>
                <w:rFonts w:hint="eastAsia" w:ascii="宋体" w:hAnsi="宋体" w:cs="宋体"/>
                <w:kern w:val="0"/>
                <w:lang w:val="en-US" w:eastAsia="zh-CN"/>
              </w:rPr>
              <w:t>人员</w:t>
            </w:r>
          </w:p>
        </w:tc>
        <w:tc>
          <w:tcPr>
            <w:tcW w:w="4688" w:type="dxa"/>
            <w:gridSpan w:val="3"/>
            <w:vAlign w:val="center"/>
          </w:tcPr>
          <w:p w14:paraId="1659447D">
            <w:pPr>
              <w:snapToGrid w:val="0"/>
              <w:spacing w:line="400" w:lineRule="exact"/>
              <w:ind w:firstLine="420" w:firstLineChars="200"/>
              <w:rPr>
                <w:rFonts w:hint="eastAsia" w:ascii="宋体" w:hAnsi="宋体" w:cs="宋体"/>
                <w:kern w:val="0"/>
              </w:rPr>
            </w:pPr>
            <w:r>
              <w:rPr>
                <w:rFonts w:hint="eastAsia" w:ascii="宋体" w:hAnsi="宋体" w:cs="宋体"/>
                <w:kern w:val="0"/>
                <w:lang w:val="en-US" w:eastAsia="zh-CN"/>
              </w:rPr>
              <w:t>《投标函》中填写的项目经理应与拟派项目经理的信息一致。</w:t>
            </w:r>
          </w:p>
        </w:tc>
      </w:tr>
      <w:tr w14:paraId="2572FA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2A53C31C">
            <w:pPr>
              <w:spacing w:line="400" w:lineRule="exact"/>
              <w:rPr>
                <w:rFonts w:ascii="宋体" w:hAnsi="宋体"/>
                <w:kern w:val="0"/>
              </w:rPr>
            </w:pPr>
          </w:p>
        </w:tc>
        <w:tc>
          <w:tcPr>
            <w:tcW w:w="1628" w:type="dxa"/>
            <w:vMerge w:val="continue"/>
            <w:tcBorders>
              <w:left w:val="single" w:color="auto" w:sz="4" w:space="0"/>
            </w:tcBorders>
            <w:vAlign w:val="center"/>
          </w:tcPr>
          <w:p w14:paraId="3ABF18D7">
            <w:pPr>
              <w:spacing w:line="400" w:lineRule="exact"/>
              <w:ind w:firstLine="210" w:firstLineChars="100"/>
              <w:jc w:val="center"/>
              <w:rPr>
                <w:rFonts w:ascii="宋体" w:hAnsi="宋体"/>
                <w:kern w:val="0"/>
              </w:rPr>
            </w:pPr>
          </w:p>
        </w:tc>
        <w:tc>
          <w:tcPr>
            <w:tcW w:w="2304" w:type="dxa"/>
            <w:gridSpan w:val="2"/>
            <w:vAlign w:val="center"/>
          </w:tcPr>
          <w:p w14:paraId="7040DF78">
            <w:pPr>
              <w:tabs>
                <w:tab w:val="left" w:pos="1875"/>
              </w:tabs>
              <w:spacing w:line="400" w:lineRule="exact"/>
              <w:jc w:val="left"/>
              <w:rPr>
                <w:rFonts w:ascii="宋体" w:hAnsi="宋体" w:cs="宋体"/>
                <w:kern w:val="0"/>
              </w:rPr>
            </w:pPr>
            <w:r>
              <w:rPr>
                <w:rFonts w:hint="eastAsia" w:ascii="宋体" w:hAnsi="宋体" w:cs="宋体"/>
                <w:kern w:val="0"/>
              </w:rPr>
              <w:t>工期</w:t>
            </w:r>
          </w:p>
        </w:tc>
        <w:tc>
          <w:tcPr>
            <w:tcW w:w="4688" w:type="dxa"/>
            <w:gridSpan w:val="3"/>
            <w:vAlign w:val="center"/>
          </w:tcPr>
          <w:p w14:paraId="06B5AFAC">
            <w:pPr>
              <w:snapToGrid w:val="0"/>
              <w:spacing w:line="400" w:lineRule="exact"/>
              <w:ind w:firstLine="420" w:firstLineChars="200"/>
              <w:rPr>
                <w:rFonts w:hint="eastAsia" w:ascii="宋体" w:hAnsi="宋体" w:eastAsia="宋体"/>
                <w:u w:val="single"/>
                <w:lang w:eastAsia="zh-CN"/>
              </w:rPr>
            </w:pPr>
            <w:r>
              <w:rPr>
                <w:rFonts w:hint="eastAsia" w:ascii="宋体" w:hAnsi="宋体" w:cs="宋体"/>
                <w:kern w:val="0"/>
              </w:rPr>
              <w:t>符合第二章“投标人须知”第1.3.2项规定</w:t>
            </w:r>
            <w:r>
              <w:rPr>
                <w:rFonts w:hint="eastAsia" w:ascii="宋体" w:hAnsi="宋体" w:cs="宋体"/>
                <w:kern w:val="0"/>
                <w:lang w:eastAsia="zh-CN"/>
              </w:rPr>
              <w:t>。</w:t>
            </w:r>
          </w:p>
        </w:tc>
      </w:tr>
      <w:tr w14:paraId="027ECC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71E11530">
            <w:pPr>
              <w:spacing w:line="400" w:lineRule="exact"/>
              <w:rPr>
                <w:rFonts w:ascii="宋体" w:hAnsi="宋体"/>
                <w:kern w:val="0"/>
              </w:rPr>
            </w:pPr>
          </w:p>
        </w:tc>
        <w:tc>
          <w:tcPr>
            <w:tcW w:w="1628" w:type="dxa"/>
            <w:vMerge w:val="continue"/>
            <w:tcBorders>
              <w:left w:val="single" w:color="auto" w:sz="4" w:space="0"/>
            </w:tcBorders>
            <w:vAlign w:val="center"/>
          </w:tcPr>
          <w:p w14:paraId="39BD614C">
            <w:pPr>
              <w:spacing w:line="400" w:lineRule="exact"/>
              <w:ind w:firstLine="210" w:firstLineChars="100"/>
              <w:jc w:val="center"/>
              <w:rPr>
                <w:rFonts w:ascii="宋体" w:hAnsi="宋体"/>
                <w:kern w:val="0"/>
              </w:rPr>
            </w:pPr>
          </w:p>
        </w:tc>
        <w:tc>
          <w:tcPr>
            <w:tcW w:w="2304" w:type="dxa"/>
            <w:gridSpan w:val="2"/>
            <w:vAlign w:val="center"/>
          </w:tcPr>
          <w:p w14:paraId="36D10EB7">
            <w:pPr>
              <w:tabs>
                <w:tab w:val="left" w:pos="1875"/>
              </w:tabs>
              <w:spacing w:line="400" w:lineRule="exact"/>
              <w:jc w:val="left"/>
              <w:rPr>
                <w:rFonts w:ascii="宋体" w:hAnsi="宋体" w:cs="宋体"/>
                <w:kern w:val="0"/>
              </w:rPr>
            </w:pPr>
            <w:r>
              <w:rPr>
                <w:rFonts w:hint="eastAsia" w:ascii="宋体" w:hAnsi="宋体" w:cs="宋体"/>
                <w:kern w:val="0"/>
              </w:rPr>
              <w:t>工程质量</w:t>
            </w:r>
          </w:p>
        </w:tc>
        <w:tc>
          <w:tcPr>
            <w:tcW w:w="4688" w:type="dxa"/>
            <w:gridSpan w:val="3"/>
            <w:vAlign w:val="center"/>
          </w:tcPr>
          <w:p w14:paraId="47A00392">
            <w:pPr>
              <w:snapToGrid w:val="0"/>
              <w:spacing w:line="400" w:lineRule="exact"/>
              <w:ind w:firstLine="420" w:firstLineChars="200"/>
              <w:rPr>
                <w:rFonts w:hint="eastAsia" w:ascii="宋体" w:hAnsi="宋体" w:eastAsia="宋体"/>
                <w:u w:val="single"/>
                <w:lang w:eastAsia="zh-CN"/>
              </w:rPr>
            </w:pPr>
            <w:r>
              <w:rPr>
                <w:rFonts w:hint="eastAsia" w:ascii="宋体" w:hAnsi="宋体" w:cs="宋体"/>
                <w:kern w:val="0"/>
              </w:rPr>
              <w:t>符合第二章“投标人须知”第1.3.3项规定</w:t>
            </w:r>
            <w:r>
              <w:rPr>
                <w:rFonts w:hint="eastAsia" w:ascii="宋体" w:hAnsi="宋体" w:cs="宋体"/>
                <w:kern w:val="0"/>
                <w:lang w:eastAsia="zh-CN"/>
              </w:rPr>
              <w:t>。</w:t>
            </w:r>
          </w:p>
        </w:tc>
      </w:tr>
      <w:tr w14:paraId="4E6D56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4665EB90">
            <w:pPr>
              <w:spacing w:line="400" w:lineRule="exact"/>
              <w:rPr>
                <w:rFonts w:ascii="宋体" w:hAnsi="宋体"/>
                <w:kern w:val="0"/>
              </w:rPr>
            </w:pPr>
          </w:p>
        </w:tc>
        <w:tc>
          <w:tcPr>
            <w:tcW w:w="1628" w:type="dxa"/>
            <w:vMerge w:val="continue"/>
            <w:tcBorders>
              <w:left w:val="single" w:color="auto" w:sz="4" w:space="0"/>
            </w:tcBorders>
            <w:vAlign w:val="center"/>
          </w:tcPr>
          <w:p w14:paraId="3666EB81">
            <w:pPr>
              <w:spacing w:line="400" w:lineRule="exact"/>
              <w:ind w:firstLine="210" w:firstLineChars="100"/>
              <w:jc w:val="center"/>
              <w:rPr>
                <w:rFonts w:ascii="宋体" w:hAnsi="宋体"/>
                <w:kern w:val="0"/>
              </w:rPr>
            </w:pPr>
          </w:p>
        </w:tc>
        <w:tc>
          <w:tcPr>
            <w:tcW w:w="2304" w:type="dxa"/>
            <w:gridSpan w:val="2"/>
            <w:vAlign w:val="center"/>
          </w:tcPr>
          <w:p w14:paraId="4A4E1285">
            <w:pPr>
              <w:tabs>
                <w:tab w:val="left" w:pos="1875"/>
              </w:tabs>
              <w:spacing w:line="400" w:lineRule="exact"/>
              <w:jc w:val="left"/>
              <w:rPr>
                <w:rFonts w:ascii="宋体" w:hAnsi="宋体" w:cs="宋体"/>
                <w:kern w:val="0"/>
              </w:rPr>
            </w:pPr>
            <w:r>
              <w:rPr>
                <w:rFonts w:hint="eastAsia" w:ascii="宋体" w:hAnsi="宋体" w:cs="宋体"/>
                <w:kern w:val="0"/>
              </w:rPr>
              <w:t>投标有效期</w:t>
            </w:r>
          </w:p>
        </w:tc>
        <w:tc>
          <w:tcPr>
            <w:tcW w:w="4688" w:type="dxa"/>
            <w:gridSpan w:val="3"/>
            <w:vAlign w:val="center"/>
          </w:tcPr>
          <w:p w14:paraId="628D4B50">
            <w:pPr>
              <w:snapToGrid w:val="0"/>
              <w:spacing w:line="400" w:lineRule="exact"/>
              <w:ind w:firstLine="420" w:firstLineChars="200"/>
              <w:rPr>
                <w:rFonts w:hint="eastAsia" w:ascii="宋体" w:hAnsi="宋体" w:eastAsia="宋体"/>
                <w:u w:val="single"/>
                <w:lang w:eastAsia="zh-CN"/>
              </w:rPr>
            </w:pPr>
            <w:r>
              <w:rPr>
                <w:rFonts w:hint="eastAsia" w:ascii="宋体" w:hAnsi="宋体" w:cs="宋体"/>
                <w:kern w:val="0"/>
              </w:rPr>
              <w:t>符合第二章“投标人须知”第3.3.1项规定</w:t>
            </w:r>
            <w:r>
              <w:rPr>
                <w:rFonts w:hint="eastAsia" w:ascii="宋体" w:hAnsi="宋体" w:cs="宋体"/>
                <w:kern w:val="0"/>
                <w:lang w:eastAsia="zh-CN"/>
              </w:rPr>
              <w:t>。</w:t>
            </w:r>
          </w:p>
        </w:tc>
      </w:tr>
      <w:tr w14:paraId="2116F0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3EB9F0B1">
            <w:pPr>
              <w:spacing w:line="400" w:lineRule="exact"/>
              <w:rPr>
                <w:rFonts w:ascii="宋体" w:hAnsi="宋体"/>
                <w:kern w:val="0"/>
              </w:rPr>
            </w:pPr>
          </w:p>
        </w:tc>
        <w:tc>
          <w:tcPr>
            <w:tcW w:w="1628" w:type="dxa"/>
            <w:vMerge w:val="continue"/>
            <w:tcBorders>
              <w:left w:val="single" w:color="auto" w:sz="4" w:space="0"/>
            </w:tcBorders>
            <w:vAlign w:val="center"/>
          </w:tcPr>
          <w:p w14:paraId="04CD3575">
            <w:pPr>
              <w:spacing w:line="400" w:lineRule="exact"/>
              <w:ind w:firstLine="210" w:firstLineChars="100"/>
              <w:jc w:val="center"/>
              <w:rPr>
                <w:rFonts w:ascii="宋体" w:hAnsi="宋体"/>
                <w:kern w:val="0"/>
              </w:rPr>
            </w:pPr>
          </w:p>
        </w:tc>
        <w:tc>
          <w:tcPr>
            <w:tcW w:w="2304" w:type="dxa"/>
            <w:gridSpan w:val="2"/>
            <w:vAlign w:val="center"/>
          </w:tcPr>
          <w:p w14:paraId="322FEF4E">
            <w:pPr>
              <w:tabs>
                <w:tab w:val="left" w:pos="1875"/>
              </w:tabs>
              <w:spacing w:line="400" w:lineRule="exact"/>
              <w:jc w:val="left"/>
              <w:rPr>
                <w:rFonts w:ascii="宋体" w:hAnsi="宋体" w:cs="宋体"/>
                <w:kern w:val="0"/>
              </w:rPr>
            </w:pPr>
            <w:r>
              <w:rPr>
                <w:rFonts w:ascii="宋体" w:hAnsi="宋体"/>
                <w:kern w:val="0"/>
              </w:rPr>
              <w:t>投标总报价</w:t>
            </w:r>
          </w:p>
        </w:tc>
        <w:tc>
          <w:tcPr>
            <w:tcW w:w="4688" w:type="dxa"/>
            <w:gridSpan w:val="3"/>
            <w:vAlign w:val="center"/>
          </w:tcPr>
          <w:p w14:paraId="58430991">
            <w:pPr>
              <w:spacing w:line="400" w:lineRule="exact"/>
              <w:ind w:firstLine="420" w:firstLineChars="200"/>
              <w:rPr>
                <w:rFonts w:ascii="宋体" w:hAnsi="宋体"/>
                <w:kern w:val="0"/>
              </w:rPr>
            </w:pPr>
            <w:r>
              <w:rPr>
                <w:rFonts w:hint="eastAsia" w:ascii="宋体" w:hAnsi="宋体"/>
                <w:kern w:val="0"/>
              </w:rPr>
              <w:t>1.投标函中的总报价</w:t>
            </w:r>
            <w:r>
              <w:rPr>
                <w:rFonts w:hint="eastAsia" w:ascii="宋体" w:hAnsi="宋体"/>
                <w:kern w:val="0"/>
                <w:lang w:val="en-US" w:eastAsia="zh-CN"/>
              </w:rPr>
              <w:t>应</w:t>
            </w:r>
            <w:r>
              <w:rPr>
                <w:rFonts w:hint="eastAsia" w:ascii="宋体" w:hAnsi="宋体"/>
                <w:kern w:val="0"/>
              </w:rPr>
              <w:t>与已标价工程量清单总报价一致</w:t>
            </w:r>
            <w:r>
              <w:rPr>
                <w:rFonts w:hint="eastAsia" w:ascii="宋体" w:hAnsi="宋体"/>
                <w:kern w:val="0"/>
                <w:lang w:eastAsia="zh-CN"/>
              </w:rPr>
              <w:t>，</w:t>
            </w:r>
            <w:r>
              <w:rPr>
                <w:rFonts w:hint="eastAsia" w:ascii="宋体" w:hAnsi="宋体"/>
                <w:kern w:val="0"/>
              </w:rPr>
              <w:t>工程量清单总报价</w:t>
            </w:r>
            <w:r>
              <w:rPr>
                <w:rFonts w:hint="eastAsia" w:ascii="宋体" w:hAnsi="宋体"/>
                <w:kern w:val="0"/>
                <w:lang w:val="en-US" w:eastAsia="zh-CN"/>
              </w:rPr>
              <w:t>应</w:t>
            </w:r>
            <w:r>
              <w:rPr>
                <w:rFonts w:hint="eastAsia" w:ascii="宋体" w:hAnsi="宋体"/>
                <w:kern w:val="0"/>
              </w:rPr>
              <w:t>与依据单价、工程数量、分部分项工程合价计算出的结果一致</w:t>
            </w:r>
            <w:r>
              <w:rPr>
                <w:rFonts w:hint="eastAsia" w:ascii="宋体" w:hAnsi="宋体"/>
                <w:kern w:val="0"/>
                <w:lang w:eastAsia="zh-CN"/>
              </w:rPr>
              <w:t>（</w:t>
            </w:r>
            <w:r>
              <w:rPr>
                <w:rFonts w:hint="eastAsia" w:ascii="宋体" w:hAnsi="宋体"/>
                <w:kern w:val="0"/>
                <w:lang w:val="en-US" w:eastAsia="zh-CN"/>
              </w:rPr>
              <w:t>如有</w:t>
            </w:r>
            <w:r>
              <w:rPr>
                <w:rFonts w:hint="eastAsia" w:ascii="宋体" w:hAnsi="宋体"/>
                <w:kern w:val="0"/>
                <w:lang w:eastAsia="zh-CN"/>
              </w:rPr>
              <w:t>）</w:t>
            </w:r>
            <w:r>
              <w:rPr>
                <w:rFonts w:hint="eastAsia" w:ascii="宋体" w:hAnsi="宋体"/>
                <w:kern w:val="0"/>
              </w:rPr>
              <w:t>。</w:t>
            </w:r>
          </w:p>
          <w:p w14:paraId="256F4EEC">
            <w:pPr>
              <w:spacing w:line="400" w:lineRule="exact"/>
              <w:ind w:firstLine="420" w:firstLineChars="200"/>
              <w:rPr>
                <w:rFonts w:hint="eastAsia" w:ascii="宋体" w:hAnsi="宋体"/>
                <w:kern w:val="0"/>
              </w:rPr>
            </w:pPr>
            <w:r>
              <w:rPr>
                <w:rFonts w:hint="eastAsia" w:ascii="宋体" w:hAnsi="宋体"/>
                <w:kern w:val="0"/>
              </w:rPr>
              <w:t>2</w:t>
            </w:r>
            <w:r>
              <w:rPr>
                <w:rFonts w:ascii="宋体" w:hAnsi="宋体"/>
                <w:kern w:val="0"/>
              </w:rPr>
              <w:t>.投标总报价不得高于招标人公布的投标总报价最高限价</w:t>
            </w:r>
            <w:r>
              <w:rPr>
                <w:rFonts w:hint="eastAsia" w:ascii="宋体" w:hAnsi="宋体"/>
                <w:kern w:val="0"/>
              </w:rPr>
              <w:t>。</w:t>
            </w:r>
          </w:p>
          <w:p w14:paraId="339623F5">
            <w:pPr>
              <w:spacing w:line="400" w:lineRule="exact"/>
              <w:ind w:firstLine="420" w:firstLineChars="200"/>
              <w:rPr>
                <w:rFonts w:ascii="宋体" w:hAnsi="宋体"/>
                <w:kern w:val="0"/>
              </w:rPr>
            </w:pPr>
            <w:r>
              <w:rPr>
                <w:rFonts w:hint="eastAsia" w:ascii="宋体" w:hAnsi="宋体" w:cs="宋体"/>
                <w:kern w:val="0"/>
              </w:rPr>
              <w:t>3.投标人投标总报价或者部分单项报价</w:t>
            </w:r>
            <w:r>
              <w:rPr>
                <w:rFonts w:hint="eastAsia" w:ascii="宋体" w:hAnsi="宋体" w:cs="宋体"/>
                <w:kern w:val="0"/>
                <w:lang w:val="en-US" w:eastAsia="zh-CN"/>
              </w:rPr>
              <w:t>低于</w:t>
            </w:r>
            <w:r>
              <w:rPr>
                <w:rFonts w:hint="eastAsia" w:ascii="宋体" w:hAnsi="宋体" w:cs="宋体"/>
                <w:kern w:val="0"/>
              </w:rPr>
              <w:t>招标文件规定的对应的异常低价警戒线的，应提供报价合理性说明，并提供必要的证明材料，以说明其报价的合理性。投标人未提供报价合理性说明或者提供的说明不能证明其报价合理性的，由评标委员会作否决投标处理。</w:t>
            </w:r>
          </w:p>
        </w:tc>
      </w:tr>
      <w:tr w14:paraId="6BFCCC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432ECA83">
            <w:pPr>
              <w:spacing w:line="400" w:lineRule="exact"/>
              <w:rPr>
                <w:rFonts w:ascii="宋体" w:hAnsi="宋体"/>
                <w:kern w:val="0"/>
              </w:rPr>
            </w:pPr>
          </w:p>
        </w:tc>
        <w:tc>
          <w:tcPr>
            <w:tcW w:w="1628" w:type="dxa"/>
            <w:vMerge w:val="continue"/>
            <w:tcBorders>
              <w:left w:val="single" w:color="auto" w:sz="4" w:space="0"/>
            </w:tcBorders>
            <w:vAlign w:val="center"/>
          </w:tcPr>
          <w:p w14:paraId="53027D8F">
            <w:pPr>
              <w:spacing w:line="400" w:lineRule="exact"/>
              <w:ind w:firstLine="210" w:firstLineChars="100"/>
              <w:jc w:val="center"/>
              <w:rPr>
                <w:rFonts w:ascii="宋体" w:hAnsi="宋体"/>
                <w:kern w:val="0"/>
              </w:rPr>
            </w:pPr>
          </w:p>
        </w:tc>
        <w:tc>
          <w:tcPr>
            <w:tcW w:w="2304" w:type="dxa"/>
            <w:gridSpan w:val="2"/>
            <w:vAlign w:val="center"/>
          </w:tcPr>
          <w:p w14:paraId="78441929">
            <w:pPr>
              <w:tabs>
                <w:tab w:val="left" w:pos="1875"/>
              </w:tabs>
              <w:spacing w:line="400" w:lineRule="exact"/>
              <w:jc w:val="left"/>
              <w:rPr>
                <w:rFonts w:ascii="宋体" w:hAnsi="宋体"/>
                <w:kern w:val="0"/>
              </w:rPr>
            </w:pPr>
            <w:r>
              <w:rPr>
                <w:rFonts w:hint="eastAsia" w:ascii="宋体" w:hAnsi="宋体"/>
                <w:kern w:val="0"/>
              </w:rPr>
              <w:t>暂定金额</w:t>
            </w:r>
          </w:p>
        </w:tc>
        <w:tc>
          <w:tcPr>
            <w:tcW w:w="4688" w:type="dxa"/>
            <w:gridSpan w:val="3"/>
            <w:vAlign w:val="center"/>
          </w:tcPr>
          <w:p w14:paraId="4B5CC8D4">
            <w:pPr>
              <w:spacing w:line="400" w:lineRule="exact"/>
              <w:ind w:firstLine="420" w:firstLineChars="200"/>
              <w:rPr>
                <w:rFonts w:hint="eastAsia" w:ascii="宋体" w:hAnsi="宋体" w:eastAsia="宋体"/>
                <w:kern w:val="0"/>
                <w:lang w:eastAsia="zh-CN"/>
              </w:rPr>
            </w:pPr>
            <w:r>
              <w:rPr>
                <w:rFonts w:hint="eastAsia" w:ascii="宋体" w:hAnsi="宋体"/>
                <w:kern w:val="0"/>
              </w:rPr>
              <w:t>暂列金额、暂估价、安全文明施工费等暂定金额必须按照招标文件给定的金额填报</w:t>
            </w:r>
            <w:r>
              <w:rPr>
                <w:rFonts w:hint="eastAsia" w:ascii="宋体" w:hAnsi="宋体"/>
                <w:kern w:val="0"/>
                <w:lang w:eastAsia="zh-CN"/>
              </w:rPr>
              <w:t>。</w:t>
            </w:r>
          </w:p>
        </w:tc>
      </w:tr>
      <w:tr w14:paraId="5EF7DB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195D657D">
            <w:pPr>
              <w:spacing w:line="400" w:lineRule="exact"/>
              <w:rPr>
                <w:rFonts w:ascii="宋体" w:hAnsi="宋体"/>
                <w:kern w:val="0"/>
              </w:rPr>
            </w:pPr>
          </w:p>
        </w:tc>
        <w:tc>
          <w:tcPr>
            <w:tcW w:w="1628" w:type="dxa"/>
            <w:vMerge w:val="continue"/>
            <w:tcBorders>
              <w:left w:val="single" w:color="auto" w:sz="4" w:space="0"/>
            </w:tcBorders>
            <w:vAlign w:val="center"/>
          </w:tcPr>
          <w:p w14:paraId="5F7639ED">
            <w:pPr>
              <w:spacing w:line="400" w:lineRule="exact"/>
              <w:ind w:firstLine="210" w:firstLineChars="100"/>
              <w:jc w:val="center"/>
              <w:rPr>
                <w:rFonts w:ascii="宋体" w:hAnsi="宋体"/>
                <w:kern w:val="0"/>
              </w:rPr>
            </w:pPr>
          </w:p>
        </w:tc>
        <w:tc>
          <w:tcPr>
            <w:tcW w:w="2304" w:type="dxa"/>
            <w:gridSpan w:val="2"/>
            <w:vAlign w:val="center"/>
          </w:tcPr>
          <w:p w14:paraId="4A544156">
            <w:pPr>
              <w:tabs>
                <w:tab w:val="left" w:pos="1875"/>
              </w:tabs>
              <w:spacing w:line="400" w:lineRule="exact"/>
              <w:jc w:val="left"/>
              <w:rPr>
                <w:rFonts w:ascii="宋体" w:hAnsi="宋体" w:cs="宋体"/>
                <w:kern w:val="0"/>
              </w:rPr>
            </w:pPr>
            <w:r>
              <w:rPr>
                <w:rFonts w:ascii="宋体" w:hAnsi="宋体"/>
                <w:kern w:val="0"/>
              </w:rPr>
              <w:t>报价唯一</w:t>
            </w:r>
          </w:p>
        </w:tc>
        <w:tc>
          <w:tcPr>
            <w:tcW w:w="4688" w:type="dxa"/>
            <w:gridSpan w:val="3"/>
            <w:vAlign w:val="center"/>
          </w:tcPr>
          <w:p w14:paraId="33ABD61A">
            <w:pPr>
              <w:snapToGrid w:val="0"/>
              <w:spacing w:line="400" w:lineRule="exact"/>
              <w:ind w:firstLine="420" w:firstLineChars="200"/>
              <w:rPr>
                <w:rFonts w:ascii="宋体" w:hAnsi="宋体"/>
                <w:u w:val="single"/>
              </w:rPr>
            </w:pPr>
            <w:r>
              <w:rPr>
                <w:rFonts w:ascii="宋体" w:hAnsi="宋体"/>
                <w:kern w:val="0"/>
              </w:rPr>
              <w:t>只能有一个有效报价，在招标文件没有规定的情况下，不得提交选择性报价。</w:t>
            </w:r>
          </w:p>
        </w:tc>
      </w:tr>
      <w:tr w14:paraId="22D485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2286A6FA">
            <w:pPr>
              <w:spacing w:line="400" w:lineRule="exact"/>
              <w:rPr>
                <w:rFonts w:ascii="宋体" w:hAnsi="宋体"/>
                <w:kern w:val="0"/>
              </w:rPr>
            </w:pPr>
          </w:p>
        </w:tc>
        <w:tc>
          <w:tcPr>
            <w:tcW w:w="1628" w:type="dxa"/>
            <w:vMerge w:val="continue"/>
            <w:tcBorders>
              <w:left w:val="single" w:color="auto" w:sz="4" w:space="0"/>
            </w:tcBorders>
            <w:vAlign w:val="center"/>
          </w:tcPr>
          <w:p w14:paraId="6264A932">
            <w:pPr>
              <w:spacing w:line="400" w:lineRule="exact"/>
              <w:ind w:firstLine="210" w:firstLineChars="100"/>
              <w:jc w:val="center"/>
              <w:rPr>
                <w:rFonts w:ascii="宋体" w:hAnsi="宋体"/>
                <w:kern w:val="0"/>
              </w:rPr>
            </w:pPr>
          </w:p>
        </w:tc>
        <w:tc>
          <w:tcPr>
            <w:tcW w:w="2304" w:type="dxa"/>
            <w:gridSpan w:val="2"/>
            <w:vAlign w:val="center"/>
          </w:tcPr>
          <w:p w14:paraId="7AB5FB4A">
            <w:pPr>
              <w:tabs>
                <w:tab w:val="left" w:pos="1875"/>
              </w:tabs>
              <w:spacing w:line="400" w:lineRule="exact"/>
              <w:jc w:val="left"/>
              <w:rPr>
                <w:rFonts w:ascii="宋体" w:hAnsi="宋体" w:cs="宋体"/>
                <w:kern w:val="0"/>
              </w:rPr>
            </w:pPr>
            <w:r>
              <w:rPr>
                <w:rFonts w:ascii="宋体" w:hAnsi="宋体"/>
                <w:kern w:val="0"/>
              </w:rPr>
              <w:t>已标价工程量清单</w:t>
            </w:r>
          </w:p>
        </w:tc>
        <w:tc>
          <w:tcPr>
            <w:tcW w:w="4688" w:type="dxa"/>
            <w:gridSpan w:val="3"/>
            <w:vAlign w:val="center"/>
          </w:tcPr>
          <w:p w14:paraId="6FC4F2ED">
            <w:pPr>
              <w:spacing w:after="62" w:afterLines="20" w:line="400" w:lineRule="exact"/>
              <w:ind w:firstLine="420" w:firstLineChars="200"/>
              <w:rPr>
                <w:rFonts w:ascii="宋体" w:hAnsi="宋体"/>
                <w:kern w:val="0"/>
              </w:rPr>
            </w:pPr>
            <w:r>
              <w:rPr>
                <w:rFonts w:hint="eastAsia" w:ascii="宋体" w:hAnsi="宋体"/>
                <w:kern w:val="0"/>
              </w:rPr>
              <w:t>1</w:t>
            </w:r>
            <w:r>
              <w:rPr>
                <w:rFonts w:ascii="宋体" w:hAnsi="宋体"/>
                <w:kern w:val="0"/>
              </w:rPr>
              <w:t>.</w:t>
            </w:r>
            <w:r>
              <w:rPr>
                <w:rFonts w:hint="eastAsia" w:ascii="宋体" w:hAnsi="宋体" w:cs="宋体"/>
                <w:kern w:val="0"/>
                <w:lang w:val="en-US" w:eastAsia="zh-CN"/>
              </w:rPr>
              <w:t>投标人</w:t>
            </w:r>
            <w:r>
              <w:rPr>
                <w:rFonts w:hint="eastAsia" w:ascii="宋体" w:hAnsi="宋体"/>
                <w:szCs w:val="21"/>
                <w:lang w:val="en-US" w:eastAsia="zh-CN"/>
              </w:rPr>
              <w:t>应当</w:t>
            </w:r>
            <w:r>
              <w:rPr>
                <w:rFonts w:hint="eastAsia" w:ascii="宋体" w:hAnsi="宋体"/>
                <w:szCs w:val="21"/>
              </w:rPr>
              <w:t>按招标工程量清单填报价格。项目编码、项目名称、项目特征、计量单位、工程量</w:t>
            </w:r>
            <w:r>
              <w:rPr>
                <w:rFonts w:hint="eastAsia" w:ascii="宋体" w:hAnsi="宋体"/>
                <w:szCs w:val="21"/>
                <w:lang w:val="en-US" w:eastAsia="zh-CN"/>
              </w:rPr>
              <w:t>应当</w:t>
            </w:r>
            <w:r>
              <w:rPr>
                <w:rFonts w:hint="eastAsia" w:ascii="宋体" w:hAnsi="宋体"/>
                <w:szCs w:val="21"/>
              </w:rPr>
              <w:t>与招标工程量清单一致</w:t>
            </w:r>
            <w:r>
              <w:rPr>
                <w:rFonts w:ascii="宋体" w:hAnsi="宋体"/>
                <w:kern w:val="0"/>
              </w:rPr>
              <w:t>。</w:t>
            </w:r>
          </w:p>
          <w:p w14:paraId="7C151137">
            <w:pPr>
              <w:snapToGrid w:val="0"/>
              <w:spacing w:line="400" w:lineRule="exact"/>
              <w:ind w:firstLine="420" w:firstLineChars="200"/>
              <w:rPr>
                <w:rFonts w:hint="eastAsia" w:ascii="宋体" w:hAnsi="宋体"/>
                <w:kern w:val="0"/>
              </w:rPr>
            </w:pPr>
            <w:r>
              <w:rPr>
                <w:rFonts w:ascii="宋体" w:hAnsi="宋体"/>
                <w:kern w:val="0"/>
              </w:rPr>
              <w:t>2</w:t>
            </w:r>
            <w:r>
              <w:rPr>
                <w:rFonts w:hint="eastAsia" w:ascii="宋体" w:hAnsi="宋体"/>
                <w:kern w:val="0"/>
              </w:rPr>
              <w:t>.每项清单综合单价报价不得高于每项清单综合单价最高限价。</w:t>
            </w:r>
          </w:p>
          <w:p w14:paraId="0A74D327">
            <w:pPr>
              <w:snapToGrid w:val="0"/>
              <w:spacing w:line="400" w:lineRule="exact"/>
              <w:ind w:firstLine="420" w:firstLineChars="200"/>
              <w:rPr>
                <w:rFonts w:hint="eastAsia" w:ascii="宋体" w:hAnsi="宋体"/>
                <w:kern w:val="0"/>
                <w:szCs w:val="21"/>
                <w:u w:val="none"/>
                <w:lang w:val="en-US" w:eastAsia="zh-CN"/>
              </w:rPr>
            </w:pPr>
            <w:r>
              <w:rPr>
                <w:rFonts w:hint="eastAsia" w:ascii="宋体" w:hAnsi="宋体" w:cs="宋体"/>
                <w:kern w:val="0"/>
                <w:lang w:val="en-US" w:eastAsia="zh-CN"/>
              </w:rPr>
              <w:t>3.</w:t>
            </w:r>
            <w:r>
              <w:rPr>
                <w:rFonts w:hint="default" w:ascii="宋体" w:hAnsi="宋体"/>
                <w:kern w:val="0"/>
                <w:szCs w:val="21"/>
                <w:u w:val="none"/>
              </w:rPr>
              <w:t>投标人的</w:t>
            </w:r>
            <w:r>
              <w:rPr>
                <w:rFonts w:hint="eastAsia" w:ascii="宋体" w:hAnsi="宋体"/>
                <w:kern w:val="0"/>
                <w:szCs w:val="21"/>
                <w:u w:val="none"/>
                <w:lang w:val="en-US" w:eastAsia="zh-CN"/>
              </w:rPr>
              <w:t>工程量清单单项报价</w:t>
            </w:r>
            <w:r>
              <w:rPr>
                <w:rFonts w:hint="default" w:ascii="宋体" w:hAnsi="宋体"/>
                <w:kern w:val="0"/>
                <w:szCs w:val="21"/>
                <w:u w:val="none"/>
              </w:rPr>
              <w:t>不得</w:t>
            </w:r>
            <w:r>
              <w:rPr>
                <w:rFonts w:hint="eastAsia" w:ascii="宋体" w:hAnsi="宋体"/>
                <w:kern w:val="0"/>
                <w:szCs w:val="21"/>
                <w:u w:val="none"/>
                <w:lang w:val="en-US" w:eastAsia="zh-CN"/>
              </w:rPr>
              <w:t>为零报价（招标人提供的工程量清单单项最高限价中金额为零的除外）或者负数报价（如有）。</w:t>
            </w:r>
          </w:p>
          <w:p w14:paraId="62AE485E">
            <w:pPr>
              <w:snapToGrid w:val="0"/>
              <w:spacing w:line="400" w:lineRule="exact"/>
              <w:ind w:firstLine="420" w:firstLineChars="200"/>
              <w:rPr>
                <w:rFonts w:ascii="宋体" w:hAnsi="宋体"/>
                <w:u w:val="single"/>
              </w:rPr>
            </w:pPr>
            <w:r>
              <w:rPr>
                <w:rFonts w:hint="eastAsia" w:ascii="宋体" w:hAnsi="宋体"/>
                <w:kern w:val="0"/>
                <w:szCs w:val="21"/>
                <w:u w:val="none"/>
                <w:lang w:val="en-US" w:eastAsia="zh-CN"/>
              </w:rPr>
              <w:t>4.投标人的工程量清单中有不平衡报价的，应符合第二章“投标人须知前附表”第3.2款关于不平衡报价的要求（如有）。</w:t>
            </w:r>
          </w:p>
        </w:tc>
      </w:tr>
      <w:tr w14:paraId="1A15B7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14DC10BD">
            <w:pPr>
              <w:spacing w:line="400" w:lineRule="exact"/>
              <w:rPr>
                <w:rFonts w:ascii="宋体" w:hAnsi="宋体"/>
                <w:kern w:val="0"/>
              </w:rPr>
            </w:pPr>
          </w:p>
        </w:tc>
        <w:tc>
          <w:tcPr>
            <w:tcW w:w="1628" w:type="dxa"/>
            <w:vMerge w:val="continue"/>
            <w:tcBorders>
              <w:left w:val="single" w:color="auto" w:sz="4" w:space="0"/>
            </w:tcBorders>
            <w:vAlign w:val="center"/>
          </w:tcPr>
          <w:p w14:paraId="0FD5F79C">
            <w:pPr>
              <w:spacing w:line="400" w:lineRule="exact"/>
              <w:ind w:firstLine="210" w:firstLineChars="100"/>
              <w:jc w:val="center"/>
              <w:rPr>
                <w:rFonts w:ascii="宋体" w:hAnsi="宋体"/>
                <w:kern w:val="0"/>
              </w:rPr>
            </w:pPr>
          </w:p>
        </w:tc>
        <w:tc>
          <w:tcPr>
            <w:tcW w:w="2304" w:type="dxa"/>
            <w:gridSpan w:val="2"/>
            <w:vAlign w:val="center"/>
          </w:tcPr>
          <w:p w14:paraId="1CD09E0F">
            <w:pPr>
              <w:tabs>
                <w:tab w:val="left" w:pos="1875"/>
              </w:tabs>
              <w:spacing w:line="400" w:lineRule="exact"/>
              <w:jc w:val="left"/>
              <w:rPr>
                <w:rFonts w:ascii="宋体" w:hAnsi="宋体"/>
                <w:kern w:val="0"/>
              </w:rPr>
            </w:pPr>
            <w:r>
              <w:rPr>
                <w:rFonts w:ascii="宋体" w:hAnsi="宋体"/>
                <w:kern w:val="0"/>
              </w:rPr>
              <w:t>投标报价</w:t>
            </w:r>
            <w:r>
              <w:rPr>
                <w:rFonts w:hint="eastAsia" w:ascii="宋体" w:hAnsi="宋体"/>
                <w:kern w:val="0"/>
                <w:lang w:val="en-US" w:eastAsia="zh-CN"/>
              </w:rPr>
              <w:t>大小写不一致</w:t>
            </w:r>
            <w:r>
              <w:rPr>
                <w:rFonts w:ascii="宋体" w:hAnsi="宋体"/>
                <w:kern w:val="0"/>
              </w:rPr>
              <w:t>修正</w:t>
            </w:r>
          </w:p>
        </w:tc>
        <w:tc>
          <w:tcPr>
            <w:tcW w:w="4688" w:type="dxa"/>
            <w:gridSpan w:val="3"/>
            <w:vAlign w:val="center"/>
          </w:tcPr>
          <w:p w14:paraId="40B6D050">
            <w:pPr>
              <w:snapToGrid w:val="0"/>
              <w:spacing w:line="400" w:lineRule="exact"/>
              <w:ind w:firstLine="420" w:firstLineChars="200"/>
              <w:rPr>
                <w:rFonts w:ascii="宋体" w:hAnsi="宋体"/>
                <w:kern w:val="0"/>
              </w:rPr>
            </w:pPr>
            <w:r>
              <w:rPr>
                <w:rFonts w:ascii="宋体" w:hAnsi="宋体"/>
                <w:kern w:val="0"/>
              </w:rPr>
              <w:t>符合第三章3.评标程序第3.1.</w:t>
            </w:r>
            <w:r>
              <w:rPr>
                <w:rFonts w:hint="eastAsia" w:ascii="宋体" w:hAnsi="宋体"/>
                <w:kern w:val="0"/>
                <w:lang w:val="en-US" w:eastAsia="zh-CN"/>
              </w:rPr>
              <w:t>2</w:t>
            </w:r>
            <w:r>
              <w:rPr>
                <w:rFonts w:ascii="宋体" w:hAnsi="宋体"/>
                <w:kern w:val="0"/>
              </w:rPr>
              <w:t>项规定。</w:t>
            </w:r>
          </w:p>
        </w:tc>
      </w:tr>
      <w:tr w14:paraId="227BF8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Align w:val="center"/>
          </w:tcPr>
          <w:p w14:paraId="2CF71C23">
            <w:pPr>
              <w:spacing w:line="400" w:lineRule="exact"/>
              <w:jc w:val="center"/>
              <w:rPr>
                <w:rFonts w:ascii="宋体" w:hAnsi="宋体"/>
                <w:kern w:val="0"/>
              </w:rPr>
            </w:pPr>
            <w:r>
              <w:rPr>
                <w:rFonts w:ascii="宋体" w:hAnsi="宋体"/>
                <w:kern w:val="0"/>
              </w:rPr>
              <w:t>2.2.</w:t>
            </w:r>
            <w:r>
              <w:rPr>
                <w:rFonts w:hint="eastAsia" w:ascii="宋体" w:hAnsi="宋体"/>
                <w:kern w:val="0"/>
              </w:rPr>
              <w:t>3</w:t>
            </w:r>
          </w:p>
        </w:tc>
        <w:tc>
          <w:tcPr>
            <w:tcW w:w="1628" w:type="dxa"/>
            <w:vAlign w:val="center"/>
          </w:tcPr>
          <w:p w14:paraId="7F1AE6DF">
            <w:pPr>
              <w:spacing w:line="400" w:lineRule="exact"/>
              <w:jc w:val="center"/>
              <w:rPr>
                <w:rFonts w:ascii="宋体" w:hAnsi="宋体"/>
                <w:kern w:val="0"/>
              </w:rPr>
            </w:pPr>
            <w:r>
              <w:rPr>
                <w:rFonts w:ascii="宋体" w:hAnsi="宋体"/>
                <w:kern w:val="0"/>
              </w:rPr>
              <w:t>评标基准价计算方法</w:t>
            </w:r>
          </w:p>
        </w:tc>
        <w:tc>
          <w:tcPr>
            <w:tcW w:w="2304" w:type="dxa"/>
            <w:gridSpan w:val="2"/>
            <w:vAlign w:val="center"/>
          </w:tcPr>
          <w:p w14:paraId="7218F906">
            <w:pPr>
              <w:snapToGrid w:val="0"/>
              <w:spacing w:line="400" w:lineRule="exact"/>
              <w:jc w:val="center"/>
              <w:rPr>
                <w:rFonts w:ascii="宋体" w:hAnsi="宋体"/>
                <w:b/>
                <w:kern w:val="0"/>
              </w:rPr>
            </w:pPr>
            <w:r>
              <w:rPr>
                <w:rFonts w:hint="eastAsia" w:ascii="宋体" w:hAnsi="宋体"/>
                <w:b/>
                <w:kern w:val="0"/>
                <w:lang w:eastAsia="zh-CN"/>
              </w:rPr>
              <w:t>☑</w:t>
            </w:r>
            <w:r>
              <w:rPr>
                <w:rFonts w:hint="eastAsia" w:ascii="宋体" w:hAnsi="宋体"/>
                <w:b/>
                <w:kern w:val="0"/>
              </w:rPr>
              <w:t>选项一：</w:t>
            </w:r>
          </w:p>
          <w:p w14:paraId="0596225F">
            <w:pPr>
              <w:spacing w:line="400" w:lineRule="exact"/>
              <w:jc w:val="center"/>
              <w:rPr>
                <w:rFonts w:ascii="宋体" w:hAnsi="宋体"/>
                <w:kern w:val="0"/>
              </w:rPr>
            </w:pPr>
            <w:r>
              <w:rPr>
                <w:rFonts w:ascii="宋体" w:hAnsi="宋体"/>
                <w:kern w:val="0"/>
              </w:rPr>
              <w:t>投标总报价</w:t>
            </w:r>
          </w:p>
        </w:tc>
        <w:tc>
          <w:tcPr>
            <w:tcW w:w="4688" w:type="dxa"/>
            <w:gridSpan w:val="3"/>
          </w:tcPr>
          <w:p w14:paraId="70A79AFF">
            <w:pPr>
              <w:snapToGrid w:val="0"/>
              <w:spacing w:line="400" w:lineRule="exact"/>
              <w:ind w:firstLine="420" w:firstLineChars="200"/>
              <w:jc w:val="left"/>
              <w:rPr>
                <w:rFonts w:ascii="宋体" w:hAnsi="宋体"/>
                <w:kern w:val="0"/>
                <w:szCs w:val="21"/>
              </w:rPr>
            </w:pPr>
            <w:r>
              <w:rPr>
                <w:rFonts w:hint="eastAsia" w:ascii="宋体" w:hAnsi="宋体" w:cs="宋体"/>
                <w:color w:val="auto"/>
                <w:kern w:val="0"/>
                <w:szCs w:val="21"/>
                <w:highlight w:val="none"/>
                <w:lang w:eastAsia="zh-CN"/>
              </w:rPr>
              <w:t>进入报价评审的</w:t>
            </w:r>
            <w:r>
              <w:rPr>
                <w:rFonts w:ascii="宋体" w:hAnsi="宋体"/>
                <w:kern w:val="0"/>
                <w:szCs w:val="21"/>
              </w:rPr>
              <w:t>投标人</w:t>
            </w:r>
            <w:r>
              <w:rPr>
                <w:rFonts w:ascii="宋体" w:hAnsi="宋体"/>
                <w:szCs w:val="21"/>
              </w:rPr>
              <w:t>的投标总报</w:t>
            </w:r>
            <w:r>
              <w:rPr>
                <w:rFonts w:ascii="宋体" w:hAnsi="宋体"/>
                <w:kern w:val="0"/>
                <w:szCs w:val="21"/>
              </w:rPr>
              <w:t>价中去掉六分之一（不能整除的按小数点前整数取整，不足六家报价则不去掉）的最低价和相同家数的最高价后的算术平均值</w:t>
            </w:r>
            <w:r>
              <w:rPr>
                <w:rFonts w:hint="eastAsia" w:ascii="宋体" w:hAnsi="宋体"/>
                <w:kern w:val="0"/>
                <w:szCs w:val="21"/>
              </w:rPr>
              <w:t>，即为本项目的投标总报价的评标基准价。</w:t>
            </w:r>
          </w:p>
          <w:p w14:paraId="70C9A69F">
            <w:pPr>
              <w:snapToGrid w:val="0"/>
              <w:spacing w:line="400" w:lineRule="exact"/>
              <w:ind w:firstLine="420" w:firstLineChars="200"/>
              <w:rPr>
                <w:rFonts w:ascii="宋体" w:hAnsi="宋体"/>
                <w:kern w:val="0"/>
                <w:szCs w:val="21"/>
              </w:rPr>
            </w:pPr>
            <w:r>
              <w:rPr>
                <w:rFonts w:hint="eastAsia" w:ascii="宋体" w:hAnsi="宋体"/>
                <w:kern w:val="0"/>
                <w:szCs w:val="21"/>
              </w:rPr>
              <w:t>评标基准价计算的最终</w:t>
            </w:r>
            <w:r>
              <w:rPr>
                <w:rFonts w:ascii="宋体" w:hAnsi="宋体"/>
                <w:kern w:val="0"/>
                <w:szCs w:val="21"/>
              </w:rPr>
              <w:t>结果取小数点后两位，</w:t>
            </w:r>
            <w:r>
              <w:rPr>
                <w:rFonts w:hint="eastAsia" w:asciiTheme="minorEastAsia" w:hAnsiTheme="minorEastAsia" w:eastAsiaTheme="minorEastAsia" w:cstheme="minorEastAsia"/>
                <w:color w:val="auto"/>
                <w:kern w:val="0"/>
                <w:szCs w:val="21"/>
                <w:highlight w:val="none"/>
                <w:lang w:val="en-US" w:eastAsia="zh-CN"/>
              </w:rPr>
              <w:t>小数点后</w:t>
            </w:r>
            <w:r>
              <w:rPr>
                <w:rFonts w:ascii="宋体" w:hAnsi="宋体"/>
                <w:kern w:val="0"/>
                <w:szCs w:val="21"/>
              </w:rPr>
              <w:t>第三位四舍五入。</w:t>
            </w:r>
          </w:p>
        </w:tc>
      </w:tr>
      <w:tr w14:paraId="7BE9E4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vAlign w:val="center"/>
          </w:tcPr>
          <w:p w14:paraId="4474FEA3">
            <w:pPr>
              <w:spacing w:line="400" w:lineRule="exact"/>
              <w:jc w:val="center"/>
              <w:rPr>
                <w:rFonts w:ascii="宋体" w:hAnsi="宋体"/>
                <w:kern w:val="0"/>
              </w:rPr>
            </w:pPr>
            <w:r>
              <w:rPr>
                <w:rFonts w:ascii="宋体" w:hAnsi="宋体"/>
                <w:kern w:val="0"/>
              </w:rPr>
              <w:t>2.2.</w:t>
            </w:r>
            <w:r>
              <w:rPr>
                <w:rFonts w:hint="eastAsia" w:ascii="宋体" w:hAnsi="宋体"/>
                <w:kern w:val="0"/>
              </w:rPr>
              <w:t>4（1）</w:t>
            </w:r>
          </w:p>
        </w:tc>
        <w:tc>
          <w:tcPr>
            <w:tcW w:w="3932" w:type="dxa"/>
            <w:gridSpan w:val="3"/>
            <w:vMerge w:val="restart"/>
            <w:vAlign w:val="center"/>
          </w:tcPr>
          <w:p w14:paraId="5FBD6184">
            <w:pPr>
              <w:spacing w:line="400" w:lineRule="exact"/>
              <w:jc w:val="center"/>
              <w:rPr>
                <w:rFonts w:ascii="宋体" w:hAnsi="宋体"/>
                <w:kern w:val="0"/>
              </w:rPr>
            </w:pPr>
            <w:r>
              <w:rPr>
                <w:rFonts w:hint="eastAsia" w:ascii="宋体" w:hAnsi="宋体"/>
                <w:kern w:val="0"/>
              </w:rPr>
              <w:t>允许偏差率</w:t>
            </w:r>
          </w:p>
        </w:tc>
        <w:tc>
          <w:tcPr>
            <w:tcW w:w="4688" w:type="dxa"/>
            <w:gridSpan w:val="3"/>
            <w:vAlign w:val="center"/>
          </w:tcPr>
          <w:p w14:paraId="58DB6861">
            <w:pPr>
              <w:spacing w:line="400" w:lineRule="exact"/>
              <w:ind w:firstLine="420" w:firstLineChars="200"/>
              <w:jc w:val="left"/>
              <w:rPr>
                <w:rFonts w:ascii="宋体" w:hAnsi="宋体"/>
                <w:kern w:val="0"/>
              </w:rPr>
            </w:pPr>
            <w:r>
              <w:rPr>
                <w:rFonts w:ascii="宋体" w:hAnsi="宋体"/>
                <w:kern w:val="0"/>
              </w:rPr>
              <w:t>投标总报价的偏差率计算公式</w:t>
            </w:r>
          </w:p>
          <w:p w14:paraId="1557EA47">
            <w:pPr>
              <w:spacing w:line="400" w:lineRule="exact"/>
              <w:ind w:firstLine="420" w:firstLineChars="200"/>
              <w:jc w:val="left"/>
              <w:rPr>
                <w:rFonts w:ascii="宋体" w:hAnsi="宋体"/>
                <w:kern w:val="0"/>
              </w:rPr>
            </w:pPr>
            <w:r>
              <w:rPr>
                <w:rFonts w:ascii="宋体" w:hAnsi="宋体"/>
                <w:kern w:val="0"/>
              </w:rPr>
              <w:t>偏差率</w:t>
            </w:r>
            <w:r>
              <w:rPr>
                <w:rFonts w:ascii="宋体" w:hAnsi="宋体"/>
                <w:kern w:val="0"/>
                <w:sz w:val="28"/>
                <w:szCs w:val="28"/>
              </w:rPr>
              <w:t>=</w:t>
            </w:r>
            <w:r>
              <w:rPr>
                <w:rFonts w:ascii="宋体" w:hAnsi="宋体"/>
                <w:kern w:val="0"/>
              </w:rPr>
              <w:t>100％×（投标人报价</w:t>
            </w:r>
            <w:r>
              <w:rPr>
                <w:rFonts w:hint="eastAsia" w:ascii="宋体" w:hAnsi="宋体"/>
                <w:kern w:val="0"/>
              </w:rPr>
              <w:t>－</w:t>
            </w:r>
            <w:r>
              <w:rPr>
                <w:rFonts w:ascii="宋体" w:hAnsi="宋体"/>
                <w:kern w:val="0"/>
              </w:rPr>
              <w:t>评标基准价）／评标基准价</w:t>
            </w:r>
          </w:p>
          <w:p w14:paraId="1796C175">
            <w:pPr>
              <w:spacing w:line="400" w:lineRule="exact"/>
              <w:ind w:firstLine="200"/>
              <w:rPr>
                <w:rFonts w:ascii="宋体" w:hAnsi="宋体"/>
                <w:kern w:val="0"/>
              </w:rPr>
            </w:pPr>
            <w:r>
              <w:rPr>
                <w:rFonts w:ascii="宋体" w:hAnsi="宋体"/>
                <w:kern w:val="0"/>
              </w:rPr>
              <w:t xml:space="preserve">  偏差率</w:t>
            </w:r>
            <w:r>
              <w:rPr>
                <w:rFonts w:ascii="宋体" w:hAnsi="宋体"/>
                <w:kern w:val="0"/>
                <w:szCs w:val="21"/>
              </w:rPr>
              <w:t>计算的最终结果</w:t>
            </w:r>
            <w:r>
              <w:rPr>
                <w:rFonts w:hint="eastAsia" w:ascii="宋体" w:hAnsi="宋体"/>
                <w:kern w:val="0"/>
                <w:szCs w:val="21"/>
              </w:rPr>
              <w:t>取</w:t>
            </w:r>
            <w:r>
              <w:rPr>
                <w:rFonts w:ascii="宋体" w:hAnsi="宋体"/>
                <w:kern w:val="0"/>
                <w:szCs w:val="21"/>
              </w:rPr>
              <w:t>小数点后两位，小数点后第三位四舍五入。</w:t>
            </w:r>
          </w:p>
        </w:tc>
      </w:tr>
      <w:tr w14:paraId="57DF12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vAlign w:val="center"/>
          </w:tcPr>
          <w:p w14:paraId="6D981429">
            <w:pPr>
              <w:spacing w:line="400" w:lineRule="exact"/>
              <w:jc w:val="center"/>
              <w:rPr>
                <w:rFonts w:ascii="宋体" w:hAnsi="宋体"/>
                <w:kern w:val="0"/>
              </w:rPr>
            </w:pPr>
          </w:p>
        </w:tc>
        <w:tc>
          <w:tcPr>
            <w:tcW w:w="3932" w:type="dxa"/>
            <w:gridSpan w:val="3"/>
            <w:vMerge w:val="continue"/>
            <w:vAlign w:val="center"/>
          </w:tcPr>
          <w:p w14:paraId="00ABCC16">
            <w:pPr>
              <w:spacing w:line="400" w:lineRule="exact"/>
              <w:jc w:val="center"/>
              <w:rPr>
                <w:rFonts w:ascii="宋体" w:hAnsi="宋体"/>
                <w:kern w:val="0"/>
              </w:rPr>
            </w:pPr>
          </w:p>
        </w:tc>
        <w:tc>
          <w:tcPr>
            <w:tcW w:w="4688" w:type="dxa"/>
            <w:gridSpan w:val="3"/>
            <w:vAlign w:val="center"/>
          </w:tcPr>
          <w:p w14:paraId="75DEC28B">
            <w:pPr>
              <w:snapToGrid w:val="0"/>
              <w:spacing w:line="400" w:lineRule="exact"/>
              <w:ind w:firstLine="420" w:firstLineChars="200"/>
              <w:jc w:val="left"/>
              <w:rPr>
                <w:rFonts w:ascii="宋体" w:hAnsi="宋体"/>
                <w:szCs w:val="28"/>
              </w:rPr>
            </w:pPr>
            <w:r>
              <w:rPr>
                <w:rFonts w:hint="eastAsia" w:ascii="宋体" w:hAnsi="宋体"/>
                <w:szCs w:val="28"/>
              </w:rPr>
              <w:t>本项目</w:t>
            </w:r>
            <w:r>
              <w:rPr>
                <w:rFonts w:ascii="宋体" w:hAnsi="宋体"/>
                <w:szCs w:val="28"/>
              </w:rPr>
              <w:t>投标总报价</w:t>
            </w:r>
            <w:r>
              <w:rPr>
                <w:rFonts w:hint="eastAsia" w:ascii="宋体" w:hAnsi="宋体"/>
                <w:szCs w:val="28"/>
              </w:rPr>
              <w:t>允许偏差范围</w:t>
            </w:r>
            <w:r>
              <w:rPr>
                <w:rFonts w:ascii="宋体" w:hAnsi="宋体"/>
                <w:szCs w:val="28"/>
              </w:rPr>
              <w:t>为：</w:t>
            </w:r>
          </w:p>
          <w:p w14:paraId="38A543CF">
            <w:pPr>
              <w:snapToGrid w:val="0"/>
              <w:spacing w:line="400" w:lineRule="exact"/>
              <w:ind w:firstLine="420" w:firstLineChars="200"/>
              <w:jc w:val="left"/>
              <w:rPr>
                <w:rFonts w:ascii="宋体" w:hAnsi="宋体"/>
                <w:i/>
                <w:kern w:val="0"/>
              </w:rPr>
            </w:pPr>
            <w:r>
              <w:rPr>
                <w:rFonts w:hint="eastAsia" w:ascii="宋体" w:hAnsi="宋体"/>
                <w:szCs w:val="28"/>
                <w:lang w:eastAsia="zh-CN"/>
              </w:rPr>
              <w:t>☑</w:t>
            </w:r>
            <w:r>
              <w:rPr>
                <w:rFonts w:hint="eastAsia" w:ascii="宋体" w:hAnsi="宋体"/>
                <w:szCs w:val="28"/>
              </w:rPr>
              <w:t>不设偏差范围。</w:t>
            </w:r>
          </w:p>
        </w:tc>
      </w:tr>
      <w:tr w14:paraId="0B7BD9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Align w:val="center"/>
          </w:tcPr>
          <w:p w14:paraId="2F15EBDD">
            <w:pPr>
              <w:spacing w:line="400" w:lineRule="exact"/>
              <w:jc w:val="center"/>
              <w:rPr>
                <w:rFonts w:ascii="宋体" w:hAnsi="宋体"/>
                <w:kern w:val="0"/>
              </w:rPr>
            </w:pPr>
            <w:r>
              <w:rPr>
                <w:rFonts w:ascii="宋体" w:hAnsi="宋体"/>
              </w:rPr>
              <w:t>3</w:t>
            </w:r>
          </w:p>
        </w:tc>
        <w:tc>
          <w:tcPr>
            <w:tcW w:w="1628" w:type="dxa"/>
            <w:vAlign w:val="center"/>
          </w:tcPr>
          <w:p w14:paraId="547B1570">
            <w:pPr>
              <w:spacing w:line="400" w:lineRule="exact"/>
              <w:jc w:val="center"/>
              <w:rPr>
                <w:rFonts w:ascii="宋体" w:hAnsi="宋体"/>
                <w:kern w:val="0"/>
              </w:rPr>
            </w:pPr>
            <w:r>
              <w:rPr>
                <w:rFonts w:ascii="宋体" w:hAnsi="宋体"/>
              </w:rPr>
              <w:t>评标程序</w:t>
            </w:r>
          </w:p>
        </w:tc>
        <w:tc>
          <w:tcPr>
            <w:tcW w:w="6992" w:type="dxa"/>
            <w:gridSpan w:val="5"/>
          </w:tcPr>
          <w:p w14:paraId="415D75EC">
            <w:pPr>
              <w:keepNext w:val="0"/>
              <w:keepLines w:val="0"/>
              <w:pageBreakBefore w:val="0"/>
              <w:widowControl/>
              <w:kinsoku/>
              <w:wordWrap/>
              <w:overflowPunct/>
              <w:topLinePunct w:val="0"/>
              <w:bidi w:val="0"/>
              <w:spacing w:beforeAutospacing="0" w:after="31" w:afterLines="10" w:afterAutospacing="0" w:line="400" w:lineRule="exact"/>
              <w:ind w:firstLine="420" w:firstLineChars="200"/>
              <w:jc w:val="left"/>
              <w:textAlignment w:val="auto"/>
              <w:rPr>
                <w:rFonts w:hint="eastAsia" w:ascii="宋体" w:hAnsi="宋体" w:cs="宋体"/>
                <w:szCs w:val="21"/>
                <w:lang w:val="en-US" w:eastAsia="zh-CN"/>
              </w:rPr>
            </w:pPr>
            <w:r>
              <w:rPr>
                <w:rFonts w:hint="eastAsia" w:ascii="宋体" w:hAnsi="宋体" w:cs="宋体"/>
                <w:szCs w:val="21"/>
                <w:lang w:val="en-US" w:eastAsia="zh-CN"/>
              </w:rPr>
              <w:t>☑方式二：</w:t>
            </w:r>
            <w:r>
              <w:rPr>
                <w:rFonts w:hint="eastAsia" w:ascii="宋体" w:hAnsi="宋体" w:cs="宋体"/>
                <w:szCs w:val="21"/>
              </w:rPr>
              <w:t>技术商务优先方式</w:t>
            </w:r>
          </w:p>
          <w:p w14:paraId="78C0ED68">
            <w:pPr>
              <w:keepNext w:val="0"/>
              <w:keepLines w:val="0"/>
              <w:pageBreakBefore w:val="0"/>
              <w:widowControl w:val="0"/>
              <w:kinsoku/>
              <w:wordWrap/>
              <w:overflowPunct/>
              <w:topLinePunct w:val="0"/>
              <w:bidi w:val="0"/>
              <w:spacing w:beforeAutospacing="0" w:afterAutospacing="0" w:line="40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初步评审。</w:t>
            </w:r>
            <w:r>
              <w:rPr>
                <w:rFonts w:hint="eastAsia" w:ascii="宋体" w:hAnsi="宋体" w:cs="宋体"/>
                <w:szCs w:val="21"/>
              </w:rPr>
              <w:t>按</w:t>
            </w:r>
            <w:r>
              <w:rPr>
                <w:rFonts w:hint="eastAsia" w:ascii="宋体" w:hAnsi="宋体" w:cs="宋体"/>
                <w:szCs w:val="21"/>
                <w:lang w:val="en-US" w:eastAsia="zh-CN"/>
              </w:rPr>
              <w:t>照第2.1.1项至第2.1.3项的规定，对所有投标文件</w:t>
            </w:r>
            <w:r>
              <w:rPr>
                <w:rFonts w:hint="eastAsia" w:ascii="宋体" w:hAnsi="宋体" w:cs="宋体"/>
                <w:szCs w:val="21"/>
              </w:rPr>
              <w:t>进行初步评审。未通过初步评审或评标委员会认定为无效的投标文件的不再进行后续评审。</w:t>
            </w:r>
          </w:p>
          <w:p w14:paraId="4A874012">
            <w:pPr>
              <w:keepNext w:val="0"/>
              <w:keepLines w:val="0"/>
              <w:pageBreakBefore w:val="0"/>
              <w:widowControl w:val="0"/>
              <w:kinsoku/>
              <w:wordWrap/>
              <w:overflowPunct/>
              <w:topLinePunct w:val="0"/>
              <w:bidi w:val="0"/>
              <w:spacing w:beforeAutospacing="0" w:afterAutospacing="0" w:line="40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2.技术评审。</w:t>
            </w:r>
            <w:r>
              <w:rPr>
                <w:rFonts w:hint="eastAsia" w:ascii="宋体" w:hAnsi="宋体" w:cs="宋体"/>
                <w:szCs w:val="21"/>
              </w:rPr>
              <w:t>按</w:t>
            </w:r>
            <w:r>
              <w:rPr>
                <w:rFonts w:hint="eastAsia" w:ascii="宋体" w:hAnsi="宋体" w:cs="宋体"/>
                <w:szCs w:val="21"/>
                <w:lang w:val="en-US" w:eastAsia="zh-CN"/>
              </w:rPr>
              <w:t>照</w:t>
            </w:r>
            <w:r>
              <w:rPr>
                <w:rFonts w:hint="eastAsia" w:ascii="宋体" w:hAnsi="宋体" w:cs="宋体"/>
                <w:szCs w:val="21"/>
              </w:rPr>
              <w:t>第</w:t>
            </w: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w:t>
            </w:r>
            <w:r>
              <w:rPr>
                <w:rFonts w:hint="eastAsia" w:ascii="宋体" w:hAnsi="宋体" w:cs="宋体"/>
                <w:szCs w:val="21"/>
              </w:rPr>
              <w:t>目</w:t>
            </w:r>
            <w:r>
              <w:rPr>
                <w:rFonts w:hint="eastAsia" w:ascii="宋体" w:hAnsi="宋体"/>
                <w:szCs w:val="21"/>
              </w:rPr>
              <w:t>及第3.2.1（1）目</w:t>
            </w:r>
            <w:r>
              <w:rPr>
                <w:rFonts w:hint="eastAsia" w:ascii="宋体" w:hAnsi="宋体" w:cs="宋体"/>
                <w:szCs w:val="21"/>
              </w:rPr>
              <w:t>的规定</w:t>
            </w:r>
            <w:r>
              <w:rPr>
                <w:rFonts w:hint="eastAsia" w:ascii="宋体" w:hAnsi="宋体" w:cs="宋体"/>
                <w:szCs w:val="21"/>
                <w:lang w:eastAsia="zh-CN"/>
              </w:rPr>
              <w:t>，进行</w:t>
            </w:r>
            <w:r>
              <w:rPr>
                <w:rFonts w:hint="eastAsia" w:ascii="宋体" w:hAnsi="宋体" w:cs="宋体"/>
                <w:szCs w:val="21"/>
              </w:rPr>
              <w:t>技术评审</w:t>
            </w:r>
            <w:r>
              <w:rPr>
                <w:rFonts w:hint="eastAsia" w:ascii="宋体" w:hAnsi="宋体" w:cs="宋体"/>
                <w:szCs w:val="21"/>
                <w:lang w:eastAsia="zh-CN"/>
              </w:rPr>
              <w:t>，</w:t>
            </w:r>
            <w:r>
              <w:rPr>
                <w:rFonts w:hint="eastAsia" w:ascii="宋体" w:hAnsi="宋体" w:cs="宋体"/>
                <w:szCs w:val="21"/>
                <w:lang w:val="en-US" w:eastAsia="zh-CN"/>
              </w:rPr>
              <w:t>计算出</w:t>
            </w:r>
            <w:r>
              <w:rPr>
                <w:rFonts w:hint="eastAsia" w:ascii="宋体" w:hAnsi="宋体" w:cs="宋体"/>
                <w:szCs w:val="21"/>
              </w:rPr>
              <w:t>技术</w:t>
            </w:r>
            <w:r>
              <w:rPr>
                <w:rFonts w:hint="eastAsia" w:ascii="宋体" w:hAnsi="宋体" w:cs="宋体"/>
                <w:szCs w:val="21"/>
                <w:lang w:val="en-US" w:eastAsia="zh-CN"/>
              </w:rPr>
              <w:t>得分A</w:t>
            </w:r>
            <w:r>
              <w:rPr>
                <w:rFonts w:hint="eastAsia" w:ascii="宋体" w:hAnsi="宋体" w:cs="宋体"/>
                <w:szCs w:val="21"/>
              </w:rPr>
              <w:t>。</w:t>
            </w:r>
          </w:p>
          <w:p w14:paraId="1BB21382">
            <w:pPr>
              <w:keepNext w:val="0"/>
              <w:keepLines w:val="0"/>
              <w:pageBreakBefore w:val="0"/>
              <w:widowControl w:val="0"/>
              <w:kinsoku/>
              <w:wordWrap/>
              <w:overflowPunct/>
              <w:topLinePunct w:val="0"/>
              <w:bidi w:val="0"/>
              <w:spacing w:beforeAutospacing="0" w:afterAutospacing="0" w:line="400" w:lineRule="exact"/>
              <w:ind w:firstLine="420" w:firstLineChars="200"/>
              <w:jc w:val="left"/>
              <w:textAlignment w:val="auto"/>
              <w:rPr>
                <w:rFonts w:hint="eastAsia" w:ascii="宋体" w:hAnsi="宋体" w:cs="宋体"/>
                <w:szCs w:val="21"/>
                <w:lang w:val="en-US" w:eastAsia="zh-CN"/>
              </w:rPr>
            </w:pPr>
            <w:r>
              <w:rPr>
                <w:rFonts w:hint="eastAsia" w:ascii="宋体" w:hAnsi="宋体" w:cs="宋体"/>
                <w:szCs w:val="21"/>
                <w:lang w:val="en-US" w:eastAsia="zh-CN"/>
              </w:rPr>
              <w:t>3.商务评审。</w:t>
            </w:r>
            <w:r>
              <w:rPr>
                <w:rFonts w:hint="eastAsia" w:ascii="宋体" w:hAnsi="宋体" w:cs="宋体"/>
                <w:szCs w:val="21"/>
              </w:rPr>
              <w:t>按</w:t>
            </w:r>
            <w:r>
              <w:rPr>
                <w:rFonts w:hint="eastAsia" w:ascii="宋体" w:hAnsi="宋体" w:cs="宋体"/>
                <w:szCs w:val="21"/>
                <w:lang w:val="en-US" w:eastAsia="zh-CN"/>
              </w:rPr>
              <w:t>照</w:t>
            </w:r>
            <w:r>
              <w:rPr>
                <w:rFonts w:hint="eastAsia" w:ascii="宋体" w:hAnsi="宋体" w:cs="宋体"/>
                <w:szCs w:val="21"/>
              </w:rPr>
              <w:t>第2.2.2（</w:t>
            </w:r>
            <w:r>
              <w:rPr>
                <w:rFonts w:hint="eastAsia" w:ascii="宋体" w:hAnsi="宋体" w:cs="宋体"/>
                <w:szCs w:val="21"/>
                <w:lang w:val="en-US" w:eastAsia="zh-CN"/>
              </w:rPr>
              <w:t>2</w:t>
            </w:r>
            <w:r>
              <w:rPr>
                <w:rFonts w:hint="eastAsia" w:ascii="宋体" w:hAnsi="宋体" w:cs="宋体"/>
                <w:szCs w:val="21"/>
              </w:rPr>
              <w:t>）目</w:t>
            </w:r>
            <w:r>
              <w:rPr>
                <w:rFonts w:hint="eastAsia" w:ascii="宋体" w:hAnsi="宋体"/>
                <w:szCs w:val="21"/>
              </w:rPr>
              <w:t>及第3.2.1（</w:t>
            </w:r>
            <w:r>
              <w:rPr>
                <w:rFonts w:hint="eastAsia" w:ascii="宋体" w:hAnsi="宋体"/>
                <w:szCs w:val="21"/>
                <w:lang w:val="en-US" w:eastAsia="zh-CN"/>
              </w:rPr>
              <w:t>2</w:t>
            </w:r>
            <w:r>
              <w:rPr>
                <w:rFonts w:hint="eastAsia" w:ascii="宋体" w:hAnsi="宋体"/>
                <w:szCs w:val="21"/>
              </w:rPr>
              <w:t>）目</w:t>
            </w:r>
            <w:r>
              <w:rPr>
                <w:rFonts w:hint="eastAsia" w:ascii="宋体" w:hAnsi="宋体" w:cs="宋体"/>
                <w:szCs w:val="21"/>
              </w:rPr>
              <w:t>的规定</w:t>
            </w:r>
            <w:r>
              <w:rPr>
                <w:rFonts w:hint="eastAsia" w:ascii="宋体" w:hAnsi="宋体" w:cs="宋体"/>
                <w:szCs w:val="21"/>
                <w:lang w:eastAsia="zh-CN"/>
              </w:rPr>
              <w:t>，进行商务</w:t>
            </w:r>
            <w:r>
              <w:rPr>
                <w:rFonts w:hint="eastAsia" w:ascii="宋体" w:hAnsi="宋体" w:cs="宋体"/>
                <w:szCs w:val="21"/>
              </w:rPr>
              <w:t>评审</w:t>
            </w:r>
            <w:r>
              <w:rPr>
                <w:rFonts w:hint="eastAsia" w:ascii="宋体" w:hAnsi="宋体" w:cs="宋体"/>
                <w:szCs w:val="21"/>
                <w:lang w:eastAsia="zh-CN"/>
              </w:rPr>
              <w:t>，</w:t>
            </w:r>
            <w:r>
              <w:rPr>
                <w:rFonts w:hint="eastAsia" w:ascii="宋体" w:hAnsi="宋体" w:cs="宋体"/>
                <w:szCs w:val="21"/>
                <w:lang w:val="en-US" w:eastAsia="zh-CN"/>
              </w:rPr>
              <w:t>计算出商务得分B</w:t>
            </w:r>
            <w:r>
              <w:rPr>
                <w:rFonts w:hint="eastAsia" w:ascii="宋体" w:hAnsi="宋体" w:cs="宋体"/>
                <w:szCs w:val="21"/>
              </w:rPr>
              <w:t>。</w:t>
            </w:r>
          </w:p>
          <w:p w14:paraId="0A9BD7E7">
            <w:pPr>
              <w:keepNext w:val="0"/>
              <w:keepLines w:val="0"/>
              <w:pageBreakBefore w:val="0"/>
              <w:widowControl w:val="0"/>
              <w:kinsoku/>
              <w:wordWrap/>
              <w:overflowPunct/>
              <w:topLinePunct w:val="0"/>
              <w:bidi w:val="0"/>
              <w:spacing w:beforeAutospacing="0" w:afterAutospacing="0" w:line="400" w:lineRule="exact"/>
              <w:ind w:firstLine="420" w:firstLineChars="200"/>
              <w:jc w:val="both"/>
              <w:textAlignment w:val="auto"/>
              <w:rPr>
                <w:rFonts w:hint="eastAsia" w:ascii="宋体" w:hAnsi="宋体" w:cs="宋体"/>
                <w:szCs w:val="21"/>
                <w:lang w:eastAsia="zh-CN"/>
              </w:rPr>
            </w:pPr>
            <w:r>
              <w:rPr>
                <w:rFonts w:hint="eastAsia" w:ascii="宋体" w:hAnsi="宋体" w:cs="宋体"/>
                <w:szCs w:val="21"/>
                <w:lang w:val="en-US" w:eastAsia="zh-CN"/>
              </w:rPr>
              <w:t>4.投标函部分评审。</w:t>
            </w:r>
            <w:r>
              <w:rPr>
                <w:rFonts w:hint="eastAsia" w:ascii="宋体" w:hAnsi="宋体" w:cs="宋体"/>
                <w:szCs w:val="21"/>
              </w:rPr>
              <w:t>对技术、商务总得分最高的前</w:t>
            </w:r>
            <w:r>
              <w:rPr>
                <w:rFonts w:hint="eastAsia" w:ascii="宋体" w:hAnsi="宋体" w:cs="宋体"/>
                <w:szCs w:val="21"/>
                <w:u w:val="single"/>
                <w:lang w:val="en-US" w:eastAsia="zh-CN"/>
              </w:rPr>
              <w:t xml:space="preserve"> 10 </w:t>
            </w:r>
            <w:r>
              <w:rPr>
                <w:rFonts w:hint="eastAsia" w:ascii="宋体" w:hAnsi="宋体" w:cs="宋体"/>
                <w:szCs w:val="21"/>
              </w:rPr>
              <w:t>个投标文件，按</w:t>
            </w:r>
            <w:r>
              <w:rPr>
                <w:rFonts w:hint="eastAsia" w:ascii="宋体" w:hAnsi="宋体" w:cs="宋体"/>
                <w:szCs w:val="21"/>
                <w:lang w:val="en-US" w:eastAsia="zh-CN"/>
              </w:rPr>
              <w:t>照</w:t>
            </w:r>
            <w:r>
              <w:rPr>
                <w:rFonts w:hint="eastAsia" w:ascii="宋体" w:hAnsi="宋体" w:cs="宋体"/>
                <w:szCs w:val="21"/>
              </w:rPr>
              <w:t>第2.2.2（</w:t>
            </w:r>
            <w:r>
              <w:rPr>
                <w:rFonts w:hint="eastAsia" w:ascii="宋体" w:hAnsi="宋体" w:cs="宋体"/>
                <w:szCs w:val="21"/>
                <w:lang w:val="en-US" w:eastAsia="zh-CN"/>
              </w:rPr>
              <w:t>3</w:t>
            </w:r>
            <w:r>
              <w:rPr>
                <w:rFonts w:hint="eastAsia" w:ascii="宋体" w:hAnsi="宋体" w:cs="宋体"/>
                <w:szCs w:val="21"/>
              </w:rPr>
              <w:t>）目的规定</w:t>
            </w:r>
            <w:r>
              <w:rPr>
                <w:rFonts w:hint="eastAsia" w:ascii="宋体" w:hAnsi="宋体" w:cs="宋体"/>
                <w:szCs w:val="21"/>
                <w:lang w:eastAsia="zh-CN"/>
              </w:rPr>
              <w:t>，进行</w:t>
            </w:r>
            <w:r>
              <w:rPr>
                <w:rFonts w:hint="eastAsia" w:ascii="宋体" w:hAnsi="宋体" w:cs="宋体"/>
                <w:szCs w:val="21"/>
                <w:lang w:val="en-US" w:eastAsia="zh-CN"/>
              </w:rPr>
              <w:t>投标函部分</w:t>
            </w:r>
            <w:r>
              <w:rPr>
                <w:rFonts w:hint="eastAsia" w:ascii="宋体" w:hAnsi="宋体" w:cs="宋体"/>
                <w:szCs w:val="21"/>
              </w:rPr>
              <w:t>评审，</w:t>
            </w:r>
            <w:r>
              <w:rPr>
                <w:rFonts w:hint="eastAsia" w:ascii="宋体" w:hAnsi="宋体" w:cs="宋体"/>
                <w:szCs w:val="21"/>
                <w:lang w:eastAsia="zh-CN"/>
              </w:rPr>
              <w:t>未通过</w:t>
            </w:r>
            <w:r>
              <w:rPr>
                <w:rFonts w:hint="eastAsia" w:ascii="宋体" w:hAnsi="宋体" w:cs="宋体"/>
                <w:szCs w:val="21"/>
                <w:lang w:val="en-US" w:eastAsia="zh-CN"/>
              </w:rPr>
              <w:t>投标函部分</w:t>
            </w:r>
            <w:r>
              <w:rPr>
                <w:rFonts w:hint="eastAsia" w:ascii="宋体" w:hAnsi="宋体" w:cs="宋体"/>
                <w:szCs w:val="21"/>
              </w:rPr>
              <w:t>评审</w:t>
            </w:r>
            <w:r>
              <w:rPr>
                <w:rFonts w:hint="eastAsia" w:ascii="宋体" w:hAnsi="宋体" w:cs="宋体"/>
                <w:szCs w:val="21"/>
                <w:lang w:eastAsia="zh-CN"/>
              </w:rPr>
              <w:t>的</w:t>
            </w:r>
            <w:r>
              <w:rPr>
                <w:rFonts w:hint="eastAsia" w:ascii="宋体" w:hAnsi="宋体" w:cs="宋体"/>
                <w:szCs w:val="21"/>
              </w:rPr>
              <w:t>投标文件不再</w:t>
            </w:r>
            <w:r>
              <w:rPr>
                <w:rFonts w:hint="eastAsia" w:ascii="宋体" w:hAnsi="宋体" w:cs="宋体"/>
                <w:szCs w:val="21"/>
                <w:lang w:eastAsia="zh-CN"/>
              </w:rPr>
              <w:t>进行</w:t>
            </w:r>
            <w:r>
              <w:rPr>
                <w:rFonts w:hint="eastAsia" w:ascii="宋体" w:hAnsi="宋体" w:cs="宋体"/>
                <w:szCs w:val="21"/>
              </w:rPr>
              <w:t>后续评审</w:t>
            </w:r>
            <w:r>
              <w:rPr>
                <w:rFonts w:hint="eastAsia" w:ascii="宋体" w:hAnsi="宋体" w:cs="宋体"/>
                <w:szCs w:val="21"/>
                <w:lang w:eastAsia="zh-CN"/>
              </w:rPr>
              <w:t>。通过初步评审的投标文件不足</w:t>
            </w:r>
            <w:r>
              <w:rPr>
                <w:rFonts w:hint="eastAsia" w:ascii="宋体" w:hAnsi="宋体" w:cs="宋体"/>
                <w:szCs w:val="21"/>
                <w:u w:val="single"/>
                <w:lang w:val="en-US" w:eastAsia="zh-CN"/>
              </w:rPr>
              <w:t xml:space="preserve"> 10 </w:t>
            </w:r>
            <w:r>
              <w:rPr>
                <w:rFonts w:hint="eastAsia" w:ascii="宋体" w:hAnsi="宋体" w:cs="宋体"/>
                <w:szCs w:val="21"/>
                <w:lang w:val="en-US" w:eastAsia="zh-CN"/>
              </w:rPr>
              <w:t>个时，</w:t>
            </w:r>
            <w:r>
              <w:rPr>
                <w:rFonts w:hint="eastAsia" w:ascii="宋体" w:hAnsi="宋体" w:cs="宋体"/>
                <w:szCs w:val="21"/>
                <w:lang w:eastAsia="zh-CN"/>
              </w:rPr>
              <w:t>全部</w:t>
            </w:r>
            <w:r>
              <w:rPr>
                <w:rFonts w:hint="eastAsia" w:ascii="宋体" w:hAnsi="宋体" w:cs="宋体"/>
                <w:szCs w:val="21"/>
                <w:lang w:val="en-US" w:eastAsia="zh-CN"/>
              </w:rPr>
              <w:t>进入投标函部分评审。</w:t>
            </w:r>
            <w:r>
              <w:rPr>
                <w:rFonts w:hint="eastAsia" w:ascii="宋体" w:hAnsi="宋体" w:cs="宋体"/>
                <w:szCs w:val="21"/>
                <w:lang w:eastAsia="zh-CN"/>
              </w:rPr>
              <w:t>与第</w:t>
            </w:r>
            <w:r>
              <w:rPr>
                <w:rFonts w:hint="eastAsia" w:ascii="宋体" w:hAnsi="宋体" w:cs="宋体"/>
                <w:szCs w:val="21"/>
                <w:u w:val="single"/>
                <w:lang w:val="en-US" w:eastAsia="zh-CN"/>
              </w:rPr>
              <w:t xml:space="preserve"> 10 </w:t>
            </w:r>
            <w:r>
              <w:rPr>
                <w:rFonts w:hint="eastAsia" w:ascii="宋体" w:hAnsi="宋体" w:cs="宋体"/>
                <w:szCs w:val="21"/>
              </w:rPr>
              <w:t>个投标文件</w:t>
            </w:r>
            <w:r>
              <w:rPr>
                <w:rFonts w:hint="eastAsia" w:ascii="宋体" w:hAnsi="宋体" w:cs="宋体"/>
                <w:szCs w:val="21"/>
                <w:lang w:eastAsia="zh-CN"/>
              </w:rPr>
              <w:t>的技术、商务总得分相同的所有投标文件，</w:t>
            </w:r>
            <w:r>
              <w:rPr>
                <w:rFonts w:hint="eastAsia" w:ascii="宋体" w:hAnsi="宋体" w:cs="宋体"/>
                <w:szCs w:val="21"/>
              </w:rPr>
              <w:t>全部进入</w:t>
            </w:r>
            <w:r>
              <w:rPr>
                <w:rFonts w:hint="eastAsia" w:ascii="宋体" w:hAnsi="宋体" w:cs="宋体"/>
                <w:szCs w:val="21"/>
                <w:lang w:val="en-US" w:eastAsia="zh-CN"/>
              </w:rPr>
              <w:t>投标函部分评审</w:t>
            </w:r>
            <w:r>
              <w:rPr>
                <w:rFonts w:hint="eastAsia" w:ascii="宋体" w:hAnsi="宋体" w:cs="宋体"/>
                <w:szCs w:val="21"/>
                <w:lang w:eastAsia="zh-CN"/>
              </w:rPr>
              <w:t>。</w:t>
            </w:r>
          </w:p>
          <w:p w14:paraId="18524D22">
            <w:pPr>
              <w:keepNext w:val="0"/>
              <w:keepLines w:val="0"/>
              <w:pageBreakBefore w:val="0"/>
              <w:widowControl w:val="0"/>
              <w:kinsoku/>
              <w:wordWrap/>
              <w:overflowPunct/>
              <w:topLinePunct w:val="0"/>
              <w:bidi w:val="0"/>
              <w:spacing w:beforeAutospacing="0" w:afterAutospacing="0" w:line="400" w:lineRule="exact"/>
              <w:ind w:firstLine="420" w:firstLineChars="200"/>
              <w:jc w:val="left"/>
              <w:textAlignment w:val="auto"/>
              <w:rPr>
                <w:rFonts w:hint="eastAsia" w:ascii="宋体" w:hAnsi="宋体" w:cs="宋体"/>
                <w:szCs w:val="21"/>
              </w:rPr>
            </w:pPr>
            <w:r>
              <w:rPr>
                <w:rFonts w:hint="eastAsia" w:ascii="宋体" w:hAnsi="宋体" w:cs="宋体"/>
                <w:szCs w:val="21"/>
                <w:lang w:val="en-US" w:eastAsia="zh-CN"/>
              </w:rPr>
              <w:t>5.报价评审。</w:t>
            </w:r>
            <w:r>
              <w:rPr>
                <w:rFonts w:hint="eastAsia" w:ascii="宋体" w:hAnsi="宋体" w:cs="宋体"/>
                <w:szCs w:val="21"/>
              </w:rPr>
              <w:t>按照第2.2.3项</w:t>
            </w:r>
            <w:r>
              <w:rPr>
                <w:rFonts w:hint="eastAsia" w:ascii="宋体" w:hAnsi="宋体" w:cs="宋体"/>
                <w:szCs w:val="21"/>
                <w:lang w:eastAsia="zh-CN"/>
              </w:rPr>
              <w:t>的规定，</w:t>
            </w:r>
            <w:r>
              <w:rPr>
                <w:rFonts w:hint="eastAsia" w:ascii="宋体" w:hAnsi="宋体" w:cs="宋体"/>
                <w:szCs w:val="21"/>
              </w:rPr>
              <w:t>计算评标基准价</w:t>
            </w:r>
            <w:r>
              <w:rPr>
                <w:rFonts w:hint="eastAsia" w:ascii="宋体" w:hAnsi="宋体" w:cs="宋体"/>
                <w:szCs w:val="21"/>
                <w:lang w:eastAsia="zh-CN"/>
              </w:rPr>
              <w:t>；</w:t>
            </w:r>
            <w:r>
              <w:rPr>
                <w:rFonts w:hint="eastAsia" w:ascii="宋体" w:hAnsi="宋体" w:cs="宋体"/>
                <w:szCs w:val="21"/>
              </w:rPr>
              <w:t>并按</w:t>
            </w:r>
            <w:r>
              <w:rPr>
                <w:rFonts w:hint="eastAsia" w:ascii="宋体" w:hAnsi="宋体" w:cs="宋体"/>
                <w:szCs w:val="21"/>
                <w:lang w:val="en-US" w:eastAsia="zh-CN"/>
              </w:rPr>
              <w:t>照</w:t>
            </w:r>
            <w:r>
              <w:rPr>
                <w:rFonts w:hint="eastAsia" w:ascii="宋体" w:hAnsi="宋体" w:cs="宋体"/>
                <w:szCs w:val="21"/>
              </w:rPr>
              <w:t>第</w:t>
            </w:r>
            <w:r>
              <w:rPr>
                <w:rFonts w:hint="eastAsia" w:ascii="宋体" w:hAnsi="宋体"/>
                <w:szCs w:val="21"/>
              </w:rPr>
              <w:t>3.2.1（</w:t>
            </w:r>
            <w:r>
              <w:rPr>
                <w:rFonts w:hint="eastAsia" w:ascii="宋体" w:hAnsi="宋体"/>
                <w:szCs w:val="21"/>
                <w:lang w:val="en-US" w:eastAsia="zh-CN"/>
              </w:rPr>
              <w:t>3</w:t>
            </w:r>
            <w:r>
              <w:rPr>
                <w:rFonts w:hint="eastAsia" w:ascii="宋体" w:hAnsi="宋体"/>
                <w:szCs w:val="21"/>
              </w:rPr>
              <w:t>）目</w:t>
            </w:r>
            <w:r>
              <w:rPr>
                <w:rFonts w:hint="eastAsia" w:ascii="宋体" w:hAnsi="宋体" w:cs="宋体"/>
                <w:szCs w:val="21"/>
              </w:rPr>
              <w:t>的规定</w:t>
            </w:r>
            <w:r>
              <w:rPr>
                <w:rFonts w:hint="eastAsia" w:ascii="宋体" w:hAnsi="宋体" w:cs="宋体"/>
                <w:szCs w:val="21"/>
                <w:lang w:eastAsia="zh-CN"/>
              </w:rPr>
              <w:t>，</w:t>
            </w:r>
            <w:r>
              <w:rPr>
                <w:rFonts w:hint="eastAsia" w:ascii="宋体" w:hAnsi="宋体" w:cs="宋体"/>
                <w:szCs w:val="21"/>
              </w:rPr>
              <w:t>进行</w:t>
            </w:r>
            <w:r>
              <w:rPr>
                <w:rFonts w:hint="eastAsia" w:ascii="宋体" w:hAnsi="宋体" w:cs="宋体"/>
                <w:szCs w:val="21"/>
                <w:lang w:eastAsia="zh-CN"/>
              </w:rPr>
              <w:t>报价</w:t>
            </w:r>
            <w:r>
              <w:rPr>
                <w:rFonts w:hint="eastAsia" w:ascii="宋体" w:hAnsi="宋体" w:cs="宋体"/>
                <w:szCs w:val="21"/>
                <w:lang w:val="en-US" w:eastAsia="zh-CN"/>
              </w:rPr>
              <w:t>评审</w:t>
            </w:r>
            <w:r>
              <w:rPr>
                <w:rFonts w:hint="eastAsia" w:ascii="宋体" w:hAnsi="宋体" w:cs="宋体"/>
                <w:szCs w:val="21"/>
                <w:lang w:eastAsia="zh-CN"/>
              </w:rPr>
              <w:t>，</w:t>
            </w:r>
            <w:r>
              <w:rPr>
                <w:rFonts w:hint="eastAsia" w:ascii="宋体" w:hAnsi="宋体" w:cs="宋体"/>
                <w:szCs w:val="21"/>
                <w:lang w:val="en-US" w:eastAsia="zh-CN"/>
              </w:rPr>
              <w:t>计算出报价得分C</w:t>
            </w:r>
            <w:r>
              <w:rPr>
                <w:rFonts w:hint="eastAsia" w:ascii="宋体" w:hAnsi="宋体" w:cs="宋体"/>
                <w:szCs w:val="21"/>
              </w:rPr>
              <w:t>。</w:t>
            </w:r>
          </w:p>
          <w:p w14:paraId="764DDA64">
            <w:pPr>
              <w:keepNext w:val="0"/>
              <w:keepLines w:val="0"/>
              <w:pageBreakBefore w:val="0"/>
              <w:widowControl w:val="0"/>
              <w:kinsoku/>
              <w:wordWrap/>
              <w:overflowPunct/>
              <w:topLinePunct w:val="0"/>
              <w:bidi w:val="0"/>
              <w:spacing w:beforeAutospacing="0" w:afterAutospacing="0" w:line="400" w:lineRule="exact"/>
              <w:ind w:firstLine="420" w:firstLineChars="200"/>
              <w:jc w:val="left"/>
              <w:textAlignment w:val="auto"/>
              <w:rPr>
                <w:rFonts w:hint="eastAsia" w:ascii="宋体" w:hAnsi="宋体"/>
                <w:szCs w:val="21"/>
              </w:rPr>
            </w:pP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eastAsia="zh-CN"/>
              </w:rPr>
              <w:t>汇总得分。</w:t>
            </w:r>
            <w:r>
              <w:rPr>
                <w:rFonts w:hint="eastAsia" w:ascii="宋体" w:hAnsi="宋体" w:cs="宋体"/>
                <w:szCs w:val="21"/>
              </w:rPr>
              <w:t>对技术</w:t>
            </w:r>
            <w:r>
              <w:rPr>
                <w:rFonts w:hint="eastAsia" w:ascii="宋体" w:hAnsi="宋体" w:cs="宋体"/>
                <w:szCs w:val="21"/>
                <w:lang w:val="en-US" w:eastAsia="zh-CN"/>
              </w:rPr>
              <w:t>得分A</w:t>
            </w:r>
            <w:r>
              <w:rPr>
                <w:rFonts w:hint="eastAsia" w:ascii="宋体" w:hAnsi="宋体" w:cs="宋体"/>
                <w:szCs w:val="21"/>
                <w:lang w:eastAsia="zh-CN"/>
              </w:rPr>
              <w:t>、</w:t>
            </w:r>
            <w:r>
              <w:rPr>
                <w:rFonts w:hint="eastAsia" w:ascii="宋体" w:hAnsi="宋体" w:cs="宋体"/>
                <w:szCs w:val="21"/>
                <w:lang w:val="en-US" w:eastAsia="zh-CN"/>
              </w:rPr>
              <w:t>商务得分B</w:t>
            </w:r>
            <w:r>
              <w:rPr>
                <w:rFonts w:hint="eastAsia" w:ascii="宋体" w:hAnsi="宋体" w:cs="宋体"/>
                <w:szCs w:val="21"/>
              </w:rPr>
              <w:t>、报价得分</w:t>
            </w:r>
            <w:r>
              <w:rPr>
                <w:rFonts w:hint="eastAsia" w:ascii="宋体" w:hAnsi="宋体" w:cs="宋体"/>
                <w:szCs w:val="21"/>
                <w:lang w:val="en-US" w:eastAsia="zh-CN"/>
              </w:rPr>
              <w:t>C</w:t>
            </w:r>
            <w:r>
              <w:rPr>
                <w:rFonts w:hint="eastAsia" w:ascii="宋体" w:hAnsi="宋体" w:cs="宋体"/>
                <w:szCs w:val="21"/>
              </w:rPr>
              <w:t>进行汇总，确定得分由高至低前三名投标人为中标候选人。</w:t>
            </w:r>
          </w:p>
          <w:p w14:paraId="78E801E1">
            <w:pPr>
              <w:spacing w:after="31" w:afterLines="10" w:line="400" w:lineRule="exact"/>
              <w:ind w:firstLine="420" w:firstLineChars="200"/>
              <w:jc w:val="left"/>
              <w:rPr>
                <w:rFonts w:hint="eastAsia" w:asciiTheme="minorEastAsia" w:hAnsiTheme="minorEastAsia" w:eastAsiaTheme="minorEastAsia" w:cstheme="minorEastAsia"/>
                <w:i w:val="0"/>
                <w:iCs w:val="0"/>
                <w:color w:val="auto"/>
                <w:kern w:val="0"/>
                <w:szCs w:val="21"/>
                <w:highlight w:val="none"/>
                <w:lang w:val="en-US" w:eastAsia="zh-CN"/>
              </w:rPr>
            </w:pPr>
            <w:r>
              <w:rPr>
                <w:rFonts w:hint="eastAsia" w:ascii="宋体" w:hAnsi="宋体"/>
                <w:szCs w:val="21"/>
                <w:lang w:val="en-US" w:eastAsia="zh-CN"/>
              </w:rPr>
              <w:t>注：1</w:t>
            </w:r>
            <w:r>
              <w:rPr>
                <w:rFonts w:hint="eastAsia" w:ascii="宋体" w:hAnsi="宋体"/>
                <w:szCs w:val="21"/>
              </w:rPr>
              <w:t>.因评标委员会作否决投标处理导致有效投标人不足三个的，评标委员会应当</w:t>
            </w:r>
            <w:r>
              <w:rPr>
                <w:rFonts w:hint="eastAsia" w:ascii="宋体" w:hAnsi="宋体"/>
                <w:color w:val="auto"/>
                <w:spacing w:val="4"/>
                <w:kern w:val="0"/>
                <w:szCs w:val="21"/>
                <w:highlight w:val="none"/>
                <w:lang w:eastAsia="zh-CN"/>
              </w:rPr>
              <w:t>对有效投标人是否仍具有竞争性进行论证</w:t>
            </w:r>
            <w:r>
              <w:rPr>
                <w:rFonts w:hint="eastAsia" w:ascii="宋体" w:hAnsi="宋体"/>
                <w:color w:val="auto"/>
                <w:spacing w:val="4"/>
                <w:kern w:val="0"/>
                <w:szCs w:val="21"/>
                <w:highlight w:val="none"/>
              </w:rPr>
              <w:t>。评标委员会</w:t>
            </w:r>
            <w:r>
              <w:rPr>
                <w:rFonts w:hint="eastAsia" w:ascii="宋体" w:hAnsi="宋体"/>
                <w:color w:val="auto"/>
                <w:spacing w:val="4"/>
                <w:kern w:val="0"/>
                <w:szCs w:val="21"/>
                <w:highlight w:val="none"/>
                <w:lang w:eastAsia="zh-CN"/>
              </w:rPr>
              <w:t>认为</w:t>
            </w:r>
            <w:r>
              <w:rPr>
                <w:rFonts w:hint="eastAsia" w:ascii="宋体" w:hAnsi="宋体"/>
                <w:szCs w:val="21"/>
              </w:rPr>
              <w:t>有效投标人的经济、技术等指标仍然具有市场竞争力，能够满足招标文件要求的，评标委员会可以继续评标并确定中标候选人。</w:t>
            </w:r>
            <w:r>
              <w:rPr>
                <w:rFonts w:hint="eastAsia" w:asciiTheme="minorEastAsia" w:hAnsiTheme="minorEastAsia" w:eastAsiaTheme="minorEastAsia" w:cstheme="minorEastAsia"/>
                <w:i w:val="0"/>
                <w:iCs w:val="0"/>
                <w:color w:val="auto"/>
                <w:kern w:val="0"/>
                <w:szCs w:val="21"/>
                <w:highlight w:val="none"/>
                <w:lang w:val="en-US" w:eastAsia="zh-CN"/>
              </w:rPr>
              <w:t>（</w:t>
            </w:r>
            <w:r>
              <w:rPr>
                <w:rFonts w:hint="eastAsia" w:ascii="宋体" w:hAnsi="宋体" w:eastAsia="宋体" w:cs="宋体"/>
                <w:i w:val="0"/>
                <w:iCs w:val="0"/>
                <w:color w:val="auto"/>
                <w:kern w:val="0"/>
                <w:szCs w:val="21"/>
                <w:highlight w:val="none"/>
                <w:lang w:val="en-US" w:eastAsia="zh-CN"/>
              </w:rPr>
              <w:t>注：本款只适用于首次招标。</w:t>
            </w:r>
            <w:r>
              <w:rPr>
                <w:rFonts w:hint="eastAsia" w:ascii="宋体" w:hAnsi="宋体" w:cs="宋体"/>
                <w:i w:val="0"/>
                <w:iCs w:val="0"/>
                <w:color w:val="auto"/>
                <w:kern w:val="0"/>
                <w:szCs w:val="21"/>
                <w:highlight w:val="none"/>
                <w:lang w:val="en-US" w:eastAsia="zh-CN"/>
              </w:rPr>
              <w:t>重新招标经评审有有效投标人的，应当依法确定中标候选人。</w:t>
            </w:r>
            <w:r>
              <w:rPr>
                <w:rFonts w:hint="eastAsia" w:asciiTheme="minorEastAsia" w:hAnsiTheme="minorEastAsia" w:eastAsiaTheme="minorEastAsia" w:cstheme="minorEastAsia"/>
                <w:i w:val="0"/>
                <w:iCs w:val="0"/>
                <w:color w:val="auto"/>
                <w:kern w:val="0"/>
                <w:szCs w:val="21"/>
                <w:highlight w:val="none"/>
                <w:lang w:val="en-US" w:eastAsia="zh-CN"/>
              </w:rPr>
              <w:t>）</w:t>
            </w:r>
          </w:p>
          <w:p w14:paraId="243EC706">
            <w:pPr>
              <w:spacing w:after="31" w:afterLines="10" w:line="400" w:lineRule="exact"/>
              <w:ind w:firstLine="420" w:firstLineChars="200"/>
              <w:jc w:val="left"/>
              <w:rPr>
                <w:rFonts w:ascii="宋体" w:hAnsi="宋体"/>
                <w:szCs w:val="21"/>
              </w:rPr>
            </w:pPr>
            <w:r>
              <w:rPr>
                <w:rFonts w:hint="eastAsia" w:ascii="宋体" w:hAnsi="宋体"/>
                <w:kern w:val="0"/>
                <w:szCs w:val="21"/>
                <w:lang w:val="en-US" w:eastAsia="zh-CN"/>
              </w:rPr>
              <w:t>2.综合评分</w:t>
            </w:r>
            <w:r>
              <w:rPr>
                <w:rFonts w:hint="eastAsia" w:ascii="宋体" w:hAnsi="宋体"/>
                <w:kern w:val="0"/>
                <w:szCs w:val="21"/>
              </w:rPr>
              <w:t>相</w:t>
            </w:r>
            <w:r>
              <w:rPr>
                <w:rFonts w:hint="eastAsia" w:ascii="宋体" w:hAnsi="宋体"/>
                <w:kern w:val="0"/>
                <w:szCs w:val="21"/>
                <w:lang w:eastAsia="zh-CN"/>
              </w:rPr>
              <w:t>等</w:t>
            </w:r>
            <w:r>
              <w:rPr>
                <w:rFonts w:hint="eastAsia" w:ascii="宋体" w:hAnsi="宋体"/>
                <w:kern w:val="0"/>
                <w:szCs w:val="21"/>
              </w:rPr>
              <w:t>的，以投标报价低的优先；投标报价相</w:t>
            </w:r>
            <w:r>
              <w:rPr>
                <w:rFonts w:hint="eastAsia" w:ascii="宋体" w:hAnsi="宋体"/>
                <w:kern w:val="0"/>
                <w:szCs w:val="21"/>
                <w:lang w:eastAsia="zh-CN"/>
              </w:rPr>
              <w:t>等</w:t>
            </w:r>
            <w:r>
              <w:rPr>
                <w:rFonts w:hint="eastAsia" w:ascii="宋体" w:hAnsi="宋体"/>
                <w:kern w:val="0"/>
                <w:szCs w:val="21"/>
              </w:rPr>
              <w:t>的，</w:t>
            </w:r>
            <w:r>
              <w:rPr>
                <w:rFonts w:hint="eastAsia" w:ascii="宋体" w:hAnsi="宋体"/>
                <w:kern w:val="0"/>
                <w:szCs w:val="21"/>
                <w:lang w:eastAsia="zh-CN"/>
              </w:rPr>
              <w:t>以</w:t>
            </w:r>
            <w:r>
              <w:rPr>
                <w:rFonts w:hint="eastAsia" w:ascii="宋体" w:hAnsi="宋体"/>
                <w:kern w:val="0"/>
                <w:szCs w:val="21"/>
                <w:u w:val="single"/>
                <w:lang w:val="en-US" w:eastAsia="zh-CN"/>
              </w:rPr>
              <w:t xml:space="preserve"> 技术得分高 </w:t>
            </w:r>
            <w:r>
              <w:rPr>
                <w:rFonts w:hint="eastAsia" w:ascii="宋体" w:hAnsi="宋体"/>
                <w:kern w:val="0"/>
                <w:szCs w:val="21"/>
                <w:u w:val="none"/>
                <w:lang w:val="en-US" w:eastAsia="zh-CN"/>
              </w:rPr>
              <w:t>优先；</w:t>
            </w:r>
            <w:r>
              <w:rPr>
                <w:rFonts w:hint="eastAsia" w:ascii="宋体" w:hAnsi="宋体"/>
                <w:kern w:val="0"/>
                <w:szCs w:val="21"/>
                <w:u w:val="single"/>
                <w:lang w:val="en-US" w:eastAsia="zh-CN"/>
              </w:rPr>
              <w:t xml:space="preserve"> 技术得分高 </w:t>
            </w:r>
            <w:r>
              <w:rPr>
                <w:rFonts w:hint="eastAsia" w:ascii="宋体" w:hAnsi="宋体"/>
                <w:kern w:val="0"/>
                <w:szCs w:val="21"/>
                <w:u w:val="none"/>
                <w:lang w:val="en-US" w:eastAsia="zh-CN"/>
              </w:rPr>
              <w:t>也相同的，</w:t>
            </w:r>
            <w:r>
              <w:rPr>
                <w:rFonts w:hint="eastAsia" w:ascii="宋体" w:hAnsi="宋体"/>
                <w:kern w:val="0"/>
                <w:szCs w:val="21"/>
              </w:rPr>
              <w:t>由评标委员</w:t>
            </w:r>
            <w:r>
              <w:rPr>
                <w:rFonts w:hint="eastAsia" w:ascii="宋体" w:hAnsi="宋体"/>
                <w:kern w:val="0"/>
                <w:szCs w:val="21"/>
                <w:lang w:val="en-US" w:eastAsia="zh-CN"/>
              </w:rPr>
              <w:t>会</w:t>
            </w:r>
            <w:r>
              <w:rPr>
                <w:rFonts w:hint="eastAsia" w:ascii="宋体" w:hAnsi="宋体"/>
                <w:kern w:val="0"/>
                <w:szCs w:val="21"/>
                <w:lang w:eastAsia="zh-CN"/>
              </w:rPr>
              <w:t>投票</w:t>
            </w:r>
            <w:r>
              <w:rPr>
                <w:rFonts w:hint="eastAsia" w:ascii="宋体" w:hAnsi="宋体"/>
                <w:kern w:val="0"/>
                <w:szCs w:val="21"/>
              </w:rPr>
              <w:t>排序。</w:t>
            </w:r>
          </w:p>
        </w:tc>
      </w:tr>
      <w:tr w14:paraId="23859A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5" w:type="dxa"/>
            <w:vMerge w:val="restart"/>
            <w:vAlign w:val="center"/>
          </w:tcPr>
          <w:p w14:paraId="67EF9F54">
            <w:pPr>
              <w:spacing w:line="400" w:lineRule="exact"/>
              <w:jc w:val="center"/>
              <w:rPr>
                <w:rFonts w:ascii="宋体" w:hAnsi="宋体"/>
              </w:rPr>
            </w:pPr>
            <w:r>
              <w:rPr>
                <w:rFonts w:hint="eastAsia" w:ascii="宋体" w:hAnsi="宋体"/>
                <w:lang w:eastAsia="zh-CN"/>
              </w:rPr>
              <w:t>☑</w:t>
            </w:r>
            <w:r>
              <w:rPr>
                <w:rFonts w:ascii="宋体" w:hAnsi="宋体"/>
              </w:rPr>
              <w:t>3.2.1（</w:t>
            </w:r>
            <w:r>
              <w:rPr>
                <w:rFonts w:hint="eastAsia" w:ascii="宋体" w:hAnsi="宋体"/>
              </w:rPr>
              <w:t>1</w:t>
            </w:r>
            <w:r>
              <w:rPr>
                <w:rFonts w:ascii="宋体" w:hAnsi="宋体"/>
              </w:rPr>
              <w:t>）</w:t>
            </w:r>
          </w:p>
        </w:tc>
        <w:tc>
          <w:tcPr>
            <w:tcW w:w="1628" w:type="dxa"/>
            <w:vMerge w:val="restart"/>
            <w:vAlign w:val="center"/>
          </w:tcPr>
          <w:p w14:paraId="0602A25C">
            <w:pPr>
              <w:spacing w:line="400" w:lineRule="exact"/>
              <w:jc w:val="center"/>
              <w:rPr>
                <w:rFonts w:ascii="宋体" w:hAnsi="宋体"/>
              </w:rPr>
            </w:pPr>
            <w:r>
              <w:rPr>
                <w:rFonts w:hint="eastAsia" w:ascii="宋体" w:hAnsi="宋体"/>
              </w:rPr>
              <w:t>技术</w:t>
            </w:r>
            <w:r>
              <w:rPr>
                <w:rFonts w:hint="eastAsia" w:ascii="宋体" w:hAnsi="宋体"/>
                <w:lang w:val="en-US" w:eastAsia="zh-CN"/>
              </w:rPr>
              <w:t>评审得分</w:t>
            </w:r>
            <w:r>
              <w:rPr>
                <w:rFonts w:ascii="宋体" w:hAnsi="宋体"/>
                <w:spacing w:val="-4"/>
              </w:rPr>
              <w:t>（</w:t>
            </w:r>
            <w:r>
              <w:rPr>
                <w:rFonts w:hint="eastAsia" w:ascii="宋体" w:hAnsi="宋体"/>
                <w:spacing w:val="-4"/>
              </w:rPr>
              <w:t>A）</w:t>
            </w:r>
          </w:p>
        </w:tc>
        <w:tc>
          <w:tcPr>
            <w:tcW w:w="2675" w:type="dxa"/>
            <w:gridSpan w:val="3"/>
            <w:tcBorders>
              <w:bottom w:val="single" w:color="auto" w:sz="4" w:space="0"/>
            </w:tcBorders>
            <w:vAlign w:val="center"/>
          </w:tcPr>
          <w:p w14:paraId="6BE14D07">
            <w:pPr>
              <w:spacing w:line="400" w:lineRule="exact"/>
              <w:jc w:val="both"/>
              <w:rPr>
                <w:rFonts w:ascii="宋体" w:hAnsi="宋体"/>
              </w:rPr>
            </w:pPr>
            <w:r>
              <w:rPr>
                <w:rFonts w:hint="eastAsia" w:ascii="宋体" w:hAnsi="宋体" w:cs="宋体"/>
                <w:kern w:val="0"/>
              </w:rPr>
              <w:t>技术方案形式要求</w:t>
            </w:r>
          </w:p>
        </w:tc>
        <w:tc>
          <w:tcPr>
            <w:tcW w:w="4317" w:type="dxa"/>
            <w:gridSpan w:val="2"/>
            <w:tcBorders>
              <w:bottom w:val="single" w:color="auto" w:sz="4" w:space="0"/>
            </w:tcBorders>
            <w:vAlign w:val="center"/>
          </w:tcPr>
          <w:p w14:paraId="387735D7">
            <w:pPr>
              <w:spacing w:line="400" w:lineRule="exact"/>
              <w:ind w:firstLine="420" w:firstLineChars="200"/>
              <w:rPr>
                <w:rFonts w:ascii="宋体" w:hAnsi="宋体"/>
                <w:kern w:val="0"/>
                <w:szCs w:val="21"/>
              </w:rPr>
            </w:pPr>
            <w:r>
              <w:rPr>
                <w:rFonts w:hint="eastAsia" w:ascii="宋体" w:hAnsi="宋体"/>
                <w:kern w:val="0"/>
              </w:rPr>
              <w:t>不符合</w:t>
            </w:r>
            <w:r>
              <w:rPr>
                <w:rFonts w:hint="eastAsia" w:ascii="宋体" w:hAnsi="宋体" w:cs="宋体"/>
                <w:kern w:val="0"/>
              </w:rPr>
              <w:t>第二章投标人须知前附表第3.7.5项（</w:t>
            </w:r>
            <w:r>
              <w:rPr>
                <w:rFonts w:hint="eastAsia" w:ascii="宋体" w:hAnsi="宋体" w:cs="宋体"/>
                <w:kern w:val="0"/>
                <w:lang w:val="en-US" w:eastAsia="zh-CN"/>
              </w:rPr>
              <w:t>4</w:t>
            </w:r>
            <w:r>
              <w:rPr>
                <w:rFonts w:hint="eastAsia" w:ascii="宋体" w:hAnsi="宋体" w:cs="宋体"/>
                <w:kern w:val="0"/>
              </w:rPr>
              <w:t>）技术部分要求的</w:t>
            </w:r>
            <w:r>
              <w:rPr>
                <w:rFonts w:hint="eastAsia" w:ascii="宋体" w:hAnsi="宋体"/>
                <w:kern w:val="0"/>
              </w:rPr>
              <w:t>，技术方案得0分。</w:t>
            </w:r>
          </w:p>
        </w:tc>
      </w:tr>
      <w:tr w14:paraId="2BF9A2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5" w:type="dxa"/>
            <w:vMerge w:val="continue"/>
            <w:vAlign w:val="center"/>
          </w:tcPr>
          <w:p w14:paraId="42199FD6">
            <w:pPr>
              <w:spacing w:line="400" w:lineRule="exact"/>
              <w:jc w:val="center"/>
              <w:rPr>
                <w:rFonts w:ascii="宋体" w:hAnsi="宋体"/>
              </w:rPr>
            </w:pPr>
          </w:p>
        </w:tc>
        <w:tc>
          <w:tcPr>
            <w:tcW w:w="1628" w:type="dxa"/>
            <w:vMerge w:val="continue"/>
            <w:vAlign w:val="center"/>
          </w:tcPr>
          <w:p w14:paraId="38EDEBC8">
            <w:pPr>
              <w:spacing w:line="400" w:lineRule="exact"/>
              <w:jc w:val="center"/>
              <w:rPr>
                <w:rFonts w:ascii="宋体" w:hAnsi="宋体"/>
              </w:rPr>
            </w:pPr>
          </w:p>
        </w:tc>
        <w:tc>
          <w:tcPr>
            <w:tcW w:w="2675" w:type="dxa"/>
            <w:gridSpan w:val="3"/>
            <w:tcBorders>
              <w:bottom w:val="single" w:color="auto" w:sz="4" w:space="0"/>
            </w:tcBorders>
            <w:vAlign w:val="center"/>
          </w:tcPr>
          <w:p w14:paraId="08CD6783">
            <w:pPr>
              <w:spacing w:line="400" w:lineRule="exact"/>
              <w:jc w:val="both"/>
              <w:rPr>
                <w:rFonts w:ascii="宋体" w:hAnsi="宋体"/>
                <w:kern w:val="0"/>
              </w:rPr>
            </w:pPr>
            <w:r>
              <w:rPr>
                <w:rFonts w:ascii="宋体" w:hAnsi="宋体"/>
                <w:kern w:val="0"/>
              </w:rPr>
              <w:t>内容完整性和编制水平</w:t>
            </w:r>
          </w:p>
        </w:tc>
        <w:tc>
          <w:tcPr>
            <w:tcW w:w="2158" w:type="dxa"/>
            <w:tcBorders>
              <w:top w:val="single" w:color="auto" w:sz="4" w:space="0"/>
            </w:tcBorders>
            <w:vAlign w:val="center"/>
          </w:tcPr>
          <w:p w14:paraId="6458C44C">
            <w:pPr>
              <w:snapToGrid w:val="0"/>
              <w:spacing w:line="400" w:lineRule="exact"/>
              <w:ind w:firstLine="420" w:firstLineChars="200"/>
              <w:rPr>
                <w:rFonts w:hint="eastAsia" w:ascii="宋体" w:hAnsi="宋体"/>
                <w:u w:val="single"/>
              </w:rPr>
            </w:pPr>
            <w:r>
              <w:rPr>
                <w:rFonts w:ascii="宋体" w:hAnsi="宋体"/>
                <w:u w:val="single"/>
              </w:rPr>
              <w:t xml:space="preserve"> </w:t>
            </w:r>
            <w:r>
              <w:rPr>
                <w:rFonts w:hint="eastAsia" w:ascii="宋体" w:hAnsi="宋体"/>
                <w:u w:val="single"/>
                <w:lang w:val="en-US" w:eastAsia="zh-CN"/>
              </w:rPr>
              <w:t>3</w:t>
            </w:r>
            <w:r>
              <w:rPr>
                <w:rFonts w:hint="eastAsia" w:ascii="宋体" w:hAnsi="宋体"/>
                <w:u w:val="single"/>
              </w:rPr>
              <w:t xml:space="preserve"> </w:t>
            </w:r>
            <w:r>
              <w:rPr>
                <w:rFonts w:ascii="宋体" w:hAnsi="宋体"/>
              </w:rPr>
              <w:t>分</w:t>
            </w:r>
            <w:r>
              <w:rPr>
                <w:rFonts w:hint="eastAsia" w:ascii="宋体" w:hAnsi="宋体"/>
                <w:lang w:val="en-US" w:eastAsia="zh-CN"/>
              </w:rPr>
              <w:t xml:space="preserve">   </w:t>
            </w:r>
            <w:r>
              <w:rPr>
                <w:rFonts w:hint="eastAsia" w:ascii="宋体" w:hAnsi="宋体"/>
                <w:u w:val="none"/>
              </w:rPr>
              <w:t>编制要点：</w:t>
            </w:r>
            <w:r>
              <w:rPr>
                <w:rFonts w:hint="eastAsia" w:ascii="宋体" w:hAnsi="宋体"/>
                <w:u w:val="single"/>
              </w:rPr>
              <w:t xml:space="preserve"> 项目总体认识全面</w:t>
            </w:r>
            <w:r>
              <w:rPr>
                <w:rFonts w:hint="eastAsia" w:ascii="宋体" w:hAnsi="宋体"/>
                <w:u w:val="single"/>
                <w:lang w:val="en-US" w:eastAsia="zh-CN"/>
              </w:rPr>
              <w:t>深</w:t>
            </w:r>
            <w:r>
              <w:rPr>
                <w:rFonts w:hint="eastAsia" w:ascii="宋体" w:hAnsi="宋体"/>
                <w:u w:val="single"/>
              </w:rPr>
              <w:t xml:space="preserve">刻，论述完整清晰，总体组织符合实际、总体设计符合规范，总体计划合理，综合措施科学 </w:t>
            </w:r>
            <w:r>
              <w:rPr>
                <w:rFonts w:hint="eastAsia" w:ascii="宋体" w:hAnsi="宋体"/>
                <w:u w:val="none"/>
              </w:rPr>
              <w:t>；</w:t>
            </w:r>
          </w:p>
          <w:p w14:paraId="56A0B1C3">
            <w:pPr>
              <w:snapToGrid w:val="0"/>
              <w:spacing w:line="400" w:lineRule="exact"/>
              <w:ind w:firstLine="420" w:firstLineChars="200"/>
              <w:rPr>
                <w:rFonts w:ascii="宋体" w:hAnsi="宋体"/>
                <w:kern w:val="0"/>
                <w:szCs w:val="21"/>
              </w:rPr>
            </w:pPr>
            <w:r>
              <w:rPr>
                <w:rFonts w:hint="eastAsia" w:ascii="宋体" w:hAnsi="宋体"/>
                <w:u w:val="none"/>
              </w:rPr>
              <w:t>优得2.5分（不含）-3分，良得2分（不含）-2.5分，一般得1分（不含）-2分，差得0-1分。</w:t>
            </w:r>
          </w:p>
        </w:tc>
        <w:tc>
          <w:tcPr>
            <w:tcW w:w="2159" w:type="dxa"/>
            <w:vMerge w:val="restart"/>
            <w:tcBorders>
              <w:top w:val="single" w:color="auto" w:sz="4" w:space="0"/>
            </w:tcBorders>
            <w:vAlign w:val="center"/>
          </w:tcPr>
          <w:p w14:paraId="482B8539">
            <w:pPr>
              <w:autoSpaceDE w:val="0"/>
              <w:autoSpaceDN w:val="0"/>
              <w:adjustRightInd w:val="0"/>
              <w:snapToGrid w:val="0"/>
              <w:spacing w:line="400" w:lineRule="exact"/>
              <w:ind w:firstLine="420" w:firstLineChars="200"/>
              <w:rPr>
                <w:rFonts w:ascii="宋体" w:hAnsi="宋体"/>
                <w:szCs w:val="21"/>
              </w:rPr>
            </w:pPr>
            <w:r>
              <w:rPr>
                <w:rFonts w:ascii="宋体" w:hAnsi="宋体"/>
                <w:szCs w:val="21"/>
              </w:rPr>
              <w:t>评标委员会按第2.2.</w:t>
            </w:r>
            <w:r>
              <w:rPr>
                <w:rFonts w:hint="eastAsia" w:ascii="宋体" w:hAnsi="宋体"/>
                <w:szCs w:val="21"/>
              </w:rPr>
              <w:t>2（1）目</w:t>
            </w:r>
            <w:r>
              <w:rPr>
                <w:rFonts w:ascii="宋体" w:hAnsi="宋体"/>
                <w:szCs w:val="21"/>
              </w:rPr>
              <w:t>各评审因素设定的分值评分。</w:t>
            </w:r>
          </w:p>
          <w:p w14:paraId="33F03223">
            <w:pPr>
              <w:spacing w:line="400" w:lineRule="exact"/>
              <w:ind w:firstLine="420" w:firstLineChars="200"/>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评标委员会按照优、良、一般、差四个档次进行评分</w:t>
            </w:r>
            <w:r>
              <w:rPr>
                <w:rFonts w:hint="eastAsia" w:asciiTheme="minorEastAsia" w:hAnsiTheme="minorEastAsia" w:eastAsiaTheme="minorEastAsia" w:cstheme="minorEastAsia"/>
                <w:snapToGrid w:val="0"/>
                <w:color w:val="auto"/>
                <w:kern w:val="0"/>
                <w:szCs w:val="21"/>
                <w:highlight w:val="none"/>
                <w:lang w:eastAsia="zh-CN"/>
              </w:rPr>
              <w:t>。</w:t>
            </w:r>
            <w:r>
              <w:rPr>
                <w:rFonts w:hint="eastAsia" w:asciiTheme="minorEastAsia" w:hAnsiTheme="minorEastAsia" w:eastAsiaTheme="minorEastAsia" w:cstheme="minorEastAsia"/>
                <w:snapToGrid w:val="0"/>
                <w:color w:val="auto"/>
                <w:kern w:val="0"/>
                <w:szCs w:val="21"/>
                <w:highlight w:val="none"/>
                <w:lang w:val="en-US" w:eastAsia="zh-CN"/>
              </w:rPr>
              <w:t>若评标专家</w:t>
            </w:r>
            <w:r>
              <w:rPr>
                <w:rFonts w:hint="eastAsia" w:asciiTheme="minorEastAsia" w:hAnsiTheme="minorEastAsia" w:eastAsiaTheme="minorEastAsia" w:cstheme="minorEastAsia"/>
                <w:snapToGrid w:val="0"/>
                <w:color w:val="auto"/>
                <w:kern w:val="0"/>
                <w:szCs w:val="21"/>
                <w:highlight w:val="none"/>
              </w:rPr>
              <w:t>对投标人</w:t>
            </w:r>
            <w:r>
              <w:rPr>
                <w:rFonts w:hint="eastAsia" w:asciiTheme="minorEastAsia" w:hAnsiTheme="minorEastAsia" w:eastAsiaTheme="minorEastAsia" w:cstheme="minorEastAsia"/>
                <w:snapToGrid w:val="0"/>
                <w:color w:val="auto"/>
                <w:kern w:val="0"/>
                <w:szCs w:val="21"/>
                <w:highlight w:val="none"/>
                <w:lang w:val="en-US" w:eastAsia="zh-CN"/>
              </w:rPr>
              <w:t>技术方案部分单项评分低于该项指标总分值60%的，</w:t>
            </w:r>
            <w:r>
              <w:rPr>
                <w:rFonts w:hint="eastAsia" w:asciiTheme="minorEastAsia" w:hAnsiTheme="minorEastAsia" w:eastAsiaTheme="minorEastAsia" w:cstheme="minorEastAsia"/>
                <w:snapToGrid w:val="0"/>
                <w:color w:val="auto"/>
                <w:kern w:val="0"/>
                <w:szCs w:val="21"/>
                <w:highlight w:val="none"/>
              </w:rPr>
              <w:t>须</w:t>
            </w:r>
            <w:r>
              <w:rPr>
                <w:rFonts w:hint="eastAsia" w:asciiTheme="minorEastAsia" w:hAnsiTheme="minorEastAsia" w:eastAsiaTheme="minorEastAsia" w:cstheme="minorEastAsia"/>
                <w:snapToGrid w:val="0"/>
                <w:color w:val="auto"/>
                <w:kern w:val="0"/>
                <w:szCs w:val="21"/>
                <w:highlight w:val="none"/>
                <w:lang w:val="en-US" w:eastAsia="zh-CN"/>
              </w:rPr>
              <w:t>对其评分合理性进行说明。评标专家不提供合理性说明或者超过半数的评标专家认为其说明不具备合理性的，应当以其他评标专家评分的算术平均值代替其评分，相关情况应当记入评标报告。</w:t>
            </w:r>
            <w:r>
              <w:rPr>
                <w:rFonts w:hint="eastAsia" w:asciiTheme="minorEastAsia" w:hAnsiTheme="minorEastAsia" w:eastAsiaTheme="minorEastAsia" w:cstheme="minorEastAsia"/>
                <w:snapToGrid w:val="0"/>
                <w:color w:val="auto"/>
                <w:kern w:val="0"/>
                <w:szCs w:val="21"/>
                <w:highlight w:val="none"/>
              </w:rPr>
              <w:t>技术</w:t>
            </w:r>
            <w:r>
              <w:rPr>
                <w:rFonts w:hint="eastAsia" w:asciiTheme="minorEastAsia" w:hAnsiTheme="minorEastAsia" w:eastAsiaTheme="minorEastAsia" w:cstheme="minorEastAsia"/>
                <w:snapToGrid w:val="0"/>
                <w:color w:val="auto"/>
                <w:kern w:val="0"/>
                <w:szCs w:val="21"/>
                <w:highlight w:val="none"/>
                <w:lang w:val="en-US" w:eastAsia="zh-CN"/>
              </w:rPr>
              <w:t>方案</w:t>
            </w:r>
            <w:r>
              <w:rPr>
                <w:rFonts w:hint="eastAsia" w:asciiTheme="minorEastAsia" w:hAnsiTheme="minorEastAsia" w:eastAsiaTheme="minorEastAsia" w:cstheme="minorEastAsia"/>
                <w:snapToGrid w:val="0"/>
                <w:color w:val="auto"/>
                <w:kern w:val="0"/>
                <w:szCs w:val="21"/>
                <w:highlight w:val="none"/>
              </w:rPr>
              <w:t>部分缺项的该项得0</w:t>
            </w:r>
            <w:bookmarkStart w:id="2136" w:name="_GoBack"/>
            <w:bookmarkEnd w:id="2136"/>
            <w:r>
              <w:rPr>
                <w:rFonts w:hint="eastAsia" w:asciiTheme="minorEastAsia" w:hAnsiTheme="minorEastAsia" w:eastAsiaTheme="minorEastAsia" w:cstheme="minorEastAsia"/>
                <w:snapToGrid w:val="0"/>
                <w:color w:val="auto"/>
                <w:kern w:val="0"/>
                <w:szCs w:val="21"/>
                <w:highlight w:val="none"/>
              </w:rPr>
              <w:t>分。</w:t>
            </w:r>
          </w:p>
          <w:p w14:paraId="1E18FFAA">
            <w:pPr>
              <w:spacing w:line="400" w:lineRule="exact"/>
              <w:ind w:firstLine="420" w:firstLineChars="200"/>
              <w:rPr>
                <w:rFonts w:ascii="宋体" w:hAnsi="宋体"/>
                <w:snapToGrid w:val="0"/>
                <w:kern w:val="0"/>
                <w:szCs w:val="21"/>
              </w:rPr>
            </w:pPr>
            <w:r>
              <w:rPr>
                <w:rFonts w:ascii="宋体" w:hAnsi="宋体"/>
                <w:snapToGrid w:val="0"/>
                <w:kern w:val="0"/>
                <w:szCs w:val="21"/>
              </w:rPr>
              <w:t>评标委员会成员为5人及以上时，所有评委</w:t>
            </w:r>
            <w:r>
              <w:rPr>
                <w:rFonts w:hint="eastAsia" w:ascii="宋体" w:hAnsi="宋体"/>
                <w:snapToGrid w:val="0"/>
                <w:kern w:val="0"/>
                <w:szCs w:val="21"/>
                <w:lang w:eastAsia="zh-CN"/>
              </w:rPr>
              <w:t>评分</w:t>
            </w:r>
            <w:r>
              <w:rPr>
                <w:rFonts w:ascii="宋体" w:hAnsi="宋体"/>
                <w:snapToGrid w:val="0"/>
                <w:kern w:val="0"/>
                <w:szCs w:val="21"/>
              </w:rPr>
              <w:t>中去掉一个最高和一个最低分，余下评委</w:t>
            </w:r>
            <w:r>
              <w:rPr>
                <w:rFonts w:hint="eastAsia" w:ascii="宋体" w:hAnsi="宋体"/>
                <w:snapToGrid w:val="0"/>
                <w:kern w:val="0"/>
                <w:szCs w:val="21"/>
                <w:lang w:eastAsia="zh-CN"/>
              </w:rPr>
              <w:t>评分</w:t>
            </w:r>
            <w:r>
              <w:rPr>
                <w:rFonts w:ascii="宋体" w:hAnsi="宋体"/>
                <w:snapToGrid w:val="0"/>
                <w:kern w:val="0"/>
                <w:szCs w:val="21"/>
              </w:rPr>
              <w:t>取算术平均值为该投标人技术方案得分。</w:t>
            </w:r>
          </w:p>
          <w:p w14:paraId="5106A649">
            <w:pPr>
              <w:spacing w:line="400" w:lineRule="exact"/>
              <w:ind w:firstLine="420" w:firstLineChars="200"/>
              <w:rPr>
                <w:rFonts w:ascii="宋体" w:hAnsi="宋体"/>
                <w:kern w:val="0"/>
                <w:szCs w:val="21"/>
              </w:rPr>
            </w:pPr>
            <w:r>
              <w:rPr>
                <w:rFonts w:ascii="宋体" w:hAnsi="宋体"/>
                <w:kern w:val="0"/>
                <w:szCs w:val="21"/>
              </w:rPr>
              <w:t>技术方案得分的最终结果取小数点后两位，</w:t>
            </w:r>
            <w:r>
              <w:rPr>
                <w:rFonts w:hint="eastAsia" w:asciiTheme="minorEastAsia" w:hAnsiTheme="minorEastAsia" w:eastAsiaTheme="minorEastAsia" w:cstheme="minorEastAsia"/>
                <w:color w:val="auto"/>
                <w:kern w:val="0"/>
                <w:szCs w:val="21"/>
                <w:highlight w:val="none"/>
                <w:lang w:val="en-US" w:eastAsia="zh-CN"/>
              </w:rPr>
              <w:t>小数点后</w:t>
            </w:r>
            <w:r>
              <w:rPr>
                <w:rFonts w:ascii="宋体" w:hAnsi="宋体"/>
                <w:kern w:val="0"/>
                <w:szCs w:val="21"/>
              </w:rPr>
              <w:t>第三位四舍五入。</w:t>
            </w:r>
          </w:p>
        </w:tc>
      </w:tr>
      <w:tr w14:paraId="0229D9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55" w:type="dxa"/>
            <w:vMerge w:val="continue"/>
            <w:vAlign w:val="center"/>
          </w:tcPr>
          <w:p w14:paraId="3C4E6969">
            <w:pPr>
              <w:spacing w:line="400" w:lineRule="exact"/>
              <w:jc w:val="center"/>
              <w:rPr>
                <w:rFonts w:ascii="宋体" w:hAnsi="宋体"/>
              </w:rPr>
            </w:pPr>
          </w:p>
        </w:tc>
        <w:tc>
          <w:tcPr>
            <w:tcW w:w="1628" w:type="dxa"/>
            <w:vMerge w:val="continue"/>
            <w:vAlign w:val="center"/>
          </w:tcPr>
          <w:p w14:paraId="5CFCC335">
            <w:pPr>
              <w:spacing w:line="400" w:lineRule="exact"/>
              <w:jc w:val="center"/>
              <w:rPr>
                <w:rFonts w:ascii="宋体" w:hAnsi="宋体"/>
              </w:rPr>
            </w:pPr>
          </w:p>
        </w:tc>
        <w:tc>
          <w:tcPr>
            <w:tcW w:w="2675" w:type="dxa"/>
            <w:gridSpan w:val="3"/>
            <w:tcBorders>
              <w:top w:val="single" w:color="auto" w:sz="4" w:space="0"/>
              <w:bottom w:val="single" w:color="auto" w:sz="4" w:space="0"/>
            </w:tcBorders>
            <w:vAlign w:val="center"/>
          </w:tcPr>
          <w:p w14:paraId="7581CCB4">
            <w:pPr>
              <w:spacing w:line="400" w:lineRule="exact"/>
              <w:jc w:val="both"/>
              <w:rPr>
                <w:rFonts w:ascii="宋体" w:hAnsi="宋体"/>
              </w:rPr>
            </w:pPr>
            <w:r>
              <w:rPr>
                <w:rFonts w:ascii="宋体" w:hAnsi="宋体"/>
                <w:kern w:val="0"/>
              </w:rPr>
              <w:t>施工方案与技术措施</w:t>
            </w:r>
          </w:p>
        </w:tc>
        <w:tc>
          <w:tcPr>
            <w:tcW w:w="2158" w:type="dxa"/>
            <w:vAlign w:val="center"/>
          </w:tcPr>
          <w:p w14:paraId="74A6DE36">
            <w:pPr>
              <w:snapToGrid w:val="0"/>
              <w:spacing w:line="400" w:lineRule="exact"/>
              <w:ind w:firstLine="420" w:firstLineChars="200"/>
              <w:rPr>
                <w:rFonts w:hint="eastAsia" w:asciiTheme="minorEastAsia" w:hAnsiTheme="minorEastAsia" w:eastAsiaTheme="minorEastAsia" w:cstheme="minorEastAsia"/>
                <w:color w:val="auto"/>
                <w:highlight w:val="none"/>
                <w:u w:val="single"/>
              </w:rPr>
            </w:pPr>
            <w:r>
              <w:rPr>
                <w:rFonts w:ascii="宋体" w:hAnsi="宋体"/>
                <w:u w:val="single"/>
              </w:rPr>
              <w:t xml:space="preserve"> </w:t>
            </w:r>
            <w:r>
              <w:rPr>
                <w:rFonts w:hint="eastAsia" w:ascii="宋体" w:hAnsi="宋体"/>
                <w:u w:val="single"/>
                <w:lang w:val="en-US" w:eastAsia="zh-CN"/>
              </w:rPr>
              <w:t xml:space="preserve">3 </w:t>
            </w:r>
            <w:r>
              <w:rPr>
                <w:rFonts w:ascii="宋体" w:hAnsi="宋体"/>
              </w:rPr>
              <w:t xml:space="preserve">分 </w:t>
            </w:r>
            <w:r>
              <w:rPr>
                <w:rFonts w:hint="eastAsia" w:ascii="宋体" w:hAnsi="宋体"/>
              </w:rPr>
              <w:t xml:space="preserve"> </w:t>
            </w:r>
            <w:r>
              <w:rPr>
                <w:rFonts w:ascii="宋体" w:hAnsi="宋体"/>
              </w:rPr>
              <w:t xml:space="preserve"> 编制要点</w:t>
            </w:r>
            <w:r>
              <w:rPr>
                <w:rFonts w:hint="eastAsia" w:ascii="宋体" w:hAnsi="宋体"/>
              </w:rPr>
              <w:t>：</w:t>
            </w:r>
            <w:r>
              <w:rPr>
                <w:rFonts w:hint="eastAsia" w:ascii="宋体" w:hAnsi="宋体"/>
                <w:color w:val="auto"/>
                <w:u w:val="single"/>
              </w:rPr>
              <w:t xml:space="preserve"> 投标人须针对本项目按施工设计图和现行施工有关技术标准要求，针对</w:t>
            </w:r>
            <w:r>
              <w:rPr>
                <w:rFonts w:hint="eastAsia" w:ascii="宋体" w:hAnsi="宋体"/>
                <w:color w:val="auto"/>
                <w:u w:val="single"/>
              </w:rPr>
              <w:t>针对该项目</w:t>
            </w:r>
            <w:r>
              <w:rPr>
                <w:rFonts w:hint="eastAsia" w:ascii="宋体" w:hAnsi="宋体"/>
                <w:color w:val="auto"/>
                <w:u w:val="single"/>
                <w:lang w:eastAsia="zh-CN"/>
              </w:rPr>
              <w:t>古建和石质文物保存现状</w:t>
            </w:r>
            <w:r>
              <w:rPr>
                <w:rFonts w:hint="eastAsia" w:ascii="宋体" w:hAnsi="宋体"/>
                <w:color w:val="auto"/>
                <w:u w:val="single"/>
              </w:rPr>
              <w:t>，制定施工程序、施工方法等技术措施，完善施工方案的工程措施。包括但不限于 1.文物本体的现状保护和游客通道防护；2.</w:t>
            </w:r>
            <w:r>
              <w:rPr>
                <w:rFonts w:hint="eastAsia" w:ascii="宋体" w:hAnsi="宋体"/>
                <w:color w:val="auto"/>
                <w:u w:val="single"/>
                <w:lang w:eastAsia="zh-CN"/>
              </w:rPr>
              <w:t>古建筑修缮</w:t>
            </w:r>
            <w:r>
              <w:rPr>
                <w:rFonts w:hint="eastAsia" w:ascii="宋体" w:hAnsi="宋体"/>
                <w:color w:val="auto"/>
                <w:u w:val="single"/>
              </w:rPr>
              <w:t>；3</w:t>
            </w:r>
            <w:r>
              <w:rPr>
                <w:rFonts w:hint="eastAsia" w:ascii="宋体" w:hAnsi="宋体"/>
                <w:color w:val="auto"/>
                <w:u w:val="single"/>
                <w:lang w:eastAsia="zh-CN"/>
              </w:rPr>
              <w:t>石质文物本体病害治理</w:t>
            </w:r>
            <w:r>
              <w:rPr>
                <w:rFonts w:hint="eastAsia" w:ascii="宋体" w:hAnsi="宋体"/>
                <w:color w:val="auto"/>
                <w:u w:val="single"/>
              </w:rPr>
              <w:t>等；</w:t>
            </w:r>
            <w:r>
              <w:rPr>
                <w:rFonts w:hint="eastAsia" w:ascii="宋体" w:hAnsi="宋体"/>
                <w:color w:val="auto"/>
                <w:u w:val="single"/>
                <w:lang w:val="en-US" w:eastAsia="zh-CN"/>
              </w:rPr>
              <w:t>4石质</w:t>
            </w:r>
            <w:r>
              <w:rPr>
                <w:rFonts w:hint="eastAsia" w:ascii="宋体" w:hAnsi="宋体"/>
                <w:color w:val="auto"/>
                <w:u w:val="single"/>
              </w:rPr>
              <w:t>风化病害加固试验等措施，修缮材料（加固材料、</w:t>
            </w:r>
            <w:r>
              <w:rPr>
                <w:rFonts w:hint="eastAsia" w:ascii="宋体" w:hAnsi="宋体"/>
                <w:color w:val="auto"/>
                <w:u w:val="single"/>
                <w:lang w:eastAsia="zh-CN"/>
              </w:rPr>
              <w:t>灌浆</w:t>
            </w:r>
            <w:r>
              <w:rPr>
                <w:rFonts w:hint="eastAsia" w:ascii="宋体" w:hAnsi="宋体"/>
                <w:color w:val="auto"/>
                <w:u w:val="single"/>
              </w:rPr>
              <w:t xml:space="preserve">粘接材料）等 </w:t>
            </w:r>
            <w:r>
              <w:rPr>
                <w:rFonts w:hint="eastAsia" w:asciiTheme="minorEastAsia" w:hAnsiTheme="minorEastAsia" w:eastAsiaTheme="minorEastAsia" w:cstheme="minorEastAsia"/>
                <w:color w:val="auto"/>
                <w:highlight w:val="none"/>
                <w:u w:val="none"/>
              </w:rPr>
              <w:t>；</w:t>
            </w:r>
          </w:p>
          <w:p w14:paraId="0CE6DE7B">
            <w:pPr>
              <w:snapToGrid w:val="0"/>
              <w:spacing w:line="400" w:lineRule="exact"/>
              <w:ind w:firstLine="420" w:firstLineChars="200"/>
              <w:rPr>
                <w:rFonts w:ascii="宋体" w:hAnsi="宋体"/>
                <w:szCs w:val="21"/>
              </w:rPr>
            </w:pPr>
            <w:r>
              <w:rPr>
                <w:rFonts w:hint="eastAsia" w:ascii="宋体" w:hAnsi="宋体"/>
                <w:u w:val="none"/>
              </w:rPr>
              <w:t>优得2.5分（不含）-3分，良得2分（不含）-2.5分，一般得1分（不含）-2分，差得0-1分。</w:t>
            </w:r>
          </w:p>
        </w:tc>
        <w:tc>
          <w:tcPr>
            <w:tcW w:w="2159" w:type="dxa"/>
            <w:vMerge w:val="continue"/>
            <w:vAlign w:val="center"/>
          </w:tcPr>
          <w:p w14:paraId="7E492205">
            <w:pPr>
              <w:autoSpaceDE w:val="0"/>
              <w:autoSpaceDN w:val="0"/>
              <w:adjustRightInd w:val="0"/>
              <w:snapToGrid w:val="0"/>
              <w:spacing w:line="400" w:lineRule="exact"/>
              <w:ind w:firstLine="420" w:firstLineChars="200"/>
              <w:rPr>
                <w:rFonts w:ascii="宋体" w:hAnsi="宋体"/>
                <w:szCs w:val="21"/>
              </w:rPr>
            </w:pPr>
          </w:p>
        </w:tc>
      </w:tr>
      <w:tr w14:paraId="1C141F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55" w:type="dxa"/>
            <w:vMerge w:val="continue"/>
            <w:vAlign w:val="center"/>
          </w:tcPr>
          <w:p w14:paraId="6717946E">
            <w:pPr>
              <w:spacing w:line="400" w:lineRule="exact"/>
              <w:jc w:val="center"/>
              <w:rPr>
                <w:rFonts w:ascii="宋体" w:hAnsi="宋体"/>
              </w:rPr>
            </w:pPr>
          </w:p>
        </w:tc>
        <w:tc>
          <w:tcPr>
            <w:tcW w:w="1628" w:type="dxa"/>
            <w:vMerge w:val="continue"/>
            <w:vAlign w:val="center"/>
          </w:tcPr>
          <w:p w14:paraId="4C9C3BF4">
            <w:pPr>
              <w:spacing w:line="400" w:lineRule="exact"/>
              <w:jc w:val="center"/>
              <w:rPr>
                <w:rFonts w:ascii="宋体" w:hAnsi="宋体"/>
              </w:rPr>
            </w:pPr>
          </w:p>
        </w:tc>
        <w:tc>
          <w:tcPr>
            <w:tcW w:w="2675" w:type="dxa"/>
            <w:gridSpan w:val="3"/>
            <w:tcBorders>
              <w:top w:val="single" w:color="auto" w:sz="4" w:space="0"/>
              <w:bottom w:val="single" w:color="auto" w:sz="4" w:space="0"/>
            </w:tcBorders>
            <w:vAlign w:val="center"/>
          </w:tcPr>
          <w:p w14:paraId="459F834A">
            <w:pPr>
              <w:spacing w:line="400" w:lineRule="exact"/>
              <w:jc w:val="both"/>
              <w:rPr>
                <w:rFonts w:ascii="宋体" w:hAnsi="宋体"/>
              </w:rPr>
            </w:pPr>
            <w:r>
              <w:rPr>
                <w:rFonts w:ascii="宋体" w:hAnsi="宋体"/>
                <w:kern w:val="0"/>
              </w:rPr>
              <w:t>质量管理体系与措施</w:t>
            </w:r>
          </w:p>
        </w:tc>
        <w:tc>
          <w:tcPr>
            <w:tcW w:w="2158" w:type="dxa"/>
            <w:vAlign w:val="center"/>
          </w:tcPr>
          <w:p w14:paraId="17592372">
            <w:pPr>
              <w:snapToGrid w:val="0"/>
              <w:spacing w:line="400" w:lineRule="exact"/>
              <w:ind w:firstLine="420" w:firstLineChars="200"/>
              <w:rPr>
                <w:rFonts w:hint="eastAsia" w:asciiTheme="minorEastAsia" w:hAnsiTheme="minorEastAsia" w:eastAsiaTheme="minorEastAsia" w:cstheme="minorEastAsia"/>
                <w:color w:val="auto"/>
                <w:highlight w:val="none"/>
                <w:u w:val="single"/>
              </w:rPr>
            </w:pPr>
            <w:r>
              <w:rPr>
                <w:rFonts w:ascii="宋体" w:hAnsi="宋体"/>
                <w:u w:val="single"/>
              </w:rPr>
              <w:t xml:space="preserve"> </w:t>
            </w:r>
            <w:r>
              <w:rPr>
                <w:rFonts w:hint="eastAsia" w:ascii="宋体" w:hAnsi="宋体"/>
                <w:u w:val="single"/>
                <w:lang w:val="en-US" w:eastAsia="zh-CN"/>
              </w:rPr>
              <w:t xml:space="preserve">3 </w:t>
            </w:r>
            <w:r>
              <w:rPr>
                <w:rFonts w:ascii="宋体" w:hAnsi="宋体"/>
              </w:rPr>
              <w:t>分   编制要点</w:t>
            </w:r>
            <w:r>
              <w:rPr>
                <w:rFonts w:hint="eastAsia" w:ascii="宋体" w:hAnsi="宋体"/>
              </w:rPr>
              <w:t>：</w:t>
            </w:r>
            <w:r>
              <w:rPr>
                <w:rFonts w:hint="eastAsia" w:ascii="宋体" w:hAnsi="宋体"/>
                <w:u w:val="single"/>
              </w:rPr>
              <w:t xml:space="preserve"> 质量管理体系完善、</w:t>
            </w:r>
            <w:r>
              <w:rPr>
                <w:rFonts w:hint="eastAsia" w:ascii="宋体" w:hAnsi="宋体"/>
                <w:u w:val="single"/>
                <w:lang w:val="en-US" w:eastAsia="zh-CN"/>
              </w:rPr>
              <w:t>健</w:t>
            </w:r>
            <w:r>
              <w:rPr>
                <w:rFonts w:hint="eastAsia" w:ascii="宋体" w:hAnsi="宋体"/>
                <w:u w:val="single"/>
              </w:rPr>
              <w:t xml:space="preserve">全，工程质量保证计划全面细致、结合实际、措施具体 </w:t>
            </w:r>
            <w:r>
              <w:rPr>
                <w:rFonts w:hint="eastAsia" w:asciiTheme="minorEastAsia" w:hAnsiTheme="minorEastAsia" w:eastAsiaTheme="minorEastAsia" w:cstheme="minorEastAsia"/>
                <w:color w:val="auto"/>
                <w:highlight w:val="none"/>
                <w:u w:val="none"/>
              </w:rPr>
              <w:t>；</w:t>
            </w:r>
          </w:p>
          <w:p w14:paraId="0BE80670">
            <w:pPr>
              <w:snapToGrid w:val="0"/>
              <w:spacing w:line="400" w:lineRule="exact"/>
              <w:ind w:firstLine="420" w:firstLineChars="200"/>
              <w:rPr>
                <w:rFonts w:ascii="宋体" w:hAnsi="宋体"/>
                <w:szCs w:val="21"/>
              </w:rPr>
            </w:pPr>
            <w:r>
              <w:rPr>
                <w:rFonts w:hint="eastAsia" w:ascii="宋体" w:hAnsi="宋体"/>
                <w:u w:val="none"/>
              </w:rPr>
              <w:t>优得2.5分（不含）-3分，良得2分（不含）-2.5分，一般得1分（不含）-2分，差得0-1分。</w:t>
            </w:r>
          </w:p>
        </w:tc>
        <w:tc>
          <w:tcPr>
            <w:tcW w:w="2159" w:type="dxa"/>
            <w:vMerge w:val="continue"/>
            <w:vAlign w:val="center"/>
          </w:tcPr>
          <w:p w14:paraId="5B6F8E0D">
            <w:pPr>
              <w:autoSpaceDE w:val="0"/>
              <w:autoSpaceDN w:val="0"/>
              <w:adjustRightInd w:val="0"/>
              <w:snapToGrid w:val="0"/>
              <w:spacing w:line="400" w:lineRule="exact"/>
              <w:ind w:firstLine="420" w:firstLineChars="200"/>
              <w:rPr>
                <w:rFonts w:ascii="宋体" w:hAnsi="宋体"/>
                <w:szCs w:val="21"/>
              </w:rPr>
            </w:pPr>
          </w:p>
        </w:tc>
      </w:tr>
      <w:tr w14:paraId="6CAD18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5" w:type="dxa"/>
            <w:vMerge w:val="continue"/>
            <w:vAlign w:val="center"/>
          </w:tcPr>
          <w:p w14:paraId="2A445B94">
            <w:pPr>
              <w:spacing w:line="400" w:lineRule="exact"/>
              <w:jc w:val="center"/>
              <w:rPr>
                <w:rFonts w:ascii="宋体" w:hAnsi="宋体"/>
              </w:rPr>
            </w:pPr>
          </w:p>
        </w:tc>
        <w:tc>
          <w:tcPr>
            <w:tcW w:w="1628" w:type="dxa"/>
            <w:vMerge w:val="continue"/>
            <w:vAlign w:val="center"/>
          </w:tcPr>
          <w:p w14:paraId="26249EDB">
            <w:pPr>
              <w:spacing w:line="400" w:lineRule="exact"/>
              <w:jc w:val="center"/>
              <w:rPr>
                <w:rFonts w:ascii="宋体" w:hAnsi="宋体"/>
              </w:rPr>
            </w:pPr>
          </w:p>
        </w:tc>
        <w:tc>
          <w:tcPr>
            <w:tcW w:w="2675" w:type="dxa"/>
            <w:gridSpan w:val="3"/>
            <w:tcBorders>
              <w:top w:val="single" w:color="auto" w:sz="4" w:space="0"/>
              <w:bottom w:val="single" w:color="auto" w:sz="4" w:space="0"/>
            </w:tcBorders>
            <w:vAlign w:val="center"/>
          </w:tcPr>
          <w:p w14:paraId="44E4A6A0">
            <w:pPr>
              <w:spacing w:line="400" w:lineRule="exact"/>
              <w:jc w:val="both"/>
              <w:rPr>
                <w:rFonts w:ascii="宋体" w:hAnsi="宋体"/>
              </w:rPr>
            </w:pPr>
            <w:r>
              <w:rPr>
                <w:rFonts w:ascii="宋体" w:hAnsi="宋体"/>
                <w:kern w:val="0"/>
              </w:rPr>
              <w:t>安全管理体系与措施</w:t>
            </w:r>
          </w:p>
        </w:tc>
        <w:tc>
          <w:tcPr>
            <w:tcW w:w="2158" w:type="dxa"/>
            <w:vAlign w:val="center"/>
          </w:tcPr>
          <w:p w14:paraId="236DD445">
            <w:pPr>
              <w:snapToGrid w:val="0"/>
              <w:spacing w:line="400" w:lineRule="exact"/>
              <w:ind w:firstLine="420" w:firstLineChars="200"/>
              <w:rPr>
                <w:rFonts w:hint="eastAsia" w:asciiTheme="minorEastAsia" w:hAnsiTheme="minorEastAsia" w:eastAsiaTheme="minorEastAsia" w:cstheme="minorEastAsia"/>
                <w:color w:val="auto"/>
                <w:highlight w:val="none"/>
                <w:u w:val="none"/>
              </w:rPr>
            </w:pPr>
            <w:r>
              <w:rPr>
                <w:rFonts w:ascii="宋体" w:hAnsi="宋体"/>
                <w:u w:val="single"/>
              </w:rPr>
              <w:t xml:space="preserve"> </w:t>
            </w:r>
            <w:r>
              <w:rPr>
                <w:rFonts w:hint="eastAsia" w:ascii="宋体" w:hAnsi="宋体"/>
                <w:u w:val="single"/>
                <w:lang w:val="en-US" w:eastAsia="zh-CN"/>
              </w:rPr>
              <w:t xml:space="preserve">3 </w:t>
            </w:r>
            <w:r>
              <w:rPr>
                <w:rFonts w:ascii="宋体" w:hAnsi="宋体"/>
              </w:rPr>
              <w:t>分   编制要点</w:t>
            </w:r>
            <w:r>
              <w:rPr>
                <w:rFonts w:hint="eastAsia" w:ascii="宋体" w:hAnsi="宋体"/>
              </w:rPr>
              <w:t>：</w:t>
            </w:r>
            <w:r>
              <w:rPr>
                <w:rFonts w:hint="eastAsia" w:ascii="宋体" w:hAnsi="宋体"/>
                <w:u w:val="single"/>
              </w:rPr>
              <w:t xml:space="preserve"> 建立施工安全保障体系，施工现场管理人员安全生产职责明确，施工安全保证目标明确，针对工程特点，周边环境和施工工艺，确定危险源并制定具体的防护措施 </w:t>
            </w:r>
            <w:r>
              <w:rPr>
                <w:rFonts w:hint="eastAsia" w:asciiTheme="minorEastAsia" w:hAnsiTheme="minorEastAsia" w:eastAsiaTheme="minorEastAsia" w:cstheme="minorEastAsia"/>
                <w:color w:val="auto"/>
                <w:highlight w:val="none"/>
                <w:u w:val="none"/>
              </w:rPr>
              <w:t>；</w:t>
            </w:r>
          </w:p>
          <w:p w14:paraId="5D7AF0F2">
            <w:pPr>
              <w:snapToGrid w:val="0"/>
              <w:spacing w:line="400" w:lineRule="exact"/>
              <w:ind w:firstLine="420" w:firstLineChars="200"/>
              <w:rPr>
                <w:rFonts w:ascii="宋体" w:hAnsi="宋体"/>
                <w:szCs w:val="21"/>
              </w:rPr>
            </w:pPr>
            <w:r>
              <w:rPr>
                <w:rFonts w:hint="eastAsia" w:ascii="宋体" w:hAnsi="宋体"/>
                <w:u w:val="none"/>
              </w:rPr>
              <w:t>优得2.5分（不含）-3分，良得2分（不含）-2.5分，一般得1分（不含）-2分，差得0-1分。</w:t>
            </w:r>
          </w:p>
        </w:tc>
        <w:tc>
          <w:tcPr>
            <w:tcW w:w="2159" w:type="dxa"/>
            <w:vMerge w:val="continue"/>
            <w:vAlign w:val="center"/>
          </w:tcPr>
          <w:p w14:paraId="0D910D60">
            <w:pPr>
              <w:autoSpaceDE w:val="0"/>
              <w:autoSpaceDN w:val="0"/>
              <w:adjustRightInd w:val="0"/>
              <w:snapToGrid w:val="0"/>
              <w:spacing w:line="400" w:lineRule="exact"/>
              <w:ind w:firstLine="420" w:firstLineChars="200"/>
              <w:rPr>
                <w:rFonts w:ascii="宋体" w:hAnsi="宋体"/>
                <w:szCs w:val="21"/>
              </w:rPr>
            </w:pPr>
          </w:p>
        </w:tc>
      </w:tr>
      <w:tr w14:paraId="013C3C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855" w:type="dxa"/>
            <w:vMerge w:val="continue"/>
            <w:vAlign w:val="center"/>
          </w:tcPr>
          <w:p w14:paraId="1B2FC998">
            <w:pPr>
              <w:spacing w:line="400" w:lineRule="exact"/>
              <w:jc w:val="center"/>
              <w:rPr>
                <w:rFonts w:ascii="宋体" w:hAnsi="宋体"/>
              </w:rPr>
            </w:pPr>
          </w:p>
        </w:tc>
        <w:tc>
          <w:tcPr>
            <w:tcW w:w="1628" w:type="dxa"/>
            <w:vMerge w:val="continue"/>
            <w:vAlign w:val="center"/>
          </w:tcPr>
          <w:p w14:paraId="0DAA838C">
            <w:pPr>
              <w:spacing w:line="400" w:lineRule="exact"/>
              <w:jc w:val="center"/>
              <w:rPr>
                <w:rFonts w:ascii="宋体" w:hAnsi="宋体"/>
              </w:rPr>
            </w:pPr>
          </w:p>
        </w:tc>
        <w:tc>
          <w:tcPr>
            <w:tcW w:w="2675" w:type="dxa"/>
            <w:gridSpan w:val="3"/>
            <w:tcBorders>
              <w:top w:val="single" w:color="auto" w:sz="4" w:space="0"/>
              <w:bottom w:val="single" w:color="auto" w:sz="4" w:space="0"/>
            </w:tcBorders>
            <w:vAlign w:val="center"/>
          </w:tcPr>
          <w:p w14:paraId="0E85E5E7">
            <w:pPr>
              <w:spacing w:line="400" w:lineRule="exact"/>
              <w:jc w:val="both"/>
              <w:rPr>
                <w:rFonts w:ascii="宋体" w:hAnsi="宋体"/>
              </w:rPr>
            </w:pPr>
            <w:r>
              <w:rPr>
                <w:rFonts w:ascii="宋体" w:hAnsi="宋体"/>
                <w:kern w:val="0"/>
              </w:rPr>
              <w:t>环境保护管理体系</w:t>
            </w:r>
            <w:r>
              <w:rPr>
                <w:rFonts w:hint="eastAsia" w:ascii="宋体" w:hAnsi="宋体"/>
                <w:kern w:val="0"/>
                <w:lang w:val="en-US" w:eastAsia="zh-CN"/>
              </w:rPr>
              <w:t>与</w:t>
            </w:r>
            <w:r>
              <w:rPr>
                <w:rFonts w:ascii="宋体" w:hAnsi="宋体"/>
                <w:kern w:val="0"/>
              </w:rPr>
              <w:t>措施</w:t>
            </w:r>
          </w:p>
        </w:tc>
        <w:tc>
          <w:tcPr>
            <w:tcW w:w="2158" w:type="dxa"/>
            <w:vAlign w:val="center"/>
          </w:tcPr>
          <w:p w14:paraId="204B09FA">
            <w:pPr>
              <w:snapToGrid w:val="0"/>
              <w:spacing w:line="400" w:lineRule="exact"/>
              <w:ind w:firstLine="420" w:firstLineChars="200"/>
              <w:rPr>
                <w:rFonts w:hint="eastAsia" w:asciiTheme="minorEastAsia" w:hAnsiTheme="minorEastAsia" w:eastAsiaTheme="minorEastAsia" w:cstheme="minorEastAsia"/>
                <w:color w:val="auto"/>
                <w:highlight w:val="none"/>
                <w:u w:val="single"/>
              </w:rPr>
            </w:pPr>
            <w:r>
              <w:rPr>
                <w:rFonts w:ascii="宋体" w:hAnsi="宋体"/>
                <w:u w:val="single"/>
              </w:rPr>
              <w:t xml:space="preserve"> </w:t>
            </w:r>
            <w:r>
              <w:rPr>
                <w:rFonts w:hint="eastAsia" w:ascii="宋体" w:hAnsi="宋体"/>
                <w:u w:val="single"/>
                <w:lang w:val="en-US" w:eastAsia="zh-CN"/>
              </w:rPr>
              <w:t xml:space="preserve">3 </w:t>
            </w:r>
            <w:r>
              <w:rPr>
                <w:rFonts w:ascii="宋体" w:hAnsi="宋体"/>
              </w:rPr>
              <w:t>分   编制要点</w:t>
            </w:r>
            <w:r>
              <w:rPr>
                <w:rFonts w:hint="eastAsia" w:ascii="宋体" w:hAnsi="宋体"/>
              </w:rPr>
              <w:t>：</w:t>
            </w:r>
            <w:r>
              <w:rPr>
                <w:rFonts w:hint="eastAsia" w:ascii="宋体" w:hAnsi="宋体"/>
                <w:u w:val="single"/>
              </w:rPr>
              <w:t xml:space="preserve"> 环境保护管理体系措施完善、健全，根据实际情况制定环境保护管理措施，关键地点、工序、环节控制保障措施得力，责任措施具体 </w:t>
            </w:r>
            <w:r>
              <w:rPr>
                <w:rFonts w:hint="eastAsia" w:asciiTheme="minorEastAsia" w:hAnsiTheme="minorEastAsia" w:eastAsiaTheme="minorEastAsia" w:cstheme="minorEastAsia"/>
                <w:color w:val="auto"/>
                <w:highlight w:val="none"/>
                <w:u w:val="none"/>
              </w:rPr>
              <w:t>；</w:t>
            </w:r>
          </w:p>
          <w:p w14:paraId="05279036">
            <w:pPr>
              <w:snapToGrid w:val="0"/>
              <w:spacing w:line="400" w:lineRule="exact"/>
              <w:ind w:firstLine="420" w:firstLineChars="200"/>
              <w:rPr>
                <w:rFonts w:ascii="宋体" w:hAnsi="宋体"/>
                <w:szCs w:val="21"/>
              </w:rPr>
            </w:pPr>
            <w:r>
              <w:rPr>
                <w:rFonts w:hint="eastAsia" w:ascii="宋体" w:hAnsi="宋体"/>
                <w:u w:val="none"/>
              </w:rPr>
              <w:t>优得2.5分（不含）-3分，良得2分（不含）-2.5分，一般得1分（不含）-2分，差得0-1分。</w:t>
            </w:r>
          </w:p>
        </w:tc>
        <w:tc>
          <w:tcPr>
            <w:tcW w:w="2159" w:type="dxa"/>
            <w:vMerge w:val="continue"/>
            <w:vAlign w:val="center"/>
          </w:tcPr>
          <w:p w14:paraId="50BDF42F">
            <w:pPr>
              <w:autoSpaceDE w:val="0"/>
              <w:autoSpaceDN w:val="0"/>
              <w:adjustRightInd w:val="0"/>
              <w:snapToGrid w:val="0"/>
              <w:spacing w:line="400" w:lineRule="exact"/>
              <w:ind w:firstLine="420" w:firstLineChars="200"/>
              <w:rPr>
                <w:rFonts w:ascii="宋体" w:hAnsi="宋体"/>
                <w:szCs w:val="21"/>
              </w:rPr>
            </w:pPr>
          </w:p>
        </w:tc>
      </w:tr>
      <w:tr w14:paraId="2BF6FF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5" w:type="dxa"/>
            <w:vMerge w:val="continue"/>
            <w:vAlign w:val="center"/>
          </w:tcPr>
          <w:p w14:paraId="51D2ED88">
            <w:pPr>
              <w:spacing w:line="400" w:lineRule="exact"/>
              <w:jc w:val="center"/>
              <w:rPr>
                <w:rFonts w:ascii="宋体" w:hAnsi="宋体"/>
              </w:rPr>
            </w:pPr>
          </w:p>
        </w:tc>
        <w:tc>
          <w:tcPr>
            <w:tcW w:w="1628" w:type="dxa"/>
            <w:vMerge w:val="continue"/>
            <w:vAlign w:val="center"/>
          </w:tcPr>
          <w:p w14:paraId="252429AD">
            <w:pPr>
              <w:spacing w:line="400" w:lineRule="exact"/>
              <w:jc w:val="center"/>
              <w:rPr>
                <w:rFonts w:ascii="宋体" w:hAnsi="宋体"/>
              </w:rPr>
            </w:pPr>
          </w:p>
        </w:tc>
        <w:tc>
          <w:tcPr>
            <w:tcW w:w="2675" w:type="dxa"/>
            <w:gridSpan w:val="3"/>
            <w:tcBorders>
              <w:top w:val="single" w:color="auto" w:sz="4" w:space="0"/>
              <w:bottom w:val="single" w:color="auto" w:sz="4" w:space="0"/>
            </w:tcBorders>
            <w:vAlign w:val="center"/>
          </w:tcPr>
          <w:p w14:paraId="0E3955E6">
            <w:pPr>
              <w:spacing w:line="400" w:lineRule="exact"/>
              <w:jc w:val="both"/>
              <w:rPr>
                <w:rFonts w:ascii="宋体" w:hAnsi="宋体"/>
              </w:rPr>
            </w:pPr>
            <w:r>
              <w:rPr>
                <w:rFonts w:ascii="宋体" w:hAnsi="宋体"/>
                <w:kern w:val="0"/>
              </w:rPr>
              <w:t>工程进度计划与措施</w:t>
            </w:r>
          </w:p>
        </w:tc>
        <w:tc>
          <w:tcPr>
            <w:tcW w:w="2158" w:type="dxa"/>
            <w:vAlign w:val="center"/>
          </w:tcPr>
          <w:p w14:paraId="773E0366">
            <w:pPr>
              <w:snapToGrid w:val="0"/>
              <w:spacing w:line="400" w:lineRule="exact"/>
              <w:ind w:firstLine="420" w:firstLineChars="200"/>
              <w:rPr>
                <w:rFonts w:hint="eastAsia" w:asciiTheme="minorEastAsia" w:hAnsiTheme="minorEastAsia" w:eastAsiaTheme="minorEastAsia" w:cstheme="minorEastAsia"/>
                <w:color w:val="auto"/>
                <w:highlight w:val="none"/>
                <w:u w:val="single"/>
              </w:rPr>
            </w:pPr>
            <w:r>
              <w:rPr>
                <w:rFonts w:ascii="宋体" w:hAnsi="宋体"/>
                <w:u w:val="single"/>
              </w:rPr>
              <w:t xml:space="preserve"> </w:t>
            </w:r>
            <w:r>
              <w:rPr>
                <w:rFonts w:hint="eastAsia" w:ascii="宋体" w:hAnsi="宋体"/>
                <w:u w:val="single"/>
                <w:lang w:val="en-US" w:eastAsia="zh-CN"/>
              </w:rPr>
              <w:t xml:space="preserve">3 </w:t>
            </w:r>
            <w:r>
              <w:rPr>
                <w:rFonts w:ascii="宋体" w:hAnsi="宋体"/>
              </w:rPr>
              <w:t>分   编制要点</w:t>
            </w:r>
            <w:r>
              <w:rPr>
                <w:rFonts w:hint="eastAsia" w:ascii="宋体" w:hAnsi="宋体"/>
              </w:rPr>
              <w:t>：</w:t>
            </w:r>
            <w:r>
              <w:rPr>
                <w:rFonts w:hint="eastAsia" w:ascii="宋体" w:hAnsi="宋体"/>
                <w:u w:val="single"/>
              </w:rPr>
              <w:t xml:space="preserve"> 总计划满足招标文件</w:t>
            </w:r>
            <w:r>
              <w:rPr>
                <w:rFonts w:hint="eastAsia" w:ascii="宋体" w:hAnsi="宋体"/>
                <w:u w:val="single"/>
                <w:lang w:val="en-US" w:eastAsia="zh-CN"/>
              </w:rPr>
              <w:t>要</w:t>
            </w:r>
            <w:r>
              <w:rPr>
                <w:rFonts w:hint="eastAsia" w:ascii="宋体" w:hAnsi="宋体"/>
                <w:u w:val="single"/>
              </w:rPr>
              <w:t xml:space="preserve">求，各关键节点的工期切实可行，保证工期的措施科学、可靠。施工总体进度计划合理、控制性项目安排得当，工程进度补救措施可行，能保证在招标人规定的总工期内完成 </w:t>
            </w:r>
            <w:r>
              <w:rPr>
                <w:rFonts w:hint="eastAsia" w:asciiTheme="minorEastAsia" w:hAnsiTheme="minorEastAsia" w:eastAsiaTheme="minorEastAsia" w:cstheme="minorEastAsia"/>
                <w:color w:val="auto"/>
                <w:highlight w:val="none"/>
                <w:u w:val="none"/>
              </w:rPr>
              <w:t>；</w:t>
            </w:r>
          </w:p>
          <w:p w14:paraId="5815BC26">
            <w:pPr>
              <w:snapToGrid w:val="0"/>
              <w:spacing w:line="400" w:lineRule="exact"/>
              <w:ind w:firstLine="420" w:firstLineChars="200"/>
              <w:rPr>
                <w:rFonts w:ascii="宋体" w:hAnsi="宋体"/>
                <w:szCs w:val="21"/>
              </w:rPr>
            </w:pPr>
            <w:r>
              <w:rPr>
                <w:rFonts w:hint="eastAsia" w:ascii="宋体" w:hAnsi="宋体"/>
                <w:u w:val="none"/>
              </w:rPr>
              <w:t>优得2.5分（不含）-3分，良得2分（不含）-2.5分，一般得1分（不含）-2分，差得0-1分。</w:t>
            </w:r>
          </w:p>
        </w:tc>
        <w:tc>
          <w:tcPr>
            <w:tcW w:w="2159" w:type="dxa"/>
            <w:vMerge w:val="continue"/>
            <w:vAlign w:val="center"/>
          </w:tcPr>
          <w:p w14:paraId="0AFE10B3">
            <w:pPr>
              <w:autoSpaceDE w:val="0"/>
              <w:autoSpaceDN w:val="0"/>
              <w:adjustRightInd w:val="0"/>
              <w:snapToGrid w:val="0"/>
              <w:spacing w:line="400" w:lineRule="exact"/>
              <w:ind w:firstLine="420" w:firstLineChars="200"/>
              <w:rPr>
                <w:rFonts w:ascii="宋体" w:hAnsi="宋体"/>
                <w:szCs w:val="21"/>
              </w:rPr>
            </w:pPr>
          </w:p>
        </w:tc>
      </w:tr>
      <w:tr w14:paraId="296465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55" w:type="dxa"/>
            <w:vMerge w:val="continue"/>
            <w:vAlign w:val="center"/>
          </w:tcPr>
          <w:p w14:paraId="6492DC18">
            <w:pPr>
              <w:spacing w:line="400" w:lineRule="exact"/>
              <w:jc w:val="center"/>
              <w:rPr>
                <w:rFonts w:ascii="宋体" w:hAnsi="宋体"/>
              </w:rPr>
            </w:pPr>
          </w:p>
        </w:tc>
        <w:tc>
          <w:tcPr>
            <w:tcW w:w="1628" w:type="dxa"/>
            <w:vMerge w:val="continue"/>
            <w:vAlign w:val="center"/>
          </w:tcPr>
          <w:p w14:paraId="500B1C86">
            <w:pPr>
              <w:spacing w:line="400" w:lineRule="exact"/>
              <w:jc w:val="center"/>
              <w:rPr>
                <w:rFonts w:ascii="宋体" w:hAnsi="宋体"/>
              </w:rPr>
            </w:pPr>
          </w:p>
        </w:tc>
        <w:tc>
          <w:tcPr>
            <w:tcW w:w="2675" w:type="dxa"/>
            <w:gridSpan w:val="3"/>
            <w:tcBorders>
              <w:top w:val="single" w:color="auto" w:sz="4" w:space="0"/>
              <w:bottom w:val="single" w:color="auto" w:sz="4" w:space="0"/>
            </w:tcBorders>
            <w:vAlign w:val="center"/>
          </w:tcPr>
          <w:p w14:paraId="4B2334C6">
            <w:pPr>
              <w:spacing w:line="400" w:lineRule="exact"/>
              <w:jc w:val="both"/>
              <w:rPr>
                <w:rFonts w:ascii="宋体" w:hAnsi="宋体"/>
              </w:rPr>
            </w:pPr>
            <w:r>
              <w:rPr>
                <w:rFonts w:ascii="宋体" w:hAnsi="宋体"/>
                <w:kern w:val="0"/>
              </w:rPr>
              <w:t>资源配备计划与先进性</w:t>
            </w:r>
          </w:p>
        </w:tc>
        <w:tc>
          <w:tcPr>
            <w:tcW w:w="2158" w:type="dxa"/>
            <w:vAlign w:val="center"/>
          </w:tcPr>
          <w:p w14:paraId="2FFB0C74">
            <w:pPr>
              <w:snapToGrid w:val="0"/>
              <w:spacing w:line="400" w:lineRule="exact"/>
              <w:ind w:firstLine="420" w:firstLineChars="200"/>
              <w:rPr>
                <w:rFonts w:hint="eastAsia" w:asciiTheme="minorEastAsia" w:hAnsiTheme="minorEastAsia" w:eastAsiaTheme="minorEastAsia" w:cstheme="minorEastAsia"/>
                <w:color w:val="auto"/>
                <w:highlight w:val="none"/>
                <w:u w:val="single"/>
              </w:rPr>
            </w:pPr>
            <w:r>
              <w:rPr>
                <w:rFonts w:ascii="宋体" w:hAnsi="宋体"/>
                <w:u w:val="single"/>
              </w:rPr>
              <w:t xml:space="preserve"> </w:t>
            </w:r>
            <w:r>
              <w:rPr>
                <w:rFonts w:hint="eastAsia" w:ascii="宋体" w:hAnsi="宋体"/>
                <w:u w:val="single"/>
                <w:lang w:val="en-US" w:eastAsia="zh-CN"/>
              </w:rPr>
              <w:t xml:space="preserve">2 </w:t>
            </w:r>
            <w:r>
              <w:rPr>
                <w:rFonts w:ascii="宋体" w:hAnsi="宋体"/>
              </w:rPr>
              <w:t>分   编制要点</w:t>
            </w:r>
            <w:r>
              <w:rPr>
                <w:rFonts w:hint="eastAsia" w:ascii="宋体" w:hAnsi="宋体"/>
              </w:rPr>
              <w:t>：</w:t>
            </w:r>
            <w:r>
              <w:rPr>
                <w:rFonts w:hint="eastAsia" w:ascii="宋体" w:hAnsi="宋体"/>
                <w:u w:val="single"/>
              </w:rPr>
              <w:t xml:space="preserve"> 劳动力配置计划应</w:t>
            </w:r>
            <w:r>
              <w:rPr>
                <w:rFonts w:hint="eastAsia" w:ascii="宋体" w:hAnsi="宋体"/>
                <w:u w:val="single"/>
                <w:lang w:val="en-US" w:eastAsia="zh-CN"/>
              </w:rPr>
              <w:t>根据</w:t>
            </w:r>
            <w:r>
              <w:rPr>
                <w:rFonts w:hint="eastAsia" w:ascii="宋体" w:hAnsi="宋体"/>
                <w:u w:val="single"/>
              </w:rPr>
              <w:t>施工进度计划、工程项目工程量</w:t>
            </w:r>
            <w:r>
              <w:rPr>
                <w:rFonts w:hint="eastAsia" w:ascii="宋体" w:hAnsi="宋体"/>
                <w:u w:val="single"/>
                <w:lang w:eastAsia="zh-CN"/>
              </w:rPr>
              <w:t>，</w:t>
            </w:r>
            <w:r>
              <w:rPr>
                <w:rFonts w:hint="eastAsia" w:ascii="宋体" w:hAnsi="宋体"/>
                <w:u w:val="single"/>
              </w:rPr>
              <w:t>编制劳动力配置计划</w:t>
            </w:r>
            <w:r>
              <w:rPr>
                <w:rFonts w:hint="eastAsia" w:ascii="宋体" w:hAnsi="宋体"/>
                <w:u w:val="single"/>
                <w:lang w:eastAsia="zh-CN"/>
              </w:rPr>
              <w:t>，</w:t>
            </w:r>
            <w:r>
              <w:rPr>
                <w:rFonts w:hint="eastAsia" w:ascii="宋体" w:hAnsi="宋体"/>
                <w:u w:val="single"/>
              </w:rPr>
              <w:t xml:space="preserve">应细化到专业工种；物资配置计划应根据施工进度计划编制等 </w:t>
            </w:r>
            <w:r>
              <w:rPr>
                <w:rFonts w:hint="eastAsia" w:asciiTheme="minorEastAsia" w:hAnsiTheme="minorEastAsia" w:eastAsiaTheme="minorEastAsia" w:cstheme="minorEastAsia"/>
                <w:color w:val="auto"/>
                <w:highlight w:val="none"/>
                <w:u w:val="none"/>
              </w:rPr>
              <w:t>；</w:t>
            </w:r>
          </w:p>
          <w:p w14:paraId="26C5FAC7">
            <w:pPr>
              <w:snapToGrid w:val="0"/>
              <w:spacing w:line="400" w:lineRule="exact"/>
              <w:ind w:firstLine="420" w:firstLineChars="200"/>
              <w:rPr>
                <w:rFonts w:ascii="宋体" w:hAnsi="宋体"/>
                <w:szCs w:val="21"/>
              </w:rPr>
            </w:pPr>
            <w:r>
              <w:rPr>
                <w:rFonts w:hint="eastAsia" w:ascii="宋体" w:hAnsi="宋体" w:eastAsia="宋体" w:cs="宋体"/>
                <w:color w:val="000000"/>
                <w:highlight w:val="none"/>
                <w:u w:val="none"/>
              </w:rPr>
              <w:t>优得</w:t>
            </w:r>
            <w:r>
              <w:rPr>
                <w:rFonts w:hint="eastAsia" w:ascii="宋体" w:hAnsi="宋体" w:eastAsia="宋体" w:cs="宋体"/>
                <w:color w:val="000000"/>
                <w:highlight w:val="none"/>
                <w:u w:val="none"/>
                <w:lang w:val="en-US" w:eastAsia="zh-CN"/>
              </w:rPr>
              <w:t>1.5</w:t>
            </w:r>
            <w:r>
              <w:rPr>
                <w:rFonts w:hint="eastAsia" w:ascii="宋体" w:hAnsi="宋体" w:eastAsia="宋体" w:cs="宋体"/>
                <w:color w:val="000000"/>
                <w:highlight w:val="none"/>
                <w:u w:val="none"/>
              </w:rPr>
              <w:t>分</w:t>
            </w:r>
            <w:r>
              <w:rPr>
                <w:rFonts w:hint="eastAsia" w:ascii="宋体" w:hAnsi="宋体" w:eastAsia="宋体" w:cs="宋体"/>
                <w:color w:val="000000"/>
                <w:highlight w:val="none"/>
                <w:u w:val="none"/>
                <w:lang w:eastAsia="zh-CN"/>
              </w:rPr>
              <w:t>（</w:t>
            </w:r>
            <w:r>
              <w:rPr>
                <w:rFonts w:hint="eastAsia" w:ascii="宋体" w:hAnsi="宋体" w:eastAsia="宋体" w:cs="宋体"/>
                <w:color w:val="000000"/>
                <w:highlight w:val="none"/>
                <w:u w:val="none"/>
                <w:lang w:val="en-US" w:eastAsia="zh-CN"/>
              </w:rPr>
              <w:t>不含</w:t>
            </w:r>
            <w:r>
              <w:rPr>
                <w:rFonts w:hint="eastAsia" w:ascii="宋体" w:hAnsi="宋体" w:eastAsia="宋体" w:cs="宋体"/>
                <w:color w:val="000000"/>
                <w:highlight w:val="none"/>
                <w:u w:val="none"/>
                <w:lang w:eastAsia="zh-CN"/>
              </w:rPr>
              <w:t>）</w:t>
            </w:r>
            <w:r>
              <w:rPr>
                <w:rFonts w:hint="eastAsia" w:ascii="宋体" w:hAnsi="宋体" w:eastAsia="宋体" w:cs="宋体"/>
                <w:color w:val="000000"/>
                <w:highlight w:val="none"/>
                <w:u w:val="none"/>
                <w:lang w:val="en-US" w:eastAsia="zh-CN"/>
              </w:rPr>
              <w:t>-2分</w:t>
            </w:r>
            <w:r>
              <w:rPr>
                <w:rFonts w:hint="eastAsia" w:ascii="宋体" w:hAnsi="宋体" w:eastAsia="宋体" w:cs="宋体"/>
                <w:color w:val="000000"/>
                <w:highlight w:val="none"/>
                <w:u w:val="none"/>
              </w:rPr>
              <w:t>，良得</w:t>
            </w:r>
            <w:r>
              <w:rPr>
                <w:rFonts w:hint="eastAsia" w:ascii="宋体" w:hAnsi="宋体" w:eastAsia="宋体" w:cs="宋体"/>
                <w:color w:val="000000"/>
                <w:highlight w:val="none"/>
                <w:u w:val="none"/>
                <w:lang w:val="en-US" w:eastAsia="zh-CN"/>
              </w:rPr>
              <w:t>1</w:t>
            </w:r>
            <w:r>
              <w:rPr>
                <w:rFonts w:hint="eastAsia" w:ascii="宋体" w:hAnsi="宋体" w:eastAsia="宋体" w:cs="宋体"/>
                <w:color w:val="000000"/>
                <w:highlight w:val="none"/>
                <w:u w:val="none"/>
              </w:rPr>
              <w:t>分</w:t>
            </w:r>
            <w:r>
              <w:rPr>
                <w:rFonts w:hint="eastAsia" w:ascii="宋体" w:hAnsi="宋体" w:eastAsia="宋体" w:cs="宋体"/>
                <w:color w:val="000000"/>
                <w:highlight w:val="none"/>
                <w:u w:val="none"/>
                <w:lang w:eastAsia="zh-CN"/>
              </w:rPr>
              <w:t>（</w:t>
            </w:r>
            <w:r>
              <w:rPr>
                <w:rFonts w:hint="eastAsia" w:ascii="宋体" w:hAnsi="宋体" w:eastAsia="宋体" w:cs="宋体"/>
                <w:color w:val="000000"/>
                <w:highlight w:val="none"/>
                <w:u w:val="none"/>
                <w:lang w:val="en-US" w:eastAsia="zh-CN"/>
              </w:rPr>
              <w:t>不含</w:t>
            </w:r>
            <w:r>
              <w:rPr>
                <w:rFonts w:hint="eastAsia" w:ascii="宋体" w:hAnsi="宋体" w:eastAsia="宋体" w:cs="宋体"/>
                <w:color w:val="000000"/>
                <w:highlight w:val="none"/>
                <w:u w:val="none"/>
                <w:lang w:eastAsia="zh-CN"/>
              </w:rPr>
              <w:t>）</w:t>
            </w:r>
            <w:r>
              <w:rPr>
                <w:rFonts w:hint="eastAsia" w:ascii="宋体" w:hAnsi="宋体" w:eastAsia="宋体" w:cs="宋体"/>
                <w:color w:val="000000"/>
                <w:highlight w:val="none"/>
                <w:u w:val="none"/>
                <w:lang w:val="en-US" w:eastAsia="zh-CN"/>
              </w:rPr>
              <w:t>-1.5分</w:t>
            </w:r>
            <w:r>
              <w:rPr>
                <w:rFonts w:hint="eastAsia" w:ascii="宋体" w:hAnsi="宋体" w:eastAsia="宋体" w:cs="宋体"/>
                <w:color w:val="000000"/>
                <w:highlight w:val="none"/>
                <w:u w:val="none"/>
              </w:rPr>
              <w:t>，一般得</w:t>
            </w:r>
            <w:r>
              <w:rPr>
                <w:rFonts w:hint="eastAsia" w:ascii="宋体" w:hAnsi="宋体" w:eastAsia="宋体" w:cs="宋体"/>
                <w:color w:val="000000"/>
                <w:highlight w:val="none"/>
                <w:u w:val="none"/>
                <w:lang w:val="en-US" w:eastAsia="zh-CN"/>
              </w:rPr>
              <w:t>0.5</w:t>
            </w:r>
            <w:r>
              <w:rPr>
                <w:rFonts w:hint="eastAsia" w:ascii="宋体" w:hAnsi="宋体" w:eastAsia="宋体" w:cs="宋体"/>
                <w:color w:val="000000"/>
                <w:highlight w:val="none"/>
                <w:u w:val="none"/>
              </w:rPr>
              <w:t>分</w:t>
            </w:r>
            <w:r>
              <w:rPr>
                <w:rFonts w:hint="eastAsia" w:ascii="宋体" w:hAnsi="宋体" w:eastAsia="宋体" w:cs="宋体"/>
                <w:color w:val="000000"/>
                <w:highlight w:val="none"/>
                <w:u w:val="none"/>
                <w:lang w:eastAsia="zh-CN"/>
              </w:rPr>
              <w:t>（</w:t>
            </w:r>
            <w:r>
              <w:rPr>
                <w:rFonts w:hint="eastAsia" w:ascii="宋体" w:hAnsi="宋体" w:eastAsia="宋体" w:cs="宋体"/>
                <w:color w:val="000000"/>
                <w:highlight w:val="none"/>
                <w:u w:val="none"/>
                <w:lang w:val="en-US" w:eastAsia="zh-CN"/>
              </w:rPr>
              <w:t>不含</w:t>
            </w:r>
            <w:r>
              <w:rPr>
                <w:rFonts w:hint="eastAsia" w:ascii="宋体" w:hAnsi="宋体" w:eastAsia="宋体" w:cs="宋体"/>
                <w:color w:val="000000"/>
                <w:highlight w:val="none"/>
                <w:u w:val="none"/>
                <w:lang w:eastAsia="zh-CN"/>
              </w:rPr>
              <w:t>）</w:t>
            </w:r>
            <w:r>
              <w:rPr>
                <w:rFonts w:hint="eastAsia" w:ascii="宋体" w:hAnsi="宋体" w:eastAsia="宋体" w:cs="宋体"/>
                <w:color w:val="000000"/>
                <w:highlight w:val="none"/>
                <w:u w:val="none"/>
                <w:lang w:val="en-US" w:eastAsia="zh-CN"/>
              </w:rPr>
              <w:t>-1分</w:t>
            </w:r>
            <w:r>
              <w:rPr>
                <w:rFonts w:hint="eastAsia" w:ascii="宋体" w:hAnsi="宋体" w:eastAsia="宋体" w:cs="宋体"/>
                <w:color w:val="000000"/>
                <w:highlight w:val="none"/>
                <w:u w:val="none"/>
              </w:rPr>
              <w:t>，差得</w:t>
            </w:r>
            <w:r>
              <w:rPr>
                <w:rFonts w:hint="eastAsia" w:ascii="宋体" w:hAnsi="宋体" w:eastAsia="宋体" w:cs="宋体"/>
                <w:color w:val="000000"/>
                <w:highlight w:val="none"/>
                <w:u w:val="none"/>
                <w:lang w:val="en-US" w:eastAsia="zh-CN"/>
              </w:rPr>
              <w:t>0-0.5</w:t>
            </w:r>
            <w:r>
              <w:rPr>
                <w:rFonts w:hint="eastAsia" w:ascii="宋体" w:hAnsi="宋体" w:eastAsia="宋体" w:cs="宋体"/>
                <w:color w:val="000000"/>
                <w:highlight w:val="none"/>
                <w:u w:val="none"/>
              </w:rPr>
              <w:t>分。</w:t>
            </w:r>
          </w:p>
        </w:tc>
        <w:tc>
          <w:tcPr>
            <w:tcW w:w="2159" w:type="dxa"/>
            <w:vMerge w:val="continue"/>
            <w:vAlign w:val="center"/>
          </w:tcPr>
          <w:p w14:paraId="6E357CC8">
            <w:pPr>
              <w:autoSpaceDE w:val="0"/>
              <w:autoSpaceDN w:val="0"/>
              <w:adjustRightInd w:val="0"/>
              <w:snapToGrid w:val="0"/>
              <w:spacing w:line="400" w:lineRule="exact"/>
              <w:ind w:firstLine="420" w:firstLineChars="200"/>
              <w:rPr>
                <w:rFonts w:ascii="宋体" w:hAnsi="宋体"/>
                <w:szCs w:val="21"/>
              </w:rPr>
            </w:pPr>
          </w:p>
        </w:tc>
      </w:tr>
      <w:tr w14:paraId="555F88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55" w:type="dxa"/>
            <w:vAlign w:val="center"/>
          </w:tcPr>
          <w:p w14:paraId="5A02918C">
            <w:pPr>
              <w:spacing w:line="400" w:lineRule="exact"/>
              <w:jc w:val="center"/>
              <w:rPr>
                <w:rFonts w:hint="default" w:ascii="宋体" w:hAnsi="宋体" w:eastAsia="宋体"/>
                <w:lang w:val="en-US" w:eastAsia="zh-CN"/>
              </w:rPr>
            </w:pPr>
            <w:r>
              <w:rPr>
                <w:rFonts w:hint="eastAsia" w:ascii="宋体" w:hAnsi="宋体"/>
                <w:lang w:val="en-US" w:eastAsia="zh-CN"/>
              </w:rPr>
              <w:t>☑3.2.1（2）</w:t>
            </w:r>
          </w:p>
        </w:tc>
        <w:tc>
          <w:tcPr>
            <w:tcW w:w="1628" w:type="dxa"/>
            <w:vAlign w:val="center"/>
          </w:tcPr>
          <w:p w14:paraId="00D7821B">
            <w:pPr>
              <w:spacing w:line="400" w:lineRule="exact"/>
              <w:jc w:val="center"/>
              <w:rPr>
                <w:rFonts w:ascii="宋体" w:hAnsi="宋体"/>
              </w:rPr>
            </w:pPr>
            <w:r>
              <w:rPr>
                <w:rFonts w:hint="eastAsia" w:ascii="宋体" w:hAnsi="宋体"/>
                <w:color w:val="auto"/>
                <w:highlight w:val="none"/>
              </w:rPr>
              <w:t>商务</w:t>
            </w:r>
            <w:r>
              <w:rPr>
                <w:rFonts w:hint="eastAsia" w:ascii="宋体" w:hAnsi="宋体"/>
                <w:color w:val="auto"/>
                <w:highlight w:val="none"/>
                <w:lang w:val="en-US" w:eastAsia="zh-CN"/>
              </w:rPr>
              <w:t>评审得分</w:t>
            </w:r>
            <w:r>
              <w:rPr>
                <w:rFonts w:hint="eastAsia" w:ascii="宋体" w:hAnsi="宋体"/>
                <w:color w:val="auto"/>
                <w:highlight w:val="none"/>
              </w:rPr>
              <w:t>（B）</w:t>
            </w:r>
          </w:p>
        </w:tc>
        <w:tc>
          <w:tcPr>
            <w:tcW w:w="2675" w:type="dxa"/>
            <w:gridSpan w:val="3"/>
            <w:tcBorders>
              <w:top w:val="single" w:color="auto" w:sz="4" w:space="0"/>
              <w:bottom w:val="single" w:color="auto" w:sz="4" w:space="0"/>
            </w:tcBorders>
            <w:vAlign w:val="center"/>
          </w:tcPr>
          <w:p w14:paraId="6924525D">
            <w:pPr>
              <w:spacing w:line="400" w:lineRule="exact"/>
              <w:jc w:val="center"/>
              <w:rPr>
                <w:rFonts w:hint="eastAsia" w:ascii="宋体" w:hAnsi="宋体"/>
                <w:color w:val="auto"/>
                <w:highlight w:val="none"/>
              </w:rPr>
            </w:pPr>
            <w:r>
              <w:rPr>
                <w:rFonts w:hint="eastAsia" w:ascii="宋体" w:hAnsi="宋体"/>
                <w:color w:val="auto"/>
                <w:highlight w:val="none"/>
              </w:rPr>
              <w:t>评标标准详见</w:t>
            </w:r>
          </w:p>
          <w:p w14:paraId="5EC4C625">
            <w:pPr>
              <w:spacing w:line="400" w:lineRule="exact"/>
              <w:jc w:val="center"/>
              <w:rPr>
                <w:rFonts w:hint="eastAsia" w:ascii="宋体" w:hAnsi="宋体" w:cs="宋体"/>
                <w:kern w:val="0"/>
              </w:rPr>
            </w:pPr>
            <w:r>
              <w:rPr>
                <w:rFonts w:hint="eastAsia" w:ascii="宋体" w:hAnsi="宋体"/>
                <w:color w:val="auto"/>
                <w:highlight w:val="none"/>
              </w:rPr>
              <w:t>2.2.2（2）</w:t>
            </w:r>
          </w:p>
        </w:tc>
        <w:tc>
          <w:tcPr>
            <w:tcW w:w="4317" w:type="dxa"/>
            <w:gridSpan w:val="2"/>
            <w:vAlign w:val="center"/>
          </w:tcPr>
          <w:p w14:paraId="7B13BF1E">
            <w:pPr>
              <w:autoSpaceDE w:val="0"/>
              <w:autoSpaceDN w:val="0"/>
              <w:adjustRightInd w:val="0"/>
              <w:snapToGrid w:val="0"/>
              <w:spacing w:line="400" w:lineRule="exact"/>
              <w:ind w:firstLine="420" w:firstLineChars="200"/>
              <w:rPr>
                <w:rFonts w:ascii="宋体" w:hAnsi="宋体"/>
                <w:szCs w:val="21"/>
              </w:rPr>
            </w:pPr>
            <w:r>
              <w:rPr>
                <w:rFonts w:hint="eastAsia" w:ascii="宋体" w:hAnsi="宋体"/>
                <w:color w:val="auto"/>
                <w:szCs w:val="21"/>
                <w:highlight w:val="none"/>
              </w:rPr>
              <w:t>商务</w:t>
            </w:r>
            <w:r>
              <w:rPr>
                <w:rFonts w:hint="eastAsia" w:ascii="宋体" w:hAnsi="宋体"/>
                <w:color w:val="auto"/>
                <w:szCs w:val="21"/>
                <w:highlight w:val="none"/>
                <w:lang w:val="en-US" w:eastAsia="zh-CN"/>
              </w:rPr>
              <w:t>评审</w:t>
            </w:r>
            <w:r>
              <w:rPr>
                <w:rFonts w:hint="eastAsia" w:ascii="宋体" w:hAnsi="宋体"/>
                <w:color w:val="auto"/>
                <w:szCs w:val="21"/>
                <w:highlight w:val="none"/>
              </w:rPr>
              <w:t>为客观评分，评标委员会按第</w:t>
            </w:r>
            <w:r>
              <w:rPr>
                <w:rFonts w:ascii="宋体" w:hAnsi="宋体"/>
                <w:color w:val="auto"/>
                <w:szCs w:val="21"/>
                <w:highlight w:val="none"/>
              </w:rPr>
              <w:t>2.2.</w:t>
            </w:r>
            <w:r>
              <w:rPr>
                <w:rFonts w:hint="eastAsia" w:ascii="宋体" w:hAnsi="宋体"/>
                <w:color w:val="auto"/>
                <w:szCs w:val="21"/>
                <w:highlight w:val="none"/>
              </w:rPr>
              <w:t>2（2）目各评审因素设定的分值统一进行评分。商务评分的最终结果取小数点后两位，</w:t>
            </w:r>
            <w:r>
              <w:rPr>
                <w:rFonts w:hint="eastAsia" w:ascii="宋体" w:hAnsi="宋体"/>
                <w:color w:val="auto"/>
                <w:szCs w:val="21"/>
                <w:highlight w:val="none"/>
                <w:lang w:val="en-US" w:eastAsia="zh-CN"/>
              </w:rPr>
              <w:t>小数点后</w:t>
            </w:r>
            <w:r>
              <w:rPr>
                <w:rFonts w:hint="eastAsia" w:ascii="宋体" w:hAnsi="宋体"/>
                <w:color w:val="auto"/>
                <w:szCs w:val="21"/>
                <w:highlight w:val="none"/>
              </w:rPr>
              <w:t>第三位四舍五入。</w:t>
            </w:r>
          </w:p>
        </w:tc>
      </w:tr>
      <w:tr w14:paraId="38C1F8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5" w:type="dxa"/>
            <w:vAlign w:val="center"/>
          </w:tcPr>
          <w:p w14:paraId="4ED4EA91">
            <w:pPr>
              <w:spacing w:line="400" w:lineRule="exact"/>
              <w:jc w:val="center"/>
              <w:rPr>
                <w:rFonts w:ascii="宋体" w:hAnsi="宋体"/>
              </w:rPr>
            </w:pPr>
            <w:r>
              <w:rPr>
                <w:rFonts w:ascii="宋体" w:hAnsi="宋体"/>
              </w:rPr>
              <w:t>3.2.1（</w:t>
            </w:r>
            <w:r>
              <w:rPr>
                <w:rFonts w:hint="eastAsia" w:ascii="宋体" w:hAnsi="宋体"/>
                <w:lang w:val="en-US" w:eastAsia="zh-CN"/>
              </w:rPr>
              <w:t>3</w:t>
            </w:r>
            <w:r>
              <w:rPr>
                <w:rFonts w:ascii="宋体" w:hAnsi="宋体"/>
              </w:rPr>
              <w:t>）</w:t>
            </w:r>
          </w:p>
        </w:tc>
        <w:tc>
          <w:tcPr>
            <w:tcW w:w="1628" w:type="dxa"/>
            <w:vAlign w:val="center"/>
          </w:tcPr>
          <w:p w14:paraId="5CB2DE27">
            <w:pPr>
              <w:spacing w:line="400" w:lineRule="exact"/>
              <w:rPr>
                <w:rFonts w:ascii="宋体" w:hAnsi="宋体"/>
                <w:b/>
                <w:kern w:val="0"/>
                <w:szCs w:val="21"/>
              </w:rPr>
            </w:pPr>
            <w:r>
              <w:rPr>
                <w:rFonts w:hint="eastAsia" w:ascii="宋体" w:hAnsi="宋体"/>
                <w:b/>
                <w:kern w:val="0"/>
                <w:szCs w:val="21"/>
                <w:lang w:eastAsia="zh-CN"/>
              </w:rPr>
              <w:t>☑</w:t>
            </w:r>
            <w:r>
              <w:rPr>
                <w:rFonts w:ascii="宋体" w:hAnsi="宋体"/>
                <w:b/>
                <w:kern w:val="0"/>
                <w:szCs w:val="21"/>
              </w:rPr>
              <w:t>选项一</w:t>
            </w:r>
            <w:r>
              <w:rPr>
                <w:rFonts w:ascii="宋体" w:hAnsi="宋体"/>
                <w:b/>
                <w:kern w:val="0"/>
              </w:rPr>
              <w:t>：</w:t>
            </w:r>
          </w:p>
          <w:p w14:paraId="22EA9EE9">
            <w:pPr>
              <w:spacing w:line="400" w:lineRule="exact"/>
              <w:jc w:val="center"/>
              <w:rPr>
                <w:rFonts w:ascii="宋体" w:hAnsi="宋体"/>
              </w:rPr>
            </w:pPr>
            <w:r>
              <w:rPr>
                <w:rFonts w:hint="eastAsia" w:ascii="宋体" w:hAnsi="宋体"/>
                <w:lang w:val="en-US" w:eastAsia="zh-CN"/>
              </w:rPr>
              <w:t>报价评审</w:t>
            </w:r>
            <w:r>
              <w:rPr>
                <w:rFonts w:ascii="宋体" w:hAnsi="宋体"/>
                <w:kern w:val="0"/>
              </w:rPr>
              <w:t>得分</w:t>
            </w:r>
            <w:r>
              <w:rPr>
                <w:rFonts w:ascii="宋体" w:hAnsi="宋体"/>
                <w:spacing w:val="-8"/>
              </w:rPr>
              <w:t>（</w:t>
            </w:r>
            <w:r>
              <w:rPr>
                <w:rFonts w:hint="eastAsia" w:ascii="宋体" w:hAnsi="宋体"/>
                <w:spacing w:val="-8"/>
                <w:lang w:val="en-US" w:eastAsia="zh-CN"/>
              </w:rPr>
              <w:t>C</w:t>
            </w:r>
            <w:r>
              <w:rPr>
                <w:rFonts w:ascii="宋体" w:hAnsi="宋体"/>
                <w:spacing w:val="-8"/>
              </w:rPr>
              <w:t>）</w:t>
            </w:r>
          </w:p>
        </w:tc>
        <w:tc>
          <w:tcPr>
            <w:tcW w:w="2675" w:type="dxa"/>
            <w:gridSpan w:val="3"/>
            <w:tcBorders>
              <w:top w:val="single" w:color="auto" w:sz="4" w:space="0"/>
            </w:tcBorders>
            <w:vAlign w:val="center"/>
          </w:tcPr>
          <w:p w14:paraId="5D663DD8">
            <w:pPr>
              <w:spacing w:line="400" w:lineRule="exact"/>
              <w:jc w:val="center"/>
              <w:rPr>
                <w:rFonts w:ascii="宋体" w:hAnsi="宋体"/>
              </w:rPr>
            </w:pPr>
            <w:r>
              <w:rPr>
                <w:rFonts w:ascii="宋体" w:hAnsi="宋体"/>
              </w:rPr>
              <w:t>投标总报价</w:t>
            </w:r>
          </w:p>
        </w:tc>
        <w:tc>
          <w:tcPr>
            <w:tcW w:w="4317" w:type="dxa"/>
            <w:gridSpan w:val="2"/>
            <w:vAlign w:val="center"/>
          </w:tcPr>
          <w:p w14:paraId="0615F334">
            <w:pPr>
              <w:spacing w:line="400" w:lineRule="exact"/>
              <w:ind w:firstLine="420" w:firstLineChars="200"/>
              <w:rPr>
                <w:rFonts w:ascii="宋体" w:hAnsi="宋体"/>
                <w:bCs/>
                <w:szCs w:val="28"/>
              </w:rPr>
            </w:pPr>
            <w:r>
              <w:rPr>
                <w:rFonts w:hint="eastAsia" w:ascii="宋体" w:hAnsi="宋体"/>
                <w:szCs w:val="21"/>
              </w:rPr>
              <w:t>设置</w:t>
            </w:r>
            <w:r>
              <w:rPr>
                <w:rFonts w:ascii="宋体" w:hAnsi="宋体"/>
                <w:szCs w:val="21"/>
              </w:rPr>
              <w:t>允许偏差范围</w:t>
            </w:r>
            <w:r>
              <w:rPr>
                <w:rFonts w:hint="eastAsia" w:ascii="宋体" w:hAnsi="宋体"/>
                <w:szCs w:val="21"/>
              </w:rPr>
              <w:t>的，</w:t>
            </w:r>
            <w:r>
              <w:rPr>
                <w:rFonts w:ascii="宋体" w:hAnsi="宋体"/>
                <w:kern w:val="0"/>
              </w:rPr>
              <w:t>投标总报价的偏差在</w:t>
            </w:r>
            <w:r>
              <w:rPr>
                <w:rFonts w:ascii="宋体" w:hAnsi="宋体"/>
                <w:szCs w:val="21"/>
              </w:rPr>
              <w:t>允许偏差范围外，</w:t>
            </w:r>
            <w:r>
              <w:rPr>
                <w:rFonts w:ascii="宋体" w:hAnsi="宋体"/>
                <w:bCs/>
                <w:szCs w:val="28"/>
              </w:rPr>
              <w:t>得零分</w:t>
            </w:r>
            <w:r>
              <w:rPr>
                <w:rFonts w:ascii="宋体" w:hAnsi="宋体"/>
                <w:kern w:val="0"/>
              </w:rPr>
              <w:t>；</w:t>
            </w:r>
            <w:r>
              <w:rPr>
                <w:rFonts w:hint="eastAsia" w:ascii="宋体" w:hAnsi="宋体"/>
                <w:kern w:val="0"/>
              </w:rPr>
              <w:t>不设置允许偏差范围或</w:t>
            </w:r>
            <w:r>
              <w:rPr>
                <w:rFonts w:ascii="宋体" w:hAnsi="宋体"/>
                <w:szCs w:val="21"/>
              </w:rPr>
              <w:t>投标总报价偏差在允许范围内的（含上、下限值），</w:t>
            </w:r>
            <w:r>
              <w:rPr>
                <w:rFonts w:hint="eastAsia" w:ascii="宋体" w:hAnsi="宋体" w:cs="宋体"/>
                <w:color w:val="auto"/>
                <w:kern w:val="0"/>
                <w:szCs w:val="21"/>
                <w:highlight w:val="none"/>
                <w:lang w:eastAsia="zh-CN"/>
              </w:rPr>
              <w:t>进入报价评审的</w:t>
            </w:r>
            <w:r>
              <w:rPr>
                <w:rFonts w:hint="eastAsia" w:ascii="宋体" w:hAnsi="宋体"/>
                <w:kern w:val="0"/>
                <w:szCs w:val="21"/>
              </w:rPr>
              <w:t>投标人</w:t>
            </w:r>
            <w:r>
              <w:rPr>
                <w:rFonts w:hint="eastAsia" w:ascii="宋体" w:hAnsi="宋体"/>
                <w:color w:val="auto"/>
                <w:kern w:val="0"/>
                <w:szCs w:val="21"/>
                <w:highlight w:val="none"/>
              </w:rPr>
              <w:t>的投标总报价</w:t>
            </w:r>
            <w:r>
              <w:rPr>
                <w:rFonts w:hint="eastAsia" w:ascii="宋体" w:hAnsi="宋体"/>
                <w:color w:val="auto"/>
                <w:kern w:val="0"/>
                <w:szCs w:val="21"/>
                <w:highlight w:val="none"/>
                <w:lang w:eastAsia="zh-CN"/>
              </w:rPr>
              <w:t>，</w:t>
            </w:r>
            <w:r>
              <w:rPr>
                <w:rFonts w:ascii="宋体" w:hAnsi="宋体"/>
                <w:szCs w:val="21"/>
              </w:rPr>
              <w:t>得</w:t>
            </w:r>
            <w:r>
              <w:rPr>
                <w:rFonts w:ascii="宋体" w:hAnsi="宋体"/>
                <w:bCs/>
                <w:szCs w:val="28"/>
              </w:rPr>
              <w:t>本附表第2.2.1项规定分值的满分</w:t>
            </w:r>
          </w:p>
          <w:p w14:paraId="4C77F8DE">
            <w:pPr>
              <w:spacing w:line="400" w:lineRule="exact"/>
              <w:ind w:firstLine="0" w:firstLineChars="0"/>
              <w:rPr>
                <w:rFonts w:hint="default" w:ascii="宋体" w:hAnsi="宋体" w:eastAsia="宋体"/>
                <w:szCs w:val="21"/>
                <w:lang w:val="en-US" w:eastAsia="zh-CN"/>
              </w:rPr>
            </w:pPr>
            <w:r>
              <w:rPr>
                <w:rFonts w:hint="eastAsia" w:ascii="宋体" w:hAnsi="宋体"/>
                <w:bCs/>
                <w:szCs w:val="28"/>
                <w:u w:val="single"/>
                <w:lang w:val="en-US" w:eastAsia="zh-CN"/>
              </w:rPr>
              <w:t xml:space="preserve"> 65 </w:t>
            </w:r>
            <w:r>
              <w:rPr>
                <w:rFonts w:ascii="宋体" w:hAnsi="宋体"/>
                <w:szCs w:val="21"/>
              </w:rPr>
              <w:t>分。在此基础上，投标总报价与评标基准价相比，每增加1%扣</w:t>
            </w:r>
            <w:r>
              <w:rPr>
                <w:rFonts w:hint="eastAsia" w:ascii="宋体" w:hAnsi="宋体"/>
                <w:bCs/>
                <w:szCs w:val="28"/>
                <w:u w:val="single"/>
                <w:lang w:val="en-US" w:eastAsia="zh-CN"/>
              </w:rPr>
              <w:t xml:space="preserve"> 1 </w:t>
            </w:r>
            <w:r>
              <w:rPr>
                <w:rFonts w:hint="eastAsia" w:ascii="宋体" w:hAnsi="宋体"/>
                <w:i w:val="0"/>
                <w:iCs w:val="0"/>
                <w:szCs w:val="21"/>
                <w:u w:val="none"/>
                <w:lang w:eastAsia="zh-CN"/>
              </w:rPr>
              <w:t>（</w:t>
            </w:r>
            <w:r>
              <w:rPr>
                <w:rFonts w:hint="eastAsia" w:ascii="宋体" w:hAnsi="宋体"/>
                <w:i w:val="0"/>
                <w:iCs w:val="0"/>
                <w:szCs w:val="21"/>
              </w:rPr>
              <w:t>扣分分值≥</w:t>
            </w:r>
            <w:r>
              <w:rPr>
                <w:rFonts w:hint="eastAsia" w:ascii="宋体" w:hAnsi="宋体"/>
                <w:i w:val="0"/>
                <w:iCs w:val="0"/>
                <w:szCs w:val="21"/>
                <w:lang w:val="en-US" w:eastAsia="zh-CN"/>
              </w:rPr>
              <w:t>1.0</w:t>
            </w:r>
            <w:r>
              <w:rPr>
                <w:rFonts w:hint="eastAsia" w:ascii="宋体" w:hAnsi="宋体"/>
                <w:i w:val="0"/>
                <w:iCs w:val="0"/>
                <w:szCs w:val="21"/>
                <w:lang w:eastAsia="zh-CN"/>
              </w:rPr>
              <w:t>）</w:t>
            </w:r>
            <w:r>
              <w:rPr>
                <w:rFonts w:ascii="宋体" w:hAnsi="宋体"/>
                <w:szCs w:val="21"/>
              </w:rPr>
              <w:t>分，每减少1%扣</w:t>
            </w:r>
            <w:r>
              <w:rPr>
                <w:rFonts w:hint="eastAsia" w:ascii="宋体" w:hAnsi="宋体"/>
                <w:bCs/>
                <w:szCs w:val="28"/>
                <w:u w:val="single"/>
                <w:lang w:val="en-US" w:eastAsia="zh-CN"/>
              </w:rPr>
              <w:t xml:space="preserve"> 0.5 </w:t>
            </w:r>
            <w:r>
              <w:rPr>
                <w:rFonts w:hint="eastAsia" w:ascii="宋体" w:hAnsi="宋体"/>
                <w:i w:val="0"/>
                <w:iCs w:val="0"/>
                <w:szCs w:val="21"/>
                <w:u w:val="none"/>
                <w:lang w:eastAsia="zh-CN"/>
              </w:rPr>
              <w:t>（</w:t>
            </w:r>
            <w:r>
              <w:rPr>
                <w:rFonts w:hint="eastAsia" w:ascii="宋体" w:hAnsi="宋体"/>
                <w:i w:val="0"/>
                <w:iCs w:val="0"/>
                <w:szCs w:val="21"/>
              </w:rPr>
              <w:t>扣分分值≥</w:t>
            </w:r>
            <w:r>
              <w:rPr>
                <w:rFonts w:hint="eastAsia" w:ascii="宋体" w:hAnsi="宋体"/>
                <w:i w:val="0"/>
                <w:iCs w:val="0"/>
                <w:szCs w:val="21"/>
                <w:lang w:val="en-US" w:eastAsia="zh-CN"/>
              </w:rPr>
              <w:t>0.5</w:t>
            </w:r>
            <w:r>
              <w:rPr>
                <w:rFonts w:hint="eastAsia" w:ascii="宋体" w:hAnsi="宋体"/>
                <w:i w:val="0"/>
                <w:iCs w:val="0"/>
                <w:szCs w:val="21"/>
                <w:lang w:eastAsia="zh-CN"/>
              </w:rPr>
              <w:t>）</w:t>
            </w:r>
            <w:r>
              <w:rPr>
                <w:rFonts w:ascii="宋体" w:hAnsi="宋体"/>
                <w:szCs w:val="21"/>
              </w:rPr>
              <w:t>分</w:t>
            </w:r>
            <w:r>
              <w:rPr>
                <w:rFonts w:hint="eastAsia" w:ascii="宋体" w:hAnsi="宋体"/>
                <w:szCs w:val="21"/>
                <w:lang w:eastAsia="zh-CN"/>
              </w:rPr>
              <w:t>，</w:t>
            </w:r>
            <w:r>
              <w:rPr>
                <w:rFonts w:hint="eastAsia" w:ascii="宋体" w:hAnsi="宋体"/>
                <w:szCs w:val="21"/>
                <w:lang w:val="en-US" w:eastAsia="zh-CN"/>
              </w:rPr>
              <w:t>扣完为止</w:t>
            </w:r>
            <w:r>
              <w:rPr>
                <w:rFonts w:ascii="宋体" w:hAnsi="宋体"/>
                <w:szCs w:val="21"/>
              </w:rPr>
              <w:t>。</w:t>
            </w:r>
          </w:p>
          <w:p w14:paraId="1D10707D">
            <w:pPr>
              <w:spacing w:line="400" w:lineRule="exact"/>
              <w:ind w:firstLine="420" w:firstLineChars="200"/>
              <w:rPr>
                <w:rFonts w:ascii="宋体" w:hAnsi="宋体"/>
                <w:szCs w:val="21"/>
              </w:rPr>
            </w:pPr>
            <w:r>
              <w:rPr>
                <w:rFonts w:ascii="宋体" w:hAnsi="宋体"/>
                <w:szCs w:val="21"/>
              </w:rPr>
              <w:t>按插入法计算得分。</w:t>
            </w:r>
          </w:p>
          <w:p w14:paraId="403D54B8">
            <w:pPr>
              <w:spacing w:line="400" w:lineRule="exact"/>
              <w:ind w:firstLine="420" w:firstLineChars="200"/>
              <w:rPr>
                <w:rFonts w:ascii="宋体" w:hAnsi="宋体"/>
                <w:szCs w:val="21"/>
              </w:rPr>
            </w:pPr>
            <w:r>
              <w:rPr>
                <w:rFonts w:ascii="宋体" w:hAnsi="宋体"/>
                <w:szCs w:val="21"/>
              </w:rPr>
              <w:t>在偏差范围内，未参与评标基准价计算的投标报价，仍应参加计算相应分值。</w:t>
            </w:r>
          </w:p>
          <w:p w14:paraId="495A5964">
            <w:pPr>
              <w:spacing w:line="400" w:lineRule="exact"/>
              <w:ind w:firstLine="420" w:firstLineChars="200"/>
              <w:rPr>
                <w:rFonts w:ascii="宋体" w:hAnsi="宋体"/>
                <w:kern w:val="0"/>
                <w:szCs w:val="21"/>
              </w:rPr>
            </w:pPr>
            <w:r>
              <w:rPr>
                <w:rFonts w:hint="eastAsia" w:ascii="宋体" w:hAnsi="宋体"/>
                <w:kern w:val="0"/>
                <w:szCs w:val="21"/>
              </w:rPr>
              <w:t>投标总报价得分最终结果</w:t>
            </w:r>
            <w:r>
              <w:rPr>
                <w:rFonts w:ascii="宋体" w:hAnsi="宋体"/>
                <w:kern w:val="0"/>
                <w:szCs w:val="21"/>
              </w:rPr>
              <w:t>取小数点后两位，</w:t>
            </w:r>
            <w:r>
              <w:rPr>
                <w:rFonts w:hint="eastAsia" w:asciiTheme="minorEastAsia" w:hAnsiTheme="minorEastAsia" w:eastAsiaTheme="minorEastAsia" w:cstheme="minorEastAsia"/>
                <w:color w:val="auto"/>
                <w:kern w:val="0"/>
                <w:szCs w:val="21"/>
                <w:highlight w:val="none"/>
                <w:lang w:val="en-US" w:eastAsia="zh-CN"/>
              </w:rPr>
              <w:t>小数点后</w:t>
            </w:r>
            <w:r>
              <w:rPr>
                <w:rFonts w:ascii="宋体" w:hAnsi="宋体"/>
                <w:kern w:val="0"/>
                <w:szCs w:val="21"/>
              </w:rPr>
              <w:t>第三位四舍五入。</w:t>
            </w:r>
          </w:p>
        </w:tc>
      </w:tr>
      <w:tr w14:paraId="43A7D8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Align w:val="center"/>
          </w:tcPr>
          <w:p w14:paraId="0DE4657D">
            <w:pPr>
              <w:spacing w:line="400" w:lineRule="exact"/>
              <w:ind w:firstLine="18" w:firstLineChars="9"/>
              <w:jc w:val="center"/>
              <w:rPr>
                <w:rFonts w:ascii="宋体" w:hAnsi="宋体"/>
                <w:szCs w:val="21"/>
              </w:rPr>
            </w:pPr>
            <w:r>
              <w:rPr>
                <w:rFonts w:ascii="宋体" w:hAnsi="宋体"/>
                <w:szCs w:val="21"/>
              </w:rPr>
              <w:t>3.2.3</w:t>
            </w:r>
          </w:p>
        </w:tc>
        <w:tc>
          <w:tcPr>
            <w:tcW w:w="1628" w:type="dxa"/>
            <w:tcBorders>
              <w:right w:val="single" w:color="auto" w:sz="4" w:space="0"/>
            </w:tcBorders>
            <w:vAlign w:val="center"/>
          </w:tcPr>
          <w:p w14:paraId="1D7FA988">
            <w:pPr>
              <w:spacing w:line="400" w:lineRule="exact"/>
              <w:ind w:firstLine="18" w:firstLineChars="9"/>
              <w:jc w:val="center"/>
              <w:rPr>
                <w:rFonts w:ascii="宋体" w:hAnsi="宋体"/>
                <w:szCs w:val="21"/>
              </w:rPr>
            </w:pPr>
            <w:r>
              <w:rPr>
                <w:rFonts w:ascii="宋体" w:hAnsi="宋体"/>
                <w:szCs w:val="21"/>
              </w:rPr>
              <w:t>投标人得分</w:t>
            </w:r>
          </w:p>
        </w:tc>
        <w:tc>
          <w:tcPr>
            <w:tcW w:w="6992" w:type="dxa"/>
            <w:gridSpan w:val="5"/>
            <w:tcBorders>
              <w:left w:val="single" w:color="auto" w:sz="4" w:space="0"/>
            </w:tcBorders>
            <w:vAlign w:val="center"/>
          </w:tcPr>
          <w:p w14:paraId="10BA0CC3">
            <w:pPr>
              <w:spacing w:line="400" w:lineRule="exact"/>
              <w:jc w:val="center"/>
              <w:rPr>
                <w:rFonts w:hint="default" w:ascii="宋体" w:hAnsi="宋体" w:eastAsia="宋体"/>
                <w:szCs w:val="21"/>
                <w:u w:val="single"/>
                <w:lang w:val="en-US" w:eastAsia="zh-CN"/>
              </w:rPr>
            </w:pPr>
            <w:r>
              <w:rPr>
                <w:rFonts w:ascii="宋体" w:hAnsi="宋体"/>
                <w:szCs w:val="21"/>
                <w:u w:val="none"/>
              </w:rPr>
              <w:t>投标人得分=A+B</w:t>
            </w:r>
            <w:r>
              <w:rPr>
                <w:rFonts w:hint="eastAsia" w:ascii="宋体" w:hAnsi="宋体"/>
                <w:szCs w:val="21"/>
                <w:u w:val="none"/>
                <w:lang w:val="en-US" w:eastAsia="zh-CN"/>
              </w:rPr>
              <w:t>+C</w:t>
            </w:r>
          </w:p>
        </w:tc>
      </w:tr>
      <w:bookmarkEnd w:id="575"/>
      <w:bookmarkEnd w:id="576"/>
      <w:bookmarkEnd w:id="577"/>
      <w:bookmarkEnd w:id="578"/>
      <w:bookmarkEnd w:id="579"/>
    </w:tbl>
    <w:p w14:paraId="53D573D5">
      <w:pPr>
        <w:pStyle w:val="4"/>
        <w:spacing w:before="0" w:after="0" w:line="360" w:lineRule="auto"/>
        <w:rPr>
          <w:rFonts w:ascii="宋体" w:hAnsi="宋体"/>
          <w:b w:val="0"/>
          <w:snapToGrid w:val="0"/>
        </w:rPr>
      </w:pPr>
      <w:bookmarkStart w:id="583" w:name="_Toc509218776"/>
      <w:r>
        <w:rPr>
          <w:rFonts w:ascii="宋体" w:hAnsi="宋体"/>
          <w:b w:val="0"/>
          <w:snapToGrid w:val="0"/>
        </w:rPr>
        <w:br w:type="page"/>
      </w:r>
      <w:bookmarkStart w:id="584" w:name="_Toc23704"/>
      <w:bookmarkStart w:id="585" w:name="_Toc22578"/>
      <w:r>
        <w:rPr>
          <w:rFonts w:ascii="宋体" w:hAnsi="宋体"/>
          <w:b w:val="0"/>
          <w:snapToGrid w:val="0"/>
        </w:rPr>
        <w:t>1.  评标方法</w:t>
      </w:r>
      <w:bookmarkEnd w:id="566"/>
      <w:bookmarkEnd w:id="567"/>
      <w:bookmarkEnd w:id="568"/>
      <w:bookmarkEnd w:id="569"/>
      <w:bookmarkEnd w:id="570"/>
      <w:bookmarkEnd w:id="571"/>
      <w:bookmarkEnd w:id="583"/>
      <w:bookmarkEnd w:id="584"/>
      <w:bookmarkEnd w:id="585"/>
    </w:p>
    <w:p w14:paraId="7E588F2B">
      <w:pPr>
        <w:autoSpaceDE w:val="0"/>
        <w:autoSpaceDN w:val="0"/>
        <w:adjustRightInd w:val="0"/>
        <w:snapToGrid w:val="0"/>
        <w:spacing w:line="360" w:lineRule="auto"/>
        <w:ind w:firstLine="420"/>
        <w:rPr>
          <w:rFonts w:ascii="宋体" w:hAnsi="宋体"/>
          <w:kern w:val="0"/>
          <w:szCs w:val="21"/>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评标委员会</w:t>
      </w:r>
      <w:r>
        <w:rPr>
          <w:rFonts w:hint="eastAsia" w:ascii="宋体" w:hAnsi="宋体"/>
        </w:rPr>
        <w:t>对满足招标文件实质要求的投标文件，</w:t>
      </w:r>
      <w:r>
        <w:rPr>
          <w:rFonts w:ascii="宋体" w:hAnsi="宋体"/>
          <w:kern w:val="0"/>
          <w:szCs w:val="21"/>
        </w:rPr>
        <w:t xml:space="preserve">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hint="eastAsia" w:ascii="宋体" w:hAnsi="宋体"/>
          <w:kern w:val="0"/>
          <w:szCs w:val="21"/>
          <w:lang w:eastAsia="zh-CN"/>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或根据招标人授权直接确定中标人</w:t>
      </w:r>
      <w:r>
        <w:rPr>
          <w:rFonts w:hint="eastAsia" w:ascii="宋体" w:hAnsi="宋体"/>
          <w:kern w:val="0"/>
          <w:szCs w:val="21"/>
        </w:rPr>
        <w:t>，若出现投标人综合评分相等的，以评标办法前附表约定的原则确定排序</w:t>
      </w:r>
      <w:r>
        <w:rPr>
          <w:rFonts w:ascii="宋体" w:hAnsi="宋体"/>
          <w:spacing w:val="-31"/>
          <w:kern w:val="0"/>
          <w:szCs w:val="21"/>
        </w:rPr>
        <w:t>。</w:t>
      </w:r>
    </w:p>
    <w:p w14:paraId="0ED33E21">
      <w:pPr>
        <w:pStyle w:val="4"/>
        <w:spacing w:before="0" w:after="0" w:line="360" w:lineRule="auto"/>
        <w:rPr>
          <w:rFonts w:ascii="宋体" w:hAnsi="宋体"/>
          <w:b w:val="0"/>
          <w:snapToGrid w:val="0"/>
        </w:rPr>
      </w:pPr>
      <w:bookmarkStart w:id="586" w:name="_Toc287607813"/>
      <w:bookmarkStart w:id="587" w:name="_Toc200513199"/>
      <w:bookmarkStart w:id="588" w:name="_Toc224103385"/>
      <w:bookmarkStart w:id="589" w:name="_Toc6388"/>
      <w:bookmarkStart w:id="590" w:name="_Toc430530501"/>
      <w:bookmarkStart w:id="591" w:name="_Toc277082619"/>
      <w:bookmarkStart w:id="592" w:name="_Toc287620752"/>
      <w:bookmarkStart w:id="593" w:name="_Toc509218777"/>
      <w:bookmarkStart w:id="594" w:name="_Toc13383"/>
      <w:r>
        <w:rPr>
          <w:rFonts w:ascii="宋体" w:hAnsi="宋体"/>
          <w:b w:val="0"/>
          <w:snapToGrid w:val="0"/>
        </w:rPr>
        <w:t>2.  评审标准</w:t>
      </w:r>
      <w:bookmarkEnd w:id="586"/>
      <w:bookmarkEnd w:id="587"/>
      <w:bookmarkEnd w:id="588"/>
      <w:bookmarkEnd w:id="589"/>
      <w:bookmarkEnd w:id="590"/>
      <w:bookmarkEnd w:id="591"/>
      <w:bookmarkEnd w:id="592"/>
      <w:bookmarkEnd w:id="593"/>
      <w:bookmarkEnd w:id="594"/>
    </w:p>
    <w:p w14:paraId="06678991">
      <w:pPr>
        <w:pStyle w:val="5"/>
        <w:snapToGrid w:val="0"/>
        <w:spacing w:before="0" w:after="0" w:line="360" w:lineRule="auto"/>
        <w:rPr>
          <w:rFonts w:ascii="宋体" w:hAnsi="宋体"/>
          <w:b w:val="0"/>
          <w:snapToGrid w:val="0"/>
          <w:sz w:val="24"/>
          <w:szCs w:val="24"/>
        </w:rPr>
      </w:pPr>
      <w:bookmarkStart w:id="595" w:name="_Toc287607814"/>
      <w:bookmarkStart w:id="596" w:name="_Toc224103386"/>
      <w:bookmarkStart w:id="597" w:name="_Toc509218778"/>
      <w:bookmarkStart w:id="598" w:name="_Toc2071"/>
      <w:bookmarkStart w:id="599" w:name="_Toc11292"/>
      <w:bookmarkStart w:id="600" w:name="_Toc287620753"/>
      <w:bookmarkStart w:id="601" w:name="_Toc200513200"/>
      <w:bookmarkStart w:id="602" w:name="_Toc277082620"/>
      <w:bookmarkStart w:id="603" w:name="_Toc430530502"/>
      <w:r>
        <w:rPr>
          <w:rFonts w:ascii="宋体" w:hAnsi="宋体"/>
          <w:b w:val="0"/>
          <w:snapToGrid w:val="0"/>
          <w:sz w:val="24"/>
          <w:szCs w:val="24"/>
        </w:rPr>
        <w:t>2.1  初步评审标准</w:t>
      </w:r>
      <w:bookmarkEnd w:id="595"/>
      <w:bookmarkEnd w:id="596"/>
      <w:bookmarkEnd w:id="597"/>
      <w:bookmarkEnd w:id="598"/>
      <w:bookmarkEnd w:id="599"/>
      <w:bookmarkEnd w:id="600"/>
      <w:bookmarkEnd w:id="601"/>
      <w:bookmarkEnd w:id="602"/>
      <w:bookmarkEnd w:id="603"/>
    </w:p>
    <w:p w14:paraId="54A4F964">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2.1.</w:t>
      </w:r>
      <w:r>
        <w:rPr>
          <w:rFonts w:hint="eastAsia" w:ascii="宋体" w:hAnsi="宋体"/>
          <w:kern w:val="0"/>
          <w:szCs w:val="21"/>
        </w:rPr>
        <w:t>1</w:t>
      </w:r>
      <w:r>
        <w:rPr>
          <w:rFonts w:ascii="宋体" w:hAnsi="宋体"/>
          <w:kern w:val="0"/>
          <w:szCs w:val="21"/>
        </w:rPr>
        <w:t xml:space="preserve">  资格评审标准：见评标办法前附表。</w:t>
      </w:r>
    </w:p>
    <w:p w14:paraId="280C217E">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2.1.</w:t>
      </w:r>
      <w:r>
        <w:rPr>
          <w:rFonts w:hint="eastAsia" w:ascii="宋体" w:hAnsi="宋体"/>
          <w:kern w:val="0"/>
          <w:szCs w:val="21"/>
        </w:rPr>
        <w:t>2</w:t>
      </w:r>
      <w:r>
        <w:rPr>
          <w:rFonts w:ascii="宋体" w:hAnsi="宋体"/>
          <w:kern w:val="0"/>
          <w:szCs w:val="21"/>
        </w:rPr>
        <w:t xml:space="preserve">  形式评审标准：见评标办法前附表。</w:t>
      </w:r>
    </w:p>
    <w:p w14:paraId="6630A6BC">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2.1.3  响应性评审标准：见评标办法前附表。</w:t>
      </w:r>
    </w:p>
    <w:p w14:paraId="260C16AF">
      <w:pPr>
        <w:pStyle w:val="5"/>
        <w:snapToGrid w:val="0"/>
        <w:spacing w:before="0" w:after="0" w:line="360" w:lineRule="auto"/>
        <w:rPr>
          <w:rFonts w:ascii="宋体" w:hAnsi="宋体"/>
          <w:b w:val="0"/>
          <w:snapToGrid w:val="0"/>
          <w:sz w:val="24"/>
          <w:szCs w:val="24"/>
        </w:rPr>
      </w:pPr>
      <w:bookmarkStart w:id="604" w:name="_Toc5630"/>
      <w:bookmarkStart w:id="605" w:name="_Toc430530503"/>
      <w:bookmarkStart w:id="606" w:name="_Toc287607815"/>
      <w:bookmarkStart w:id="607" w:name="_Toc224103387"/>
      <w:bookmarkStart w:id="608" w:name="_Toc10827"/>
      <w:bookmarkStart w:id="609" w:name="_Toc287620754"/>
      <w:bookmarkStart w:id="610" w:name="_Toc277082621"/>
      <w:bookmarkStart w:id="611" w:name="_Toc200513201"/>
      <w:bookmarkStart w:id="612" w:name="_Toc509218779"/>
      <w:r>
        <w:rPr>
          <w:rFonts w:ascii="宋体" w:hAnsi="宋体"/>
          <w:b w:val="0"/>
          <w:snapToGrid w:val="0"/>
          <w:sz w:val="24"/>
          <w:szCs w:val="24"/>
        </w:rPr>
        <w:t>2.2  分值构成与评分标准</w:t>
      </w:r>
      <w:bookmarkEnd w:id="604"/>
      <w:bookmarkEnd w:id="605"/>
      <w:bookmarkEnd w:id="606"/>
      <w:bookmarkEnd w:id="607"/>
      <w:bookmarkEnd w:id="608"/>
      <w:bookmarkEnd w:id="609"/>
      <w:bookmarkEnd w:id="610"/>
      <w:bookmarkEnd w:id="611"/>
      <w:bookmarkEnd w:id="612"/>
    </w:p>
    <w:p w14:paraId="0A81A14C">
      <w:pPr>
        <w:autoSpaceDE w:val="0"/>
        <w:autoSpaceDN w:val="0"/>
        <w:adjustRightInd w:val="0"/>
        <w:snapToGrid w:val="0"/>
        <w:spacing w:line="360" w:lineRule="auto"/>
        <w:ind w:firstLine="525" w:firstLineChars="250"/>
        <w:rPr>
          <w:rFonts w:ascii="宋体" w:hAnsi="宋体"/>
          <w:kern w:val="0"/>
          <w:szCs w:val="21"/>
        </w:rPr>
      </w:pPr>
      <w:r>
        <w:rPr>
          <w:rFonts w:ascii="宋体" w:hAnsi="宋体"/>
          <w:kern w:val="0"/>
          <w:szCs w:val="21"/>
        </w:rPr>
        <w:t>2.2.1  分值构成</w:t>
      </w:r>
    </w:p>
    <w:p w14:paraId="3E12975F">
      <w:pPr>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w:t>
      </w:r>
      <w:r>
        <w:rPr>
          <w:rFonts w:hint="eastAsia" w:ascii="宋体" w:hAnsi="宋体"/>
          <w:spacing w:val="1"/>
          <w:kern w:val="0"/>
          <w:szCs w:val="21"/>
        </w:rPr>
        <w:t>1</w:t>
      </w:r>
      <w:r>
        <w:rPr>
          <w:rFonts w:ascii="宋体" w:hAnsi="宋体"/>
          <w:kern w:val="0"/>
          <w:szCs w:val="21"/>
        </w:rPr>
        <w:t>）技术</w:t>
      </w:r>
      <w:r>
        <w:rPr>
          <w:rFonts w:hint="eastAsia" w:ascii="宋体" w:hAnsi="宋体"/>
          <w:kern w:val="0"/>
          <w:szCs w:val="21"/>
          <w:lang w:val="en-US" w:eastAsia="zh-CN"/>
        </w:rPr>
        <w:t>评审分值</w:t>
      </w:r>
      <w:r>
        <w:rPr>
          <w:rFonts w:ascii="宋体" w:hAnsi="宋体"/>
          <w:kern w:val="0"/>
          <w:szCs w:val="21"/>
        </w:rPr>
        <w:t>：见评标办法前附表</w:t>
      </w:r>
      <w:r>
        <w:rPr>
          <w:rFonts w:hint="eastAsia" w:ascii="宋体" w:hAnsi="宋体"/>
          <w:kern w:val="0"/>
          <w:szCs w:val="21"/>
        </w:rPr>
        <w:t>；</w:t>
      </w:r>
    </w:p>
    <w:p w14:paraId="40A1F926">
      <w:pPr>
        <w:autoSpaceDE w:val="0"/>
        <w:autoSpaceDN w:val="0"/>
        <w:adjustRightInd w:val="0"/>
        <w:snapToGrid w:val="0"/>
        <w:spacing w:line="360" w:lineRule="auto"/>
        <w:ind w:firstLine="420" w:firstLineChars="200"/>
        <w:rPr>
          <w:rFonts w:hint="eastAsia" w:ascii="宋体" w:hAnsi="宋体" w:eastAsia="宋体"/>
          <w:kern w:val="0"/>
          <w:szCs w:val="21"/>
          <w:lang w:eastAsia="zh-CN"/>
        </w:rPr>
      </w:pPr>
      <w:r>
        <w:rPr>
          <w:rFonts w:ascii="宋体" w:hAnsi="宋体"/>
          <w:kern w:val="0"/>
          <w:szCs w:val="21"/>
        </w:rPr>
        <w:t>（</w:t>
      </w:r>
      <w:r>
        <w:rPr>
          <w:rFonts w:hint="eastAsia" w:ascii="宋体" w:hAnsi="宋体"/>
          <w:spacing w:val="1"/>
          <w:kern w:val="0"/>
          <w:szCs w:val="21"/>
          <w:lang w:val="en-US" w:eastAsia="zh-CN"/>
        </w:rPr>
        <w:t>2</w:t>
      </w:r>
      <w:r>
        <w:rPr>
          <w:rFonts w:ascii="宋体" w:hAnsi="宋体"/>
          <w:kern w:val="0"/>
          <w:szCs w:val="21"/>
        </w:rPr>
        <w:t>）</w:t>
      </w:r>
      <w:r>
        <w:rPr>
          <w:rFonts w:hint="eastAsia" w:ascii="宋体" w:hAnsi="宋体"/>
          <w:kern w:val="0"/>
          <w:szCs w:val="21"/>
          <w:lang w:val="en-US" w:eastAsia="zh-CN"/>
        </w:rPr>
        <w:t>商务评审分值</w:t>
      </w:r>
      <w:r>
        <w:rPr>
          <w:rFonts w:ascii="宋体" w:hAnsi="宋体"/>
          <w:kern w:val="0"/>
          <w:szCs w:val="21"/>
        </w:rPr>
        <w:t>：见评标办法前附表</w:t>
      </w:r>
      <w:r>
        <w:rPr>
          <w:rFonts w:hint="eastAsia" w:ascii="宋体" w:hAnsi="宋体"/>
          <w:kern w:val="0"/>
          <w:szCs w:val="21"/>
          <w:lang w:eastAsia="zh-CN"/>
        </w:rPr>
        <w:t>；</w:t>
      </w:r>
    </w:p>
    <w:p w14:paraId="0AE9B5B1">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lang w:val="en-US" w:eastAsia="zh-CN"/>
        </w:rPr>
        <w:t>3</w:t>
      </w:r>
      <w:r>
        <w:rPr>
          <w:rFonts w:ascii="宋体" w:hAnsi="宋体"/>
          <w:kern w:val="0"/>
          <w:szCs w:val="21"/>
        </w:rPr>
        <w:t>）</w:t>
      </w:r>
      <w:r>
        <w:rPr>
          <w:rFonts w:hint="eastAsia" w:ascii="宋体" w:hAnsi="宋体"/>
          <w:kern w:val="0"/>
          <w:szCs w:val="21"/>
          <w:lang w:val="en-US" w:eastAsia="zh-CN"/>
        </w:rPr>
        <w:t>报价评审分值</w:t>
      </w:r>
      <w:r>
        <w:rPr>
          <w:rFonts w:ascii="宋体" w:hAnsi="宋体"/>
          <w:kern w:val="0"/>
          <w:szCs w:val="21"/>
        </w:rPr>
        <w:t>：见评标办法前附表</w:t>
      </w:r>
      <w:r>
        <w:rPr>
          <w:rFonts w:hint="eastAsia" w:ascii="宋体" w:hAnsi="宋体"/>
          <w:kern w:val="0"/>
          <w:szCs w:val="21"/>
        </w:rPr>
        <w:t>。</w:t>
      </w:r>
    </w:p>
    <w:p w14:paraId="5FAB60D7">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2.2.</w:t>
      </w:r>
      <w:r>
        <w:rPr>
          <w:rFonts w:hint="eastAsia" w:ascii="宋体" w:hAnsi="宋体"/>
          <w:kern w:val="0"/>
          <w:szCs w:val="21"/>
        </w:rPr>
        <w:t>2  评审标准</w:t>
      </w:r>
    </w:p>
    <w:p w14:paraId="256EF13C">
      <w:pPr>
        <w:autoSpaceDE w:val="0"/>
        <w:autoSpaceDN w:val="0"/>
        <w:adjustRightInd w:val="0"/>
        <w:snapToGrid w:val="0"/>
        <w:spacing w:line="360" w:lineRule="auto"/>
        <w:ind w:firstLine="535" w:firstLineChars="255"/>
        <w:rPr>
          <w:rFonts w:ascii="宋体" w:hAnsi="宋体"/>
          <w:kern w:val="0"/>
          <w:szCs w:val="21"/>
        </w:rPr>
      </w:pPr>
      <w:r>
        <w:rPr>
          <w:rFonts w:hint="eastAsia" w:ascii="宋体" w:hAnsi="宋体"/>
          <w:kern w:val="0"/>
          <w:szCs w:val="21"/>
        </w:rPr>
        <w:t>（1）</w:t>
      </w:r>
      <w:r>
        <w:rPr>
          <w:rFonts w:ascii="宋体" w:hAnsi="宋体"/>
          <w:kern w:val="0"/>
          <w:szCs w:val="21"/>
        </w:rPr>
        <w:t>技术</w:t>
      </w:r>
      <w:r>
        <w:rPr>
          <w:rFonts w:hint="eastAsia" w:ascii="宋体" w:hAnsi="宋体"/>
          <w:kern w:val="0"/>
          <w:szCs w:val="21"/>
          <w:lang w:val="en-US" w:eastAsia="zh-CN"/>
        </w:rPr>
        <w:t>评审</w:t>
      </w:r>
      <w:r>
        <w:rPr>
          <w:rFonts w:ascii="宋体" w:hAnsi="宋体"/>
          <w:kern w:val="0"/>
          <w:szCs w:val="21"/>
        </w:rPr>
        <w:t>标准：见评标办法前附表；</w:t>
      </w:r>
    </w:p>
    <w:p w14:paraId="6CEC9C50">
      <w:pPr>
        <w:autoSpaceDE w:val="0"/>
        <w:autoSpaceDN w:val="0"/>
        <w:adjustRightInd w:val="0"/>
        <w:snapToGrid w:val="0"/>
        <w:spacing w:line="360" w:lineRule="auto"/>
        <w:ind w:firstLine="535" w:firstLineChars="255"/>
        <w:rPr>
          <w:rFonts w:ascii="宋体" w:hAnsi="宋体"/>
          <w:kern w:val="0"/>
          <w:szCs w:val="21"/>
        </w:rPr>
      </w:pPr>
      <w:r>
        <w:rPr>
          <w:rFonts w:hint="eastAsia" w:ascii="宋体" w:hAnsi="宋体"/>
          <w:kern w:val="0"/>
          <w:szCs w:val="21"/>
        </w:rPr>
        <w:t>（</w:t>
      </w:r>
      <w:r>
        <w:rPr>
          <w:rFonts w:hint="eastAsia" w:ascii="宋体" w:hAnsi="宋体"/>
          <w:kern w:val="0"/>
          <w:szCs w:val="21"/>
          <w:lang w:val="en-US" w:eastAsia="zh-CN"/>
        </w:rPr>
        <w:t>2</w:t>
      </w:r>
      <w:r>
        <w:rPr>
          <w:rFonts w:hint="eastAsia" w:ascii="宋体" w:hAnsi="宋体"/>
          <w:kern w:val="0"/>
          <w:szCs w:val="21"/>
        </w:rPr>
        <w:t>）</w:t>
      </w:r>
      <w:r>
        <w:rPr>
          <w:rFonts w:hint="eastAsia" w:ascii="宋体" w:hAnsi="宋体"/>
          <w:kern w:val="0"/>
          <w:szCs w:val="21"/>
          <w:lang w:val="en-US" w:eastAsia="zh-CN"/>
        </w:rPr>
        <w:t>商务评审</w:t>
      </w:r>
      <w:r>
        <w:rPr>
          <w:rFonts w:ascii="宋体" w:hAnsi="宋体"/>
          <w:kern w:val="0"/>
          <w:szCs w:val="21"/>
        </w:rPr>
        <w:t>标准：见评标办法前附表</w:t>
      </w:r>
      <w:r>
        <w:rPr>
          <w:rFonts w:hint="eastAsia" w:ascii="宋体" w:hAnsi="宋体"/>
          <w:kern w:val="0"/>
          <w:szCs w:val="21"/>
          <w:lang w:eastAsia="zh-CN"/>
        </w:rPr>
        <w:t>；</w:t>
      </w:r>
    </w:p>
    <w:p w14:paraId="06D1FE3F">
      <w:pPr>
        <w:autoSpaceDE w:val="0"/>
        <w:autoSpaceDN w:val="0"/>
        <w:adjustRightInd w:val="0"/>
        <w:snapToGrid w:val="0"/>
        <w:spacing w:line="360" w:lineRule="auto"/>
        <w:ind w:firstLine="535" w:firstLineChars="255"/>
        <w:rPr>
          <w:rFonts w:hint="eastAsia" w:ascii="宋体" w:hAnsi="宋体" w:eastAsia="宋体"/>
          <w:kern w:val="0"/>
          <w:szCs w:val="21"/>
          <w:lang w:eastAsia="zh-CN"/>
        </w:rPr>
      </w:pPr>
      <w:r>
        <w:rPr>
          <w:rFonts w:hint="eastAsia" w:ascii="宋体" w:hAnsi="宋体"/>
          <w:kern w:val="0"/>
          <w:szCs w:val="21"/>
        </w:rPr>
        <w:t>（</w:t>
      </w:r>
      <w:r>
        <w:rPr>
          <w:rFonts w:hint="eastAsia" w:ascii="宋体" w:hAnsi="宋体"/>
          <w:kern w:val="0"/>
          <w:szCs w:val="21"/>
          <w:lang w:val="en-US" w:eastAsia="zh-CN"/>
        </w:rPr>
        <w:t>3</w:t>
      </w:r>
      <w:r>
        <w:rPr>
          <w:rFonts w:hint="eastAsia" w:ascii="宋体" w:hAnsi="宋体"/>
          <w:kern w:val="0"/>
          <w:szCs w:val="21"/>
        </w:rPr>
        <w:t>）投标函</w:t>
      </w:r>
      <w:r>
        <w:rPr>
          <w:rFonts w:hint="eastAsia" w:ascii="宋体" w:hAnsi="宋体"/>
          <w:kern w:val="0"/>
          <w:szCs w:val="21"/>
          <w:lang w:val="en-US" w:eastAsia="zh-CN"/>
        </w:rPr>
        <w:t>部分</w:t>
      </w:r>
      <w:r>
        <w:rPr>
          <w:rFonts w:hint="eastAsia" w:ascii="宋体" w:hAnsi="宋体"/>
          <w:kern w:val="0"/>
          <w:szCs w:val="21"/>
        </w:rPr>
        <w:t>评审标准：见评标办法前附表</w:t>
      </w:r>
      <w:r>
        <w:rPr>
          <w:rFonts w:hint="eastAsia" w:ascii="宋体" w:hAnsi="宋体"/>
          <w:kern w:val="0"/>
          <w:szCs w:val="21"/>
          <w:lang w:val="en-US" w:eastAsia="zh-CN"/>
        </w:rPr>
        <w:t>。</w:t>
      </w:r>
    </w:p>
    <w:p w14:paraId="580C73A3">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2.2.</w:t>
      </w:r>
      <w:r>
        <w:rPr>
          <w:rFonts w:hint="eastAsia" w:ascii="宋体" w:hAnsi="宋体"/>
          <w:kern w:val="0"/>
          <w:szCs w:val="21"/>
        </w:rPr>
        <w:t>3</w:t>
      </w:r>
      <w:r>
        <w:rPr>
          <w:rFonts w:ascii="宋体" w:hAnsi="宋体"/>
          <w:kern w:val="0"/>
          <w:szCs w:val="21"/>
        </w:rPr>
        <w:t xml:space="preserve">  评标基准价计算</w:t>
      </w:r>
    </w:p>
    <w:p w14:paraId="486AB6C0">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评标基准价计算方法：见评标办法前附表。</w:t>
      </w:r>
    </w:p>
    <w:p w14:paraId="72EEB546">
      <w:pPr>
        <w:autoSpaceDE w:val="0"/>
        <w:autoSpaceDN w:val="0"/>
        <w:adjustRightInd w:val="0"/>
        <w:snapToGrid w:val="0"/>
        <w:spacing w:line="360" w:lineRule="auto"/>
        <w:ind w:firstLine="535" w:firstLineChars="255"/>
        <w:rPr>
          <w:rFonts w:ascii="宋体" w:hAnsi="宋体"/>
          <w:kern w:val="0"/>
          <w:szCs w:val="21"/>
        </w:rPr>
      </w:pPr>
      <w:r>
        <w:rPr>
          <w:rFonts w:ascii="宋体" w:hAnsi="宋体"/>
          <w:kern w:val="0"/>
          <w:szCs w:val="21"/>
        </w:rPr>
        <w:t>2.2.</w:t>
      </w:r>
      <w:r>
        <w:rPr>
          <w:rFonts w:hint="eastAsia" w:ascii="宋体" w:hAnsi="宋体"/>
          <w:kern w:val="0"/>
          <w:szCs w:val="21"/>
        </w:rPr>
        <w:t>4</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投标报价的偏差率计算</w:t>
      </w:r>
      <w:r>
        <w:rPr>
          <w:rFonts w:hint="eastAsia" w:ascii="宋体" w:hAnsi="宋体"/>
          <w:kern w:val="0"/>
          <w:szCs w:val="21"/>
        </w:rPr>
        <w:t>和允许偏差范围</w:t>
      </w:r>
    </w:p>
    <w:p w14:paraId="732838E0">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（1）</w:t>
      </w:r>
      <w:r>
        <w:rPr>
          <w:rFonts w:ascii="宋体" w:hAnsi="宋体"/>
          <w:kern w:val="0"/>
          <w:szCs w:val="21"/>
        </w:rPr>
        <w:t>投标报价的偏差率计算公式：见评标办法前附表</w:t>
      </w:r>
      <w:r>
        <w:rPr>
          <w:rFonts w:hint="eastAsia" w:ascii="宋体" w:hAnsi="宋体"/>
          <w:kern w:val="0"/>
          <w:szCs w:val="21"/>
        </w:rPr>
        <w:t>；</w:t>
      </w:r>
    </w:p>
    <w:p w14:paraId="79E1667A">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（2）投标报价的允许偏差范围</w:t>
      </w:r>
      <w:r>
        <w:rPr>
          <w:rFonts w:ascii="宋体" w:hAnsi="宋体"/>
          <w:kern w:val="0"/>
          <w:szCs w:val="21"/>
        </w:rPr>
        <w:t>：见评标办法前附表</w:t>
      </w:r>
      <w:r>
        <w:rPr>
          <w:rFonts w:hint="eastAsia" w:ascii="宋体" w:hAnsi="宋体"/>
          <w:kern w:val="0"/>
          <w:szCs w:val="21"/>
        </w:rPr>
        <w:t>。</w:t>
      </w:r>
    </w:p>
    <w:p w14:paraId="32C74676">
      <w:pPr>
        <w:pStyle w:val="4"/>
        <w:spacing w:before="0" w:after="0" w:line="360" w:lineRule="auto"/>
        <w:rPr>
          <w:rFonts w:ascii="宋体" w:hAnsi="宋体"/>
          <w:b w:val="0"/>
          <w:snapToGrid w:val="0"/>
        </w:rPr>
      </w:pPr>
      <w:bookmarkStart w:id="613" w:name="_Toc200513202"/>
      <w:bookmarkStart w:id="614" w:name="_Toc287607816"/>
      <w:bookmarkStart w:id="615" w:name="_Toc430530504"/>
      <w:bookmarkStart w:id="616" w:name="_Toc224103388"/>
      <w:bookmarkStart w:id="617" w:name="_Toc17013"/>
      <w:bookmarkStart w:id="618" w:name="_Toc277082622"/>
      <w:bookmarkStart w:id="619" w:name="_Toc287620755"/>
      <w:bookmarkStart w:id="620" w:name="_Toc8437"/>
      <w:bookmarkStart w:id="621" w:name="_Toc509218780"/>
      <w:r>
        <w:rPr>
          <w:rFonts w:ascii="宋体" w:hAnsi="宋体"/>
          <w:b w:val="0"/>
          <w:snapToGrid w:val="0"/>
        </w:rPr>
        <w:t>3.  评标程序</w:t>
      </w:r>
      <w:bookmarkEnd w:id="613"/>
      <w:bookmarkEnd w:id="614"/>
      <w:bookmarkEnd w:id="615"/>
      <w:bookmarkEnd w:id="616"/>
      <w:bookmarkEnd w:id="617"/>
      <w:bookmarkEnd w:id="618"/>
      <w:bookmarkEnd w:id="619"/>
      <w:bookmarkEnd w:id="620"/>
      <w:bookmarkEnd w:id="621"/>
    </w:p>
    <w:p w14:paraId="3BB000BF">
      <w:pPr>
        <w:pStyle w:val="5"/>
        <w:snapToGrid w:val="0"/>
        <w:spacing w:before="0" w:after="0" w:line="360" w:lineRule="auto"/>
        <w:rPr>
          <w:rFonts w:ascii="宋体" w:hAnsi="宋体"/>
          <w:b w:val="0"/>
          <w:snapToGrid w:val="0"/>
          <w:sz w:val="24"/>
          <w:szCs w:val="24"/>
        </w:rPr>
      </w:pPr>
      <w:bookmarkStart w:id="622" w:name="_Toc224103389"/>
      <w:bookmarkStart w:id="623" w:name="_Toc9214"/>
      <w:bookmarkStart w:id="624" w:name="_Toc200513203"/>
      <w:bookmarkStart w:id="625" w:name="_Toc24772"/>
      <w:bookmarkStart w:id="626" w:name="_Toc430530505"/>
      <w:bookmarkStart w:id="627" w:name="_Toc277082623"/>
      <w:bookmarkStart w:id="628" w:name="_Toc287620756"/>
      <w:bookmarkStart w:id="629" w:name="_Toc509218781"/>
      <w:bookmarkStart w:id="630" w:name="_Toc287607817"/>
      <w:r>
        <w:rPr>
          <w:rFonts w:ascii="宋体" w:hAnsi="宋体"/>
          <w:b w:val="0"/>
          <w:snapToGrid w:val="0"/>
          <w:sz w:val="24"/>
          <w:szCs w:val="24"/>
        </w:rPr>
        <w:t>3.1  初步评审</w:t>
      </w:r>
      <w:bookmarkEnd w:id="622"/>
      <w:bookmarkEnd w:id="623"/>
      <w:bookmarkEnd w:id="624"/>
      <w:bookmarkEnd w:id="625"/>
      <w:bookmarkEnd w:id="626"/>
      <w:bookmarkEnd w:id="627"/>
      <w:bookmarkEnd w:id="628"/>
      <w:bookmarkEnd w:id="629"/>
      <w:bookmarkEnd w:id="630"/>
    </w:p>
    <w:p w14:paraId="2781F3CE">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3.1.1  评标委员会依据本章第 2.1 款规定的标准对投标文件进行初步评审。有一项不符合评审标准的，作否决投标处理。</w:t>
      </w:r>
    </w:p>
    <w:p w14:paraId="18B7A71E">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w:t>
      </w:r>
      <w:r>
        <w:rPr>
          <w:rFonts w:hint="eastAsia" w:ascii="宋体" w:hAnsi="宋体"/>
          <w:kern w:val="0"/>
          <w:szCs w:val="21"/>
          <w:lang w:val="en-US" w:eastAsia="zh-CN"/>
        </w:rPr>
        <w:t>2</w:t>
      </w:r>
      <w:r>
        <w:rPr>
          <w:rFonts w:ascii="宋体" w:hAnsi="宋体"/>
          <w:kern w:val="0"/>
          <w:szCs w:val="21"/>
        </w:rPr>
        <w:t xml:space="preserve">  投标文件中的大写金额与小写金额不一致的，评标委员会按</w:t>
      </w:r>
      <w:r>
        <w:rPr>
          <w:rFonts w:hint="eastAsia" w:ascii="宋体" w:hAnsi="宋体"/>
          <w:kern w:val="0"/>
          <w:szCs w:val="21"/>
          <w:lang w:val="en-US" w:eastAsia="zh-CN"/>
        </w:rPr>
        <w:t>照以大写金额为准的</w:t>
      </w:r>
      <w:r>
        <w:rPr>
          <w:rFonts w:ascii="宋体" w:hAnsi="宋体"/>
          <w:kern w:val="0"/>
          <w:szCs w:val="21"/>
        </w:rPr>
        <w:t>原则对投标报价进行修正，修正的价格经投标人书面确认后具有约束力。</w:t>
      </w:r>
    </w:p>
    <w:p w14:paraId="32A64D86">
      <w:pPr>
        <w:pStyle w:val="5"/>
        <w:snapToGrid w:val="0"/>
        <w:spacing w:before="0" w:after="0" w:line="360" w:lineRule="auto"/>
        <w:rPr>
          <w:rFonts w:ascii="宋体" w:hAnsi="宋体"/>
          <w:b w:val="0"/>
          <w:snapToGrid w:val="0"/>
          <w:sz w:val="24"/>
          <w:szCs w:val="24"/>
        </w:rPr>
      </w:pPr>
      <w:bookmarkStart w:id="631" w:name="_Toc277082624"/>
      <w:bookmarkStart w:id="632" w:name="_Toc4007"/>
      <w:bookmarkStart w:id="633" w:name="_Toc200513204"/>
      <w:bookmarkStart w:id="634" w:name="_Toc430530506"/>
      <w:bookmarkStart w:id="635" w:name="_Toc287607818"/>
      <w:bookmarkStart w:id="636" w:name="_Toc509218782"/>
      <w:bookmarkStart w:id="637" w:name="_Toc287620757"/>
      <w:bookmarkStart w:id="638" w:name="_Toc224103390"/>
      <w:bookmarkStart w:id="639" w:name="_Toc20043"/>
      <w:r>
        <w:rPr>
          <w:rFonts w:ascii="宋体" w:hAnsi="宋体"/>
          <w:b w:val="0"/>
          <w:snapToGrid w:val="0"/>
          <w:sz w:val="24"/>
          <w:szCs w:val="24"/>
        </w:rPr>
        <w:t>3.2  详细评审</w:t>
      </w:r>
      <w:bookmarkEnd w:id="631"/>
      <w:bookmarkEnd w:id="632"/>
      <w:bookmarkEnd w:id="633"/>
      <w:bookmarkEnd w:id="634"/>
      <w:bookmarkEnd w:id="635"/>
      <w:bookmarkEnd w:id="636"/>
      <w:bookmarkEnd w:id="637"/>
      <w:bookmarkEnd w:id="638"/>
      <w:bookmarkEnd w:id="639"/>
    </w:p>
    <w:p w14:paraId="331EB5AC">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 xml:space="preserve">3.2.1  </w:t>
      </w:r>
      <w:r>
        <w:rPr>
          <w:rFonts w:hint="eastAsia" w:ascii="宋体" w:hAnsi="宋体" w:cs="宋体"/>
          <w:color w:val="auto"/>
          <w:szCs w:val="22"/>
          <w:highlight w:val="none"/>
          <w:lang w:val="en-US" w:eastAsia="zh-CN"/>
        </w:rPr>
        <w:t>详细评标程序：</w:t>
      </w:r>
      <w:r>
        <w:rPr>
          <w:rFonts w:hint="eastAsia" w:ascii="宋体" w:hAnsi="宋体" w:eastAsia="宋体" w:cs="宋体"/>
          <w:color w:val="auto"/>
          <w:kern w:val="2"/>
          <w:szCs w:val="22"/>
          <w:highlight w:val="none"/>
        </w:rPr>
        <w:t>见评标办法前附表</w:t>
      </w:r>
      <w:r>
        <w:rPr>
          <w:rFonts w:hint="eastAsia" w:ascii="宋体" w:hAnsi="宋体"/>
          <w:kern w:val="0"/>
          <w:szCs w:val="21"/>
        </w:rPr>
        <w:t>。</w:t>
      </w:r>
    </w:p>
    <w:p w14:paraId="7C5908E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3.2.2  各类评分分值的最终计算结果保留小数点后两位，小数点后第三位“四舍五入”。</w:t>
      </w:r>
    </w:p>
    <w:p w14:paraId="2A59ECE0">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3.2.3  投标人得分=A+B</w:t>
      </w:r>
      <w:r>
        <w:rPr>
          <w:rFonts w:hint="eastAsia" w:ascii="宋体" w:hAnsi="宋体"/>
          <w:kern w:val="0"/>
          <w:szCs w:val="21"/>
          <w:lang w:val="en-US" w:eastAsia="zh-CN"/>
        </w:rPr>
        <w:t>+C</w:t>
      </w:r>
      <w:r>
        <w:rPr>
          <w:rFonts w:hint="eastAsia" w:ascii="宋体" w:hAnsi="宋体"/>
          <w:kern w:val="0"/>
          <w:szCs w:val="21"/>
        </w:rPr>
        <w:t>。</w:t>
      </w:r>
    </w:p>
    <w:p w14:paraId="371E0735">
      <w:pPr>
        <w:pStyle w:val="5"/>
        <w:snapToGrid w:val="0"/>
        <w:spacing w:before="0" w:after="0" w:line="360" w:lineRule="auto"/>
        <w:rPr>
          <w:rFonts w:ascii="宋体" w:hAnsi="宋体"/>
          <w:b w:val="0"/>
          <w:snapToGrid w:val="0"/>
          <w:sz w:val="24"/>
          <w:szCs w:val="24"/>
        </w:rPr>
      </w:pPr>
      <w:bookmarkStart w:id="640" w:name="_Toc287620758"/>
      <w:bookmarkStart w:id="641" w:name="_Toc430530507"/>
      <w:bookmarkStart w:id="642" w:name="_Toc6043"/>
      <w:bookmarkStart w:id="643" w:name="_Toc509218783"/>
      <w:bookmarkStart w:id="644" w:name="_Toc287607819"/>
      <w:bookmarkStart w:id="645" w:name="_Toc224103391"/>
      <w:bookmarkStart w:id="646" w:name="_Toc277082625"/>
      <w:bookmarkStart w:id="647" w:name="_Toc27390"/>
      <w:bookmarkStart w:id="648" w:name="_Toc200513205"/>
      <w:r>
        <w:rPr>
          <w:rFonts w:ascii="宋体" w:hAnsi="宋体"/>
          <w:b w:val="0"/>
          <w:snapToGrid w:val="0"/>
          <w:sz w:val="24"/>
          <w:szCs w:val="24"/>
        </w:rPr>
        <w:t>3.3  投标文件的澄清和补正</w:t>
      </w:r>
      <w:bookmarkEnd w:id="640"/>
      <w:bookmarkEnd w:id="641"/>
      <w:bookmarkEnd w:id="642"/>
      <w:bookmarkEnd w:id="643"/>
      <w:bookmarkEnd w:id="644"/>
      <w:bookmarkEnd w:id="645"/>
      <w:bookmarkEnd w:id="646"/>
      <w:bookmarkEnd w:id="647"/>
      <w:bookmarkEnd w:id="648"/>
    </w:p>
    <w:p w14:paraId="67A6623D">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3.3.1  在评标过程中，评标委员会可以书面形式要求投标人对所提交投标文件中不明确的内容进行书面澄清或说明，或者对细微偏差进行补正。评标委员会不接受投标人主动提出的澄清、说明或补正。</w:t>
      </w:r>
    </w:p>
    <w:p w14:paraId="073456F4">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3.3.2  澄清、说明和补正不得改变投标文件的实质性内容。投标人的书面澄清、说明和补正属于投标文件的组成部分。</w:t>
      </w:r>
    </w:p>
    <w:p w14:paraId="4B59E94A">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3.3.3  评标委员会对投标人提交的澄清、说明或补正有疑问的，可以要求投标人进一步澄清、说明或补正，直至满足评标委员会的要求。</w:t>
      </w:r>
    </w:p>
    <w:p w14:paraId="110BBCD6">
      <w:pPr>
        <w:pStyle w:val="5"/>
        <w:snapToGrid w:val="0"/>
        <w:spacing w:before="0" w:after="0" w:line="360" w:lineRule="auto"/>
        <w:rPr>
          <w:rFonts w:ascii="宋体" w:hAnsi="宋体"/>
          <w:b w:val="0"/>
          <w:snapToGrid w:val="0"/>
          <w:sz w:val="24"/>
          <w:szCs w:val="24"/>
        </w:rPr>
      </w:pPr>
      <w:bookmarkStart w:id="649" w:name="_Toc18473"/>
      <w:bookmarkStart w:id="650" w:name="_Toc430530508"/>
      <w:bookmarkStart w:id="651" w:name="_Toc287607820"/>
      <w:bookmarkStart w:id="652" w:name="_Toc224103392"/>
      <w:bookmarkStart w:id="653" w:name="_Toc287620759"/>
      <w:bookmarkStart w:id="654" w:name="_Toc277082626"/>
      <w:bookmarkStart w:id="655" w:name="_Toc509218784"/>
      <w:bookmarkStart w:id="656" w:name="_Toc1078"/>
      <w:bookmarkStart w:id="657" w:name="_Toc200513206"/>
      <w:r>
        <w:rPr>
          <w:rFonts w:ascii="宋体" w:hAnsi="宋体"/>
          <w:b w:val="0"/>
          <w:snapToGrid w:val="0"/>
          <w:sz w:val="24"/>
          <w:szCs w:val="24"/>
        </w:rPr>
        <w:t>3.4  评标结果</w:t>
      </w:r>
      <w:bookmarkEnd w:id="649"/>
      <w:bookmarkEnd w:id="650"/>
      <w:bookmarkEnd w:id="651"/>
      <w:bookmarkEnd w:id="652"/>
      <w:bookmarkEnd w:id="653"/>
      <w:bookmarkEnd w:id="654"/>
      <w:bookmarkEnd w:id="655"/>
      <w:bookmarkEnd w:id="656"/>
      <w:bookmarkEnd w:id="657"/>
    </w:p>
    <w:p w14:paraId="608DE8E5">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ascii="宋体" w:hAnsi="宋体"/>
          <w:spacing w:val="1"/>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员会按照</w:t>
      </w:r>
      <w:r>
        <w:rPr>
          <w:rFonts w:ascii="宋体" w:hAnsi="宋体"/>
          <w:spacing w:val="1"/>
          <w:kern w:val="0"/>
          <w:szCs w:val="21"/>
        </w:rPr>
        <w:t>得分</w:t>
      </w:r>
      <w:r>
        <w:rPr>
          <w:rFonts w:ascii="宋体" w:hAnsi="宋体"/>
          <w:kern w:val="0"/>
          <w:szCs w:val="21"/>
        </w:rPr>
        <w:t>由高到低的顺序推荐中标候选人。</w:t>
      </w:r>
    </w:p>
    <w:p w14:paraId="45AB57D1">
      <w:pPr>
        <w:autoSpaceDE w:val="0"/>
        <w:autoSpaceDN w:val="0"/>
        <w:adjustRightInd w:val="0"/>
        <w:snapToGrid w:val="0"/>
        <w:spacing w:line="360" w:lineRule="auto"/>
        <w:ind w:firstLine="424" w:firstLineChars="200"/>
        <w:rPr>
          <w:rFonts w:ascii="宋体" w:hAnsi="宋体"/>
          <w:kern w:val="0"/>
          <w:szCs w:val="21"/>
        </w:rPr>
      </w:pPr>
      <w:r>
        <w:rPr>
          <w:rFonts w:ascii="宋体" w:hAnsi="宋体"/>
          <w:spacing w:val="1"/>
          <w:kern w:val="0"/>
          <w:szCs w:val="21"/>
        </w:rPr>
        <w:t>3</w:t>
      </w:r>
      <w:r>
        <w:rPr>
          <w:rFonts w:ascii="宋体" w:hAnsi="宋体"/>
          <w:kern w:val="0"/>
          <w:szCs w:val="21"/>
        </w:rPr>
        <w:t>.4.2  评标</w:t>
      </w:r>
      <w:r>
        <w:rPr>
          <w:rFonts w:ascii="宋体" w:hAnsi="宋体"/>
          <w:spacing w:val="-1"/>
          <w:kern w:val="0"/>
          <w:szCs w:val="21"/>
        </w:rPr>
        <w:t>委</w:t>
      </w:r>
      <w:r>
        <w:rPr>
          <w:rFonts w:ascii="宋体" w:hAnsi="宋体"/>
          <w:kern w:val="0"/>
          <w:szCs w:val="21"/>
        </w:rPr>
        <w:t>员会完成评标后，应当向招标人提交书面评标报告</w:t>
      </w:r>
      <w:r>
        <w:rPr>
          <w:rFonts w:hint="eastAsia" w:ascii="宋体" w:hAnsi="宋体"/>
          <w:kern w:val="0"/>
          <w:szCs w:val="21"/>
        </w:rPr>
        <w:t>和中标候选人名单</w:t>
      </w:r>
      <w:r>
        <w:rPr>
          <w:rFonts w:ascii="宋体" w:hAnsi="宋体"/>
          <w:kern w:val="0"/>
          <w:szCs w:val="21"/>
        </w:rPr>
        <w:t>。</w:t>
      </w:r>
    </w:p>
    <w:p w14:paraId="09B7549A">
      <w:pPr>
        <w:autoSpaceDE w:val="0"/>
        <w:autoSpaceDN w:val="0"/>
        <w:adjustRightInd w:val="0"/>
        <w:snapToGrid w:val="0"/>
        <w:spacing w:line="360" w:lineRule="auto"/>
        <w:ind w:firstLine="420" w:firstLineChars="200"/>
        <w:rPr>
          <w:rFonts w:ascii="宋体" w:hAnsi="宋体"/>
          <w:kern w:val="0"/>
          <w:sz w:val="20"/>
          <w:szCs w:val="20"/>
        </w:rPr>
      </w:pPr>
      <w:r>
        <w:rPr>
          <w:rFonts w:hint="eastAsia" w:asciiTheme="minorEastAsia" w:hAnsiTheme="minorEastAsia" w:eastAsiaTheme="minorEastAsia"/>
          <w:color w:val="auto"/>
          <w:kern w:val="0"/>
          <w:szCs w:val="21"/>
          <w:highlight w:val="none"/>
          <w:lang w:val="en-US" w:eastAsia="zh-CN"/>
        </w:rPr>
        <w:t>3.4.3 有效投标人不足三个的，</w:t>
      </w:r>
      <w:r>
        <w:rPr>
          <w:rFonts w:hint="eastAsia" w:asciiTheme="minorEastAsia" w:hAnsiTheme="minorEastAsia" w:eastAsiaTheme="minorEastAsia"/>
          <w:color w:val="auto"/>
          <w:kern w:val="0"/>
          <w:szCs w:val="21"/>
          <w:highlight w:val="none"/>
        </w:rPr>
        <w:t>评标委员会应当对有效投标人是否仍具有竞争性进行论证</w:t>
      </w:r>
      <w:r>
        <w:rPr>
          <w:rFonts w:hint="eastAsia" w:asciiTheme="minorEastAsia" w:hAnsiTheme="minorEastAsia" w:eastAsiaTheme="minorEastAsia"/>
          <w:color w:val="auto"/>
          <w:kern w:val="0"/>
          <w:szCs w:val="21"/>
          <w:highlight w:val="none"/>
          <w:lang w:val="en-US" w:eastAsia="zh-CN"/>
        </w:rPr>
        <w:t>，并在评标报告中记载论证过程和结果。</w:t>
      </w:r>
    </w:p>
    <w:p w14:paraId="221407C8">
      <w:pPr>
        <w:spacing w:line="360" w:lineRule="auto"/>
        <w:rPr>
          <w:rFonts w:ascii="宋体" w:hAnsi="宋体"/>
          <w:b/>
          <w:szCs w:val="20"/>
        </w:rPr>
      </w:pPr>
      <w:r>
        <w:rPr>
          <w:rFonts w:ascii="宋体" w:hAnsi="宋体"/>
          <w:kern w:val="0"/>
          <w:sz w:val="20"/>
          <w:szCs w:val="20"/>
        </w:rPr>
        <w:br w:type="page"/>
      </w:r>
    </w:p>
    <w:p w14:paraId="6F6393EE">
      <w:pPr>
        <w:pStyle w:val="33"/>
        <w:spacing w:line="360" w:lineRule="auto"/>
        <w:rPr>
          <w:rFonts w:ascii="宋体" w:hAnsi="宋体"/>
          <w:b/>
          <w:sz w:val="28"/>
          <w:szCs w:val="28"/>
          <w:u w:val="none"/>
          <w:lang w:eastAsia="zh-CN"/>
        </w:rPr>
      </w:pPr>
      <w:bookmarkStart w:id="658" w:name="招标文件03章02评标办法综合评估法02附件02"/>
      <w:bookmarkEnd w:id="658"/>
      <w:bookmarkStart w:id="659" w:name="招标文件04章合同条款及格式"/>
      <w:bookmarkEnd w:id="659"/>
      <w:bookmarkStart w:id="660" w:name="_Toc230410480"/>
      <w:bookmarkStart w:id="661" w:name="_Toc277082627"/>
      <w:r>
        <w:rPr>
          <w:rFonts w:ascii="宋体" w:hAnsi="宋体"/>
          <w:b/>
          <w:sz w:val="28"/>
          <w:szCs w:val="28"/>
          <w:u w:val="none"/>
          <w:lang w:eastAsia="zh-CN"/>
        </w:rPr>
        <w:t>附件A：综合评估法否决投标情况一览表</w:t>
      </w:r>
      <w:bookmarkEnd w:id="660"/>
    </w:p>
    <w:bookmarkEnd w:id="661"/>
    <w:p w14:paraId="4B794CC1">
      <w:pPr>
        <w:pStyle w:val="33"/>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317"/>
        <w:gridCol w:w="1943"/>
        <w:gridCol w:w="6209"/>
      </w:tblGrid>
      <w:tr w14:paraId="22CC2A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Align w:val="center"/>
          </w:tcPr>
          <w:p w14:paraId="6D62B102">
            <w:pPr>
              <w:spacing w:line="400" w:lineRule="exact"/>
              <w:jc w:val="center"/>
              <w:rPr>
                <w:rFonts w:ascii="宋体" w:hAnsi="宋体"/>
                <w:b/>
                <w:szCs w:val="21"/>
              </w:rPr>
            </w:pPr>
            <w:r>
              <w:rPr>
                <w:rFonts w:ascii="宋体" w:hAnsi="宋体"/>
                <w:b/>
                <w:szCs w:val="21"/>
              </w:rPr>
              <w:t>章节号</w:t>
            </w:r>
          </w:p>
        </w:tc>
        <w:tc>
          <w:tcPr>
            <w:tcW w:w="1943" w:type="dxa"/>
            <w:vAlign w:val="center"/>
          </w:tcPr>
          <w:p w14:paraId="54B83AD1">
            <w:pPr>
              <w:spacing w:line="400" w:lineRule="exact"/>
              <w:jc w:val="center"/>
              <w:rPr>
                <w:rFonts w:ascii="宋体" w:hAnsi="宋体"/>
                <w:b/>
                <w:szCs w:val="21"/>
              </w:rPr>
            </w:pPr>
            <w:r>
              <w:rPr>
                <w:rFonts w:ascii="宋体" w:hAnsi="宋体"/>
                <w:b/>
                <w:szCs w:val="21"/>
              </w:rPr>
              <w:t>条款名称</w:t>
            </w:r>
          </w:p>
        </w:tc>
        <w:tc>
          <w:tcPr>
            <w:tcW w:w="6209" w:type="dxa"/>
            <w:vAlign w:val="center"/>
          </w:tcPr>
          <w:p w14:paraId="0F427A77">
            <w:pPr>
              <w:spacing w:line="400" w:lineRule="exact"/>
              <w:jc w:val="center"/>
              <w:rPr>
                <w:rFonts w:ascii="宋体" w:hAnsi="宋体"/>
                <w:b/>
                <w:szCs w:val="21"/>
              </w:rPr>
            </w:pPr>
            <w:r>
              <w:rPr>
                <w:rFonts w:ascii="宋体" w:hAnsi="宋体"/>
                <w:b/>
                <w:szCs w:val="21"/>
              </w:rPr>
              <w:t>否决投标条件</w:t>
            </w:r>
          </w:p>
        </w:tc>
      </w:tr>
      <w:tr w14:paraId="4FD295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restart"/>
            <w:vAlign w:val="center"/>
          </w:tcPr>
          <w:p w14:paraId="37123BF4">
            <w:pPr>
              <w:spacing w:line="400" w:lineRule="exact"/>
              <w:jc w:val="center"/>
              <w:rPr>
                <w:rFonts w:ascii="宋体" w:hAnsi="宋体"/>
                <w:szCs w:val="21"/>
              </w:rPr>
            </w:pPr>
            <w:r>
              <w:rPr>
                <w:rFonts w:hint="eastAsia" w:ascii="宋体" w:hAnsi="宋体"/>
                <w:szCs w:val="21"/>
              </w:rPr>
              <w:t>第三章</w:t>
            </w:r>
          </w:p>
        </w:tc>
        <w:tc>
          <w:tcPr>
            <w:tcW w:w="1943" w:type="dxa"/>
            <w:vMerge w:val="restart"/>
            <w:vAlign w:val="center"/>
          </w:tcPr>
          <w:p w14:paraId="58EB4F19">
            <w:pPr>
              <w:spacing w:line="400" w:lineRule="exact"/>
              <w:jc w:val="center"/>
              <w:rPr>
                <w:rFonts w:ascii="宋体" w:hAnsi="宋体"/>
                <w:szCs w:val="21"/>
              </w:rPr>
            </w:pPr>
            <w:r>
              <w:rPr>
                <w:rFonts w:hint="eastAsia" w:ascii="宋体" w:hAnsi="宋体"/>
                <w:szCs w:val="21"/>
              </w:rPr>
              <w:t>资格评审</w:t>
            </w:r>
          </w:p>
        </w:tc>
        <w:tc>
          <w:tcPr>
            <w:tcW w:w="6209" w:type="dxa"/>
            <w:vAlign w:val="center"/>
          </w:tcPr>
          <w:p w14:paraId="5B76C060">
            <w:pPr>
              <w:spacing w:line="400" w:lineRule="exact"/>
              <w:ind w:firstLine="420" w:firstLineChars="200"/>
              <w:rPr>
                <w:rFonts w:ascii="宋体" w:hAnsi="宋体"/>
                <w:szCs w:val="21"/>
              </w:rPr>
            </w:pPr>
            <w:r>
              <w:rPr>
                <w:rFonts w:hint="eastAsia" w:ascii="宋体" w:hAnsi="宋体"/>
                <w:szCs w:val="21"/>
              </w:rPr>
              <w:t>A-1投标人的资质条件、</w:t>
            </w:r>
            <w:r>
              <w:rPr>
                <w:rFonts w:hint="eastAsia" w:ascii="宋体" w:hAnsi="宋体"/>
                <w:szCs w:val="21"/>
                <w:lang w:eastAsia="zh-CN"/>
              </w:rPr>
              <w:t>独立法人资格</w:t>
            </w:r>
            <w:r>
              <w:rPr>
                <w:rFonts w:hint="eastAsia" w:ascii="宋体" w:hAnsi="宋体"/>
                <w:szCs w:val="21"/>
              </w:rPr>
              <w:t>及安全生产条件</w:t>
            </w:r>
            <w:r>
              <w:rPr>
                <w:rFonts w:hint="eastAsia" w:ascii="宋体" w:hAnsi="宋体"/>
                <w:szCs w:val="21"/>
                <w:lang w:val="en-US" w:eastAsia="zh-CN"/>
              </w:rPr>
              <w:t>不</w:t>
            </w:r>
            <w:r>
              <w:rPr>
                <w:rFonts w:hint="eastAsia" w:ascii="宋体" w:hAnsi="宋体"/>
                <w:szCs w:val="21"/>
              </w:rPr>
              <w:t>满足投标人须知前附表</w:t>
            </w:r>
            <w:r>
              <w:rPr>
                <w:rFonts w:hint="eastAsia" w:ascii="宋体" w:hAnsi="宋体"/>
                <w:szCs w:val="21"/>
                <w:lang w:val="en-US" w:eastAsia="zh-CN"/>
              </w:rPr>
              <w:t>第</w:t>
            </w:r>
            <w:r>
              <w:rPr>
                <w:rFonts w:hint="eastAsia" w:ascii="宋体" w:hAnsi="宋体"/>
                <w:szCs w:val="21"/>
              </w:rPr>
              <w:t>1.4.1项的要求。</w:t>
            </w:r>
          </w:p>
        </w:tc>
      </w:tr>
      <w:tr w14:paraId="26CB35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continue"/>
            <w:vAlign w:val="center"/>
          </w:tcPr>
          <w:p w14:paraId="2C78A48B">
            <w:pPr>
              <w:spacing w:line="400" w:lineRule="exact"/>
              <w:jc w:val="center"/>
              <w:rPr>
                <w:rFonts w:ascii="宋体" w:hAnsi="宋体"/>
                <w:szCs w:val="21"/>
              </w:rPr>
            </w:pPr>
          </w:p>
        </w:tc>
        <w:tc>
          <w:tcPr>
            <w:tcW w:w="1943" w:type="dxa"/>
            <w:vMerge w:val="continue"/>
            <w:vAlign w:val="center"/>
          </w:tcPr>
          <w:p w14:paraId="27937906">
            <w:pPr>
              <w:spacing w:line="400" w:lineRule="exact"/>
              <w:jc w:val="center"/>
              <w:rPr>
                <w:rFonts w:ascii="宋体" w:hAnsi="宋体"/>
                <w:szCs w:val="21"/>
              </w:rPr>
            </w:pPr>
          </w:p>
        </w:tc>
        <w:tc>
          <w:tcPr>
            <w:tcW w:w="6209" w:type="dxa"/>
            <w:vAlign w:val="center"/>
          </w:tcPr>
          <w:p w14:paraId="554E3FFE">
            <w:pPr>
              <w:spacing w:line="400" w:lineRule="exact"/>
              <w:ind w:firstLine="420" w:firstLineChars="200"/>
              <w:rPr>
                <w:rFonts w:ascii="宋体" w:hAnsi="宋体"/>
                <w:szCs w:val="21"/>
              </w:rPr>
            </w:pPr>
            <w:r>
              <w:rPr>
                <w:rFonts w:hint="eastAsia" w:ascii="宋体" w:hAnsi="宋体"/>
                <w:szCs w:val="21"/>
              </w:rPr>
              <w:t>A-2投标人的财务</w:t>
            </w:r>
            <w:r>
              <w:rPr>
                <w:rFonts w:hint="eastAsia" w:ascii="宋体" w:hAnsi="宋体"/>
                <w:szCs w:val="21"/>
                <w:lang w:val="en-US" w:eastAsia="zh-CN"/>
              </w:rPr>
              <w:t>不</w:t>
            </w:r>
            <w:r>
              <w:rPr>
                <w:rFonts w:hint="eastAsia" w:ascii="宋体" w:hAnsi="宋体"/>
                <w:szCs w:val="21"/>
              </w:rPr>
              <w:t>满足投标人须知前附表第1.4.1项的要求。</w:t>
            </w:r>
          </w:p>
        </w:tc>
      </w:tr>
      <w:tr w14:paraId="6F2587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blHeader/>
          <w:jc w:val="center"/>
        </w:trPr>
        <w:tc>
          <w:tcPr>
            <w:tcW w:w="1317" w:type="dxa"/>
            <w:vMerge w:val="continue"/>
            <w:vAlign w:val="center"/>
          </w:tcPr>
          <w:p w14:paraId="4A4A8D13">
            <w:pPr>
              <w:spacing w:line="400" w:lineRule="exact"/>
              <w:jc w:val="center"/>
              <w:rPr>
                <w:rFonts w:ascii="宋体" w:hAnsi="宋体"/>
                <w:szCs w:val="21"/>
              </w:rPr>
            </w:pPr>
          </w:p>
        </w:tc>
        <w:tc>
          <w:tcPr>
            <w:tcW w:w="1943" w:type="dxa"/>
            <w:vMerge w:val="continue"/>
            <w:vAlign w:val="center"/>
          </w:tcPr>
          <w:p w14:paraId="3FD9F108">
            <w:pPr>
              <w:spacing w:line="400" w:lineRule="exact"/>
              <w:jc w:val="center"/>
              <w:rPr>
                <w:rFonts w:ascii="宋体" w:hAnsi="宋体"/>
                <w:szCs w:val="21"/>
              </w:rPr>
            </w:pPr>
          </w:p>
        </w:tc>
        <w:tc>
          <w:tcPr>
            <w:tcW w:w="6209" w:type="dxa"/>
            <w:vAlign w:val="center"/>
          </w:tcPr>
          <w:p w14:paraId="1A7C2139">
            <w:pPr>
              <w:spacing w:line="400" w:lineRule="exact"/>
              <w:ind w:firstLine="420" w:firstLineChars="200"/>
              <w:rPr>
                <w:rFonts w:ascii="宋体" w:hAnsi="宋体"/>
                <w:szCs w:val="21"/>
              </w:rPr>
            </w:pPr>
            <w:r>
              <w:rPr>
                <w:rFonts w:hint="eastAsia" w:ascii="宋体" w:hAnsi="宋体"/>
                <w:szCs w:val="21"/>
              </w:rPr>
              <w:t>A-3投标人的业绩</w:t>
            </w:r>
            <w:r>
              <w:rPr>
                <w:rFonts w:hint="eastAsia" w:ascii="宋体" w:hAnsi="宋体"/>
                <w:szCs w:val="21"/>
                <w:lang w:val="en-US" w:eastAsia="zh-CN"/>
              </w:rPr>
              <w:t>不</w:t>
            </w:r>
            <w:r>
              <w:rPr>
                <w:rFonts w:hint="eastAsia" w:ascii="宋体" w:hAnsi="宋体"/>
                <w:szCs w:val="21"/>
              </w:rPr>
              <w:t>满足投标人须知前附表第1.4.1项的要求。</w:t>
            </w:r>
          </w:p>
        </w:tc>
      </w:tr>
      <w:tr w14:paraId="6B545A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continue"/>
            <w:vAlign w:val="center"/>
          </w:tcPr>
          <w:p w14:paraId="5DBEEA4C">
            <w:pPr>
              <w:spacing w:line="400" w:lineRule="exact"/>
              <w:jc w:val="center"/>
              <w:rPr>
                <w:rFonts w:ascii="宋体" w:hAnsi="宋体"/>
                <w:szCs w:val="21"/>
              </w:rPr>
            </w:pPr>
          </w:p>
        </w:tc>
        <w:tc>
          <w:tcPr>
            <w:tcW w:w="1943" w:type="dxa"/>
            <w:vMerge w:val="continue"/>
            <w:vAlign w:val="center"/>
          </w:tcPr>
          <w:p w14:paraId="646CD957">
            <w:pPr>
              <w:spacing w:line="400" w:lineRule="exact"/>
              <w:jc w:val="center"/>
              <w:rPr>
                <w:rFonts w:ascii="宋体" w:hAnsi="宋体"/>
                <w:szCs w:val="21"/>
              </w:rPr>
            </w:pPr>
          </w:p>
        </w:tc>
        <w:tc>
          <w:tcPr>
            <w:tcW w:w="6209" w:type="dxa"/>
            <w:vAlign w:val="center"/>
          </w:tcPr>
          <w:p w14:paraId="49AFFC58">
            <w:pPr>
              <w:spacing w:line="400" w:lineRule="exact"/>
              <w:ind w:firstLine="420" w:firstLineChars="200"/>
              <w:rPr>
                <w:rFonts w:ascii="宋体" w:hAnsi="宋体"/>
                <w:szCs w:val="21"/>
              </w:rPr>
            </w:pPr>
            <w:r>
              <w:rPr>
                <w:rFonts w:hint="eastAsia" w:ascii="宋体" w:hAnsi="宋体"/>
                <w:szCs w:val="21"/>
              </w:rPr>
              <w:t>A-4投标人的投标截止日投标资格情况</w:t>
            </w:r>
            <w:r>
              <w:rPr>
                <w:rFonts w:hint="eastAsia" w:ascii="宋体" w:hAnsi="宋体"/>
                <w:szCs w:val="21"/>
                <w:lang w:val="en-US" w:eastAsia="zh-CN"/>
              </w:rPr>
              <w:t>不</w:t>
            </w:r>
            <w:r>
              <w:rPr>
                <w:rFonts w:hint="eastAsia" w:ascii="宋体" w:hAnsi="宋体"/>
                <w:szCs w:val="21"/>
              </w:rPr>
              <w:t>满足投标人须知前附表第1.4.1项的要求。</w:t>
            </w:r>
          </w:p>
        </w:tc>
      </w:tr>
      <w:tr w14:paraId="501143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continue"/>
            <w:vAlign w:val="center"/>
          </w:tcPr>
          <w:p w14:paraId="7DD09908">
            <w:pPr>
              <w:spacing w:line="400" w:lineRule="exact"/>
              <w:jc w:val="center"/>
              <w:rPr>
                <w:rFonts w:ascii="宋体" w:hAnsi="宋体"/>
                <w:szCs w:val="21"/>
              </w:rPr>
            </w:pPr>
          </w:p>
        </w:tc>
        <w:tc>
          <w:tcPr>
            <w:tcW w:w="1943" w:type="dxa"/>
            <w:vMerge w:val="continue"/>
            <w:vAlign w:val="center"/>
          </w:tcPr>
          <w:p w14:paraId="532D1608">
            <w:pPr>
              <w:spacing w:line="400" w:lineRule="exact"/>
              <w:jc w:val="center"/>
              <w:rPr>
                <w:rFonts w:ascii="宋体" w:hAnsi="宋体"/>
                <w:szCs w:val="21"/>
              </w:rPr>
            </w:pPr>
          </w:p>
        </w:tc>
        <w:tc>
          <w:tcPr>
            <w:tcW w:w="6209" w:type="dxa"/>
            <w:vAlign w:val="center"/>
          </w:tcPr>
          <w:p w14:paraId="4875D80E">
            <w:pPr>
              <w:spacing w:line="400" w:lineRule="exact"/>
              <w:ind w:firstLine="420" w:firstLineChars="200"/>
              <w:rPr>
                <w:rFonts w:ascii="宋体" w:hAnsi="宋体"/>
                <w:szCs w:val="21"/>
              </w:rPr>
            </w:pPr>
            <w:r>
              <w:rPr>
                <w:rFonts w:hint="eastAsia" w:ascii="宋体" w:hAnsi="宋体"/>
                <w:szCs w:val="21"/>
              </w:rPr>
              <w:t>A-5投标人的项目经理资格</w:t>
            </w:r>
            <w:r>
              <w:rPr>
                <w:rFonts w:hint="eastAsia" w:ascii="宋体" w:hAnsi="宋体"/>
                <w:szCs w:val="21"/>
                <w:lang w:val="en-US" w:eastAsia="zh-CN"/>
              </w:rPr>
              <w:t>不</w:t>
            </w:r>
            <w:r>
              <w:rPr>
                <w:rFonts w:hint="eastAsia" w:ascii="宋体" w:hAnsi="宋体"/>
                <w:szCs w:val="21"/>
              </w:rPr>
              <w:t>满足投标人须知前附表第1.4.1项的要求。</w:t>
            </w:r>
          </w:p>
        </w:tc>
      </w:tr>
      <w:tr w14:paraId="1E13E1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continue"/>
            <w:vAlign w:val="center"/>
          </w:tcPr>
          <w:p w14:paraId="33D58632">
            <w:pPr>
              <w:spacing w:line="400" w:lineRule="exact"/>
              <w:jc w:val="center"/>
              <w:rPr>
                <w:rFonts w:ascii="宋体" w:hAnsi="宋体"/>
                <w:szCs w:val="21"/>
              </w:rPr>
            </w:pPr>
          </w:p>
        </w:tc>
        <w:tc>
          <w:tcPr>
            <w:tcW w:w="1943" w:type="dxa"/>
            <w:vMerge w:val="continue"/>
            <w:vAlign w:val="center"/>
          </w:tcPr>
          <w:p w14:paraId="407545C4">
            <w:pPr>
              <w:spacing w:line="400" w:lineRule="exact"/>
              <w:jc w:val="center"/>
              <w:rPr>
                <w:rFonts w:ascii="宋体" w:hAnsi="宋体"/>
                <w:szCs w:val="21"/>
              </w:rPr>
            </w:pPr>
          </w:p>
        </w:tc>
        <w:tc>
          <w:tcPr>
            <w:tcW w:w="6209" w:type="dxa"/>
            <w:vAlign w:val="center"/>
          </w:tcPr>
          <w:p w14:paraId="4FDFAE0E">
            <w:pPr>
              <w:spacing w:line="400" w:lineRule="exact"/>
              <w:ind w:firstLine="420" w:firstLineChars="200"/>
              <w:rPr>
                <w:rFonts w:ascii="宋体" w:hAnsi="宋体"/>
                <w:szCs w:val="21"/>
              </w:rPr>
            </w:pPr>
            <w:r>
              <w:rPr>
                <w:rFonts w:hint="eastAsia" w:ascii="宋体" w:hAnsi="宋体"/>
                <w:szCs w:val="21"/>
              </w:rPr>
              <w:t>A-6投标人的其他要求</w:t>
            </w:r>
            <w:r>
              <w:rPr>
                <w:rFonts w:hint="eastAsia" w:ascii="宋体" w:hAnsi="宋体"/>
                <w:szCs w:val="21"/>
                <w:lang w:val="en-US" w:eastAsia="zh-CN"/>
              </w:rPr>
              <w:t>不</w:t>
            </w:r>
            <w:r>
              <w:rPr>
                <w:rFonts w:hint="eastAsia" w:ascii="宋体" w:hAnsi="宋体"/>
                <w:szCs w:val="21"/>
              </w:rPr>
              <w:t>满足投标人须知前附表1.4.1项的要求。</w:t>
            </w:r>
          </w:p>
        </w:tc>
      </w:tr>
      <w:tr w14:paraId="1490FE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blHeader/>
          <w:jc w:val="center"/>
        </w:trPr>
        <w:tc>
          <w:tcPr>
            <w:tcW w:w="1317" w:type="dxa"/>
            <w:vMerge w:val="continue"/>
            <w:vAlign w:val="center"/>
          </w:tcPr>
          <w:p w14:paraId="27CD7A10">
            <w:pPr>
              <w:spacing w:line="400" w:lineRule="exact"/>
              <w:jc w:val="center"/>
              <w:rPr>
                <w:rFonts w:ascii="宋体" w:hAnsi="宋体"/>
                <w:szCs w:val="21"/>
              </w:rPr>
            </w:pPr>
          </w:p>
        </w:tc>
        <w:tc>
          <w:tcPr>
            <w:tcW w:w="1943" w:type="dxa"/>
            <w:vMerge w:val="continue"/>
            <w:vAlign w:val="center"/>
          </w:tcPr>
          <w:p w14:paraId="19D294A0">
            <w:pPr>
              <w:spacing w:line="400" w:lineRule="exact"/>
              <w:jc w:val="center"/>
              <w:rPr>
                <w:rFonts w:ascii="宋体" w:hAnsi="宋体"/>
                <w:szCs w:val="21"/>
              </w:rPr>
            </w:pPr>
          </w:p>
        </w:tc>
        <w:tc>
          <w:tcPr>
            <w:tcW w:w="6209" w:type="dxa"/>
            <w:vAlign w:val="center"/>
          </w:tcPr>
          <w:p w14:paraId="4BE99D69">
            <w:pPr>
              <w:spacing w:line="400" w:lineRule="exact"/>
              <w:ind w:firstLine="420" w:firstLineChars="200"/>
              <w:rPr>
                <w:rFonts w:ascii="宋体" w:hAnsi="宋体"/>
                <w:szCs w:val="21"/>
              </w:rPr>
            </w:pPr>
            <w:r>
              <w:rPr>
                <w:rFonts w:hint="eastAsia" w:ascii="宋体" w:hAnsi="宋体"/>
                <w:szCs w:val="21"/>
              </w:rPr>
              <w:t>A-7</w:t>
            </w:r>
            <w:bookmarkStart w:id="662" w:name="OLE_LINK10"/>
            <w:r>
              <w:rPr>
                <w:rFonts w:hint="eastAsia" w:ascii="宋体" w:hAnsi="宋体"/>
                <w:szCs w:val="21"/>
                <w:lang w:val="en-US" w:eastAsia="zh-CN"/>
              </w:rPr>
              <w:t>联合体投标的，不满足投标人须知前附表第1.4.2项的要求（如有）</w:t>
            </w:r>
            <w:bookmarkEnd w:id="662"/>
            <w:r>
              <w:rPr>
                <w:rFonts w:hint="eastAsia" w:ascii="宋体" w:hAnsi="宋体"/>
                <w:szCs w:val="21"/>
              </w:rPr>
              <w:t>。</w:t>
            </w:r>
          </w:p>
        </w:tc>
      </w:tr>
      <w:tr w14:paraId="0F3C18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2C8B812D">
            <w:pPr>
              <w:spacing w:line="400" w:lineRule="exact"/>
              <w:jc w:val="center"/>
              <w:rPr>
                <w:rFonts w:ascii="宋体" w:hAnsi="宋体"/>
                <w:szCs w:val="21"/>
              </w:rPr>
            </w:pPr>
          </w:p>
        </w:tc>
        <w:tc>
          <w:tcPr>
            <w:tcW w:w="1943" w:type="dxa"/>
            <w:vMerge w:val="restart"/>
            <w:vAlign w:val="center"/>
          </w:tcPr>
          <w:p w14:paraId="0B1118B5">
            <w:pPr>
              <w:spacing w:line="400" w:lineRule="exact"/>
              <w:jc w:val="center"/>
              <w:rPr>
                <w:rFonts w:ascii="宋体" w:hAnsi="宋体"/>
                <w:szCs w:val="21"/>
              </w:rPr>
            </w:pPr>
            <w:r>
              <w:rPr>
                <w:rFonts w:hint="eastAsia" w:ascii="宋体" w:hAnsi="宋体"/>
                <w:szCs w:val="21"/>
              </w:rPr>
              <w:t>形式评审</w:t>
            </w:r>
          </w:p>
        </w:tc>
        <w:tc>
          <w:tcPr>
            <w:tcW w:w="6209" w:type="dxa"/>
          </w:tcPr>
          <w:p w14:paraId="3B433E90">
            <w:pPr>
              <w:spacing w:line="400" w:lineRule="exact"/>
              <w:ind w:firstLine="420" w:firstLineChars="200"/>
              <w:rPr>
                <w:rFonts w:ascii="宋体" w:hAnsi="宋体"/>
                <w:szCs w:val="21"/>
              </w:rPr>
            </w:pPr>
            <w:r>
              <w:rPr>
                <w:rFonts w:hint="eastAsia" w:ascii="宋体" w:hAnsi="宋体"/>
                <w:szCs w:val="21"/>
              </w:rPr>
              <w:t>A-8投标人名称与营业执照、资质证书、安全生产许可证</w:t>
            </w:r>
            <w:r>
              <w:rPr>
                <w:rFonts w:hint="eastAsia" w:ascii="宋体" w:hAnsi="宋体"/>
                <w:szCs w:val="21"/>
                <w:lang w:val="en-US" w:eastAsia="zh-CN"/>
              </w:rPr>
              <w:t>不</w:t>
            </w:r>
            <w:r>
              <w:rPr>
                <w:rFonts w:hint="eastAsia" w:ascii="宋体" w:hAnsi="宋体"/>
                <w:szCs w:val="21"/>
              </w:rPr>
              <w:t>一致</w:t>
            </w:r>
            <w:r>
              <w:rPr>
                <w:rFonts w:ascii="宋体" w:hAnsi="宋体"/>
                <w:szCs w:val="21"/>
              </w:rPr>
              <w:t>。</w:t>
            </w:r>
          </w:p>
        </w:tc>
      </w:tr>
      <w:tr w14:paraId="53E9E2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7DE8009F">
            <w:pPr>
              <w:spacing w:line="400" w:lineRule="exact"/>
              <w:jc w:val="center"/>
              <w:rPr>
                <w:rFonts w:ascii="宋体" w:hAnsi="宋体"/>
                <w:szCs w:val="21"/>
              </w:rPr>
            </w:pPr>
          </w:p>
        </w:tc>
        <w:tc>
          <w:tcPr>
            <w:tcW w:w="1943" w:type="dxa"/>
            <w:vMerge w:val="continue"/>
            <w:vAlign w:val="center"/>
          </w:tcPr>
          <w:p w14:paraId="0F9DFA3B">
            <w:pPr>
              <w:spacing w:line="400" w:lineRule="exact"/>
              <w:jc w:val="center"/>
              <w:rPr>
                <w:rFonts w:ascii="宋体" w:hAnsi="宋体"/>
                <w:szCs w:val="21"/>
              </w:rPr>
            </w:pPr>
          </w:p>
        </w:tc>
        <w:tc>
          <w:tcPr>
            <w:tcW w:w="6209" w:type="dxa"/>
          </w:tcPr>
          <w:p w14:paraId="2D93112E">
            <w:pPr>
              <w:spacing w:line="400" w:lineRule="exact"/>
              <w:ind w:firstLine="420" w:firstLineChars="200"/>
              <w:rPr>
                <w:rFonts w:ascii="宋体" w:hAnsi="宋体"/>
                <w:szCs w:val="21"/>
              </w:rPr>
            </w:pPr>
            <w:r>
              <w:rPr>
                <w:rFonts w:hint="eastAsia" w:ascii="宋体" w:hAnsi="宋体"/>
                <w:szCs w:val="21"/>
              </w:rPr>
              <w:t>A-9投标文件格式（不含投标函部分）</w:t>
            </w:r>
            <w:r>
              <w:rPr>
                <w:rFonts w:hint="eastAsia" w:ascii="宋体" w:hAnsi="宋体"/>
                <w:szCs w:val="21"/>
                <w:lang w:val="en-US" w:eastAsia="zh-CN"/>
              </w:rPr>
              <w:t>不</w:t>
            </w:r>
            <w:r>
              <w:rPr>
                <w:rFonts w:hint="eastAsia" w:ascii="宋体" w:hAnsi="宋体"/>
                <w:szCs w:val="21"/>
              </w:rPr>
              <w:t>符合第二章“投标人须知”第3.7款的要求。</w:t>
            </w:r>
          </w:p>
          <w:p w14:paraId="5F2E65B7">
            <w:pPr>
              <w:spacing w:line="400" w:lineRule="exact"/>
              <w:ind w:firstLine="420" w:firstLineChars="200"/>
              <w:rPr>
                <w:rFonts w:ascii="宋体" w:hAnsi="宋体"/>
                <w:szCs w:val="21"/>
              </w:rPr>
            </w:pPr>
            <w:r>
              <w:rPr>
                <w:rFonts w:hint="eastAsia" w:ascii="宋体" w:hAnsi="宋体"/>
                <w:szCs w:val="21"/>
              </w:rPr>
              <w:t>编制投标文件时对第八章“投标文件格式”的相应要素作实质性修改。</w:t>
            </w:r>
          </w:p>
        </w:tc>
      </w:tr>
      <w:tr w14:paraId="4298CC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193CF156">
            <w:pPr>
              <w:spacing w:line="400" w:lineRule="exact"/>
              <w:jc w:val="center"/>
              <w:rPr>
                <w:rFonts w:ascii="宋体" w:hAnsi="宋体"/>
                <w:szCs w:val="21"/>
              </w:rPr>
            </w:pPr>
          </w:p>
        </w:tc>
        <w:tc>
          <w:tcPr>
            <w:tcW w:w="1943" w:type="dxa"/>
            <w:vMerge w:val="continue"/>
            <w:vAlign w:val="center"/>
          </w:tcPr>
          <w:p w14:paraId="7F3C12EA">
            <w:pPr>
              <w:spacing w:line="400" w:lineRule="exact"/>
              <w:jc w:val="center"/>
              <w:rPr>
                <w:rFonts w:ascii="宋体" w:hAnsi="宋体"/>
                <w:szCs w:val="21"/>
              </w:rPr>
            </w:pPr>
          </w:p>
        </w:tc>
        <w:tc>
          <w:tcPr>
            <w:tcW w:w="6209" w:type="dxa"/>
          </w:tcPr>
          <w:p w14:paraId="3A49BD32">
            <w:pPr>
              <w:spacing w:line="400" w:lineRule="exact"/>
              <w:ind w:firstLine="420" w:firstLineChars="200"/>
              <w:rPr>
                <w:rFonts w:ascii="宋体" w:hAnsi="宋体"/>
                <w:szCs w:val="21"/>
              </w:rPr>
            </w:pPr>
            <w:r>
              <w:rPr>
                <w:rFonts w:hint="eastAsia" w:ascii="宋体" w:hAnsi="宋体"/>
                <w:szCs w:val="21"/>
              </w:rPr>
              <w:t>A-10联合体参与投标的</w:t>
            </w:r>
            <w:r>
              <w:rPr>
                <w:rFonts w:hint="eastAsia" w:ascii="宋体" w:hAnsi="宋体"/>
                <w:szCs w:val="21"/>
                <w:lang w:val="en-US" w:eastAsia="zh-CN"/>
              </w:rPr>
              <w:t>未</w:t>
            </w:r>
            <w:r>
              <w:rPr>
                <w:rFonts w:hint="eastAsia" w:ascii="宋体" w:hAnsi="宋体"/>
                <w:szCs w:val="21"/>
              </w:rPr>
              <w:t>提交</w:t>
            </w:r>
            <w:r>
              <w:rPr>
                <w:rFonts w:hint="eastAsia" w:ascii="宋体" w:hAnsi="宋体"/>
                <w:lang w:val="en-US" w:eastAsia="zh-CN"/>
              </w:rPr>
              <w:t>共同投标协议</w:t>
            </w:r>
            <w:r>
              <w:rPr>
                <w:rFonts w:hint="eastAsia" w:ascii="宋体" w:hAnsi="宋体"/>
                <w:szCs w:val="21"/>
              </w:rPr>
              <w:t>，</w:t>
            </w:r>
            <w:r>
              <w:rPr>
                <w:rFonts w:hint="eastAsia" w:ascii="宋体" w:hAnsi="宋体"/>
                <w:szCs w:val="21"/>
                <w:lang w:val="en-US" w:eastAsia="zh-CN"/>
              </w:rPr>
              <w:t>未</w:t>
            </w:r>
            <w:r>
              <w:rPr>
                <w:rFonts w:hint="eastAsia" w:ascii="宋体" w:hAnsi="宋体"/>
                <w:szCs w:val="21"/>
              </w:rPr>
              <w:t>明确联合体牵头人。在</w:t>
            </w:r>
            <w:r>
              <w:rPr>
                <w:rFonts w:hint="eastAsia" w:ascii="宋体" w:hAnsi="宋体"/>
                <w:lang w:val="en-US" w:eastAsia="zh-CN"/>
              </w:rPr>
              <w:t>共同投标协议</w:t>
            </w:r>
            <w:r>
              <w:rPr>
                <w:rFonts w:hint="eastAsia" w:ascii="宋体" w:hAnsi="宋体"/>
                <w:szCs w:val="21"/>
              </w:rPr>
              <w:t>第5条联合体各成员单位内部的职责分工中填写的联合体所有成员单位名称与其营业执照、资质证书、安全生产许可证</w:t>
            </w:r>
            <w:r>
              <w:rPr>
                <w:rFonts w:hint="eastAsia" w:ascii="宋体" w:hAnsi="宋体"/>
                <w:szCs w:val="21"/>
                <w:lang w:val="en-US" w:eastAsia="zh-CN"/>
              </w:rPr>
              <w:t>不</w:t>
            </w:r>
            <w:r>
              <w:rPr>
                <w:rFonts w:hint="eastAsia" w:ascii="宋体" w:hAnsi="宋体"/>
                <w:szCs w:val="21"/>
              </w:rPr>
              <w:t>一致。</w:t>
            </w:r>
          </w:p>
        </w:tc>
      </w:tr>
      <w:tr w14:paraId="242899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1317" w:type="dxa"/>
            <w:vMerge w:val="continue"/>
            <w:vAlign w:val="center"/>
          </w:tcPr>
          <w:p w14:paraId="616FC0E6">
            <w:pPr>
              <w:spacing w:line="400" w:lineRule="exact"/>
              <w:jc w:val="center"/>
              <w:rPr>
                <w:rFonts w:ascii="宋体" w:hAnsi="宋体"/>
                <w:szCs w:val="21"/>
              </w:rPr>
            </w:pPr>
          </w:p>
        </w:tc>
        <w:tc>
          <w:tcPr>
            <w:tcW w:w="1943" w:type="dxa"/>
            <w:vMerge w:val="continue"/>
            <w:vAlign w:val="center"/>
          </w:tcPr>
          <w:p w14:paraId="3C2C566F">
            <w:pPr>
              <w:spacing w:line="400" w:lineRule="exact"/>
              <w:jc w:val="center"/>
              <w:rPr>
                <w:rFonts w:ascii="宋体" w:hAnsi="宋体"/>
                <w:szCs w:val="21"/>
              </w:rPr>
            </w:pPr>
          </w:p>
        </w:tc>
        <w:tc>
          <w:tcPr>
            <w:tcW w:w="6209" w:type="dxa"/>
          </w:tcPr>
          <w:p w14:paraId="60E42AD3">
            <w:pPr>
              <w:spacing w:line="400" w:lineRule="exact"/>
              <w:ind w:firstLine="420" w:firstLineChars="200"/>
              <w:rPr>
                <w:rFonts w:ascii="宋体" w:hAnsi="宋体"/>
                <w:szCs w:val="21"/>
              </w:rPr>
            </w:pPr>
            <w:r>
              <w:rPr>
                <w:rFonts w:hint="eastAsia" w:ascii="宋体" w:hAnsi="宋体"/>
                <w:szCs w:val="21"/>
              </w:rPr>
              <w:t>A-11第八章 投标文件格式（不含投标函部分）要求法定代表人</w:t>
            </w:r>
            <w:r>
              <w:rPr>
                <w:rFonts w:hint="eastAsia" w:ascii="宋体" w:hAnsi="宋体"/>
                <w:szCs w:val="21"/>
                <w:lang w:eastAsia="zh-CN"/>
              </w:rPr>
              <w:t>（</w:t>
            </w:r>
            <w:r>
              <w:rPr>
                <w:rFonts w:hint="eastAsia" w:ascii="宋体" w:hAnsi="宋体"/>
                <w:szCs w:val="21"/>
              </w:rPr>
              <w:t>或其委托代理人</w:t>
            </w:r>
            <w:r>
              <w:rPr>
                <w:rFonts w:hint="eastAsia" w:ascii="宋体" w:hAnsi="宋体"/>
                <w:szCs w:val="21"/>
                <w:lang w:eastAsia="zh-CN"/>
              </w:rPr>
              <w:t>）</w:t>
            </w:r>
            <w:r>
              <w:rPr>
                <w:rFonts w:hint="eastAsia" w:ascii="宋体" w:hAnsi="宋体"/>
                <w:szCs w:val="21"/>
              </w:rPr>
              <w:t>签名（或盖章）的</w:t>
            </w:r>
            <w:r>
              <w:rPr>
                <w:rFonts w:hint="eastAsia" w:ascii="宋体" w:hAnsi="宋体"/>
                <w:szCs w:val="21"/>
                <w:lang w:val="en-US" w:eastAsia="zh-CN"/>
              </w:rPr>
              <w:t>不</w:t>
            </w:r>
            <w:r>
              <w:rPr>
                <w:rFonts w:hint="eastAsia" w:ascii="宋体" w:hAnsi="宋体"/>
                <w:szCs w:val="21"/>
              </w:rPr>
              <w:t>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w:t>
            </w:r>
            <w:r>
              <w:rPr>
                <w:rFonts w:hint="eastAsia" w:ascii="宋体" w:hAnsi="宋体"/>
                <w:color w:val="auto"/>
                <w:kern w:val="0"/>
                <w:highlight w:val="none"/>
                <w:lang w:val="en-US" w:eastAsia="zh-CN"/>
              </w:rPr>
              <w:t>未</w:t>
            </w:r>
            <w:r>
              <w:rPr>
                <w:rFonts w:hint="eastAsia" w:ascii="宋体" w:hAnsi="宋体"/>
                <w:color w:val="auto"/>
                <w:kern w:val="0"/>
                <w:highlight w:val="none"/>
              </w:rPr>
              <w:t>采用手写签名或</w:t>
            </w:r>
            <w:r>
              <w:rPr>
                <w:rFonts w:hint="eastAsia" w:ascii="宋体" w:hAnsi="宋体"/>
                <w:color w:val="auto"/>
                <w:kern w:val="0"/>
                <w:highlight w:val="none"/>
                <w:lang w:val="en-US" w:eastAsia="zh-CN"/>
              </w:rPr>
              <w:t>未</w:t>
            </w:r>
            <w:r>
              <w:rPr>
                <w:rFonts w:hint="eastAsia" w:ascii="宋体" w:hAnsi="宋体"/>
                <w:color w:val="auto"/>
                <w:kern w:val="0"/>
                <w:highlight w:val="none"/>
              </w:rPr>
              <w:t>签章或</w:t>
            </w:r>
            <w:r>
              <w:rPr>
                <w:rFonts w:hint="eastAsia" w:ascii="宋体" w:hAnsi="宋体"/>
                <w:color w:val="auto"/>
                <w:kern w:val="0"/>
                <w:highlight w:val="none"/>
                <w:lang w:val="en-US" w:eastAsia="zh-CN"/>
              </w:rPr>
              <w:t>未</w:t>
            </w:r>
            <w:r>
              <w:rPr>
                <w:rFonts w:hint="eastAsia" w:ascii="宋体" w:hAnsi="宋体"/>
                <w:color w:val="auto"/>
                <w:kern w:val="0"/>
                <w:highlight w:val="none"/>
              </w:rPr>
              <w:t>加盖CA数字证书</w:t>
            </w:r>
            <w:r>
              <w:rPr>
                <w:rFonts w:hint="eastAsia" w:ascii="宋体" w:hAnsi="宋体"/>
                <w:szCs w:val="21"/>
              </w:rPr>
              <w:t>。</w:t>
            </w:r>
          </w:p>
          <w:p w14:paraId="59F564EF">
            <w:pPr>
              <w:spacing w:line="400" w:lineRule="exact"/>
              <w:ind w:firstLine="420" w:firstLineChars="200"/>
              <w:rPr>
                <w:rFonts w:ascii="宋体" w:hAnsi="宋体"/>
                <w:szCs w:val="21"/>
              </w:rPr>
            </w:pPr>
            <w:r>
              <w:rPr>
                <w:rFonts w:hint="eastAsia" w:ascii="宋体" w:hAnsi="宋体"/>
                <w:szCs w:val="21"/>
              </w:rPr>
              <w:t>若投标单位为联合体，</w:t>
            </w:r>
            <w:r>
              <w:rPr>
                <w:rFonts w:hint="eastAsia" w:ascii="宋体" w:hAnsi="宋体"/>
                <w:lang w:val="en-US" w:eastAsia="zh-CN"/>
              </w:rPr>
              <w:t>共同投标协议</w:t>
            </w:r>
            <w:r>
              <w:rPr>
                <w:rFonts w:hint="eastAsia" w:ascii="宋体" w:hAnsi="宋体"/>
                <w:szCs w:val="21"/>
              </w:rPr>
              <w:t>中各联合体成员单位签名（或盖章）</w:t>
            </w:r>
            <w:r>
              <w:rPr>
                <w:rFonts w:hint="eastAsia" w:ascii="宋体" w:hAnsi="宋体"/>
                <w:szCs w:val="21"/>
                <w:lang w:val="en-US" w:eastAsia="zh-CN"/>
              </w:rPr>
              <w:t>不</w:t>
            </w:r>
            <w:r>
              <w:rPr>
                <w:rFonts w:hint="eastAsia" w:ascii="宋体" w:hAnsi="宋体"/>
                <w:szCs w:val="21"/>
              </w:rPr>
              <w:t>齐全，</w:t>
            </w:r>
            <w:r>
              <w:rPr>
                <w:rFonts w:hint="eastAsia" w:ascii="宋体" w:hAnsi="宋体"/>
                <w:lang w:val="en-US" w:eastAsia="zh-CN"/>
              </w:rPr>
              <w:t>共同投标协议</w:t>
            </w:r>
            <w:r>
              <w:rPr>
                <w:rFonts w:hint="eastAsia" w:ascii="宋体" w:hAnsi="宋体"/>
                <w:szCs w:val="21"/>
              </w:rPr>
              <w:t>以外的投标文件格式中，要求法定代表人</w:t>
            </w:r>
            <w:r>
              <w:rPr>
                <w:rFonts w:hint="eastAsia" w:ascii="宋体" w:hAnsi="宋体"/>
                <w:szCs w:val="21"/>
                <w:lang w:eastAsia="zh-CN"/>
              </w:rPr>
              <w:t>（</w:t>
            </w:r>
            <w:r>
              <w:rPr>
                <w:rFonts w:hint="eastAsia" w:ascii="宋体" w:hAnsi="宋体"/>
                <w:szCs w:val="21"/>
              </w:rPr>
              <w:t>或其委托代理人</w:t>
            </w:r>
            <w:r>
              <w:rPr>
                <w:rFonts w:hint="eastAsia" w:ascii="宋体" w:hAnsi="宋体"/>
                <w:szCs w:val="21"/>
                <w:lang w:eastAsia="zh-CN"/>
              </w:rPr>
              <w:t>）</w:t>
            </w:r>
            <w:r>
              <w:rPr>
                <w:rFonts w:hint="eastAsia" w:ascii="宋体" w:hAnsi="宋体"/>
                <w:szCs w:val="21"/>
              </w:rPr>
              <w:t>签名（或盖章）的</w:t>
            </w:r>
            <w:r>
              <w:rPr>
                <w:rFonts w:hint="eastAsia" w:ascii="宋体" w:hAnsi="宋体"/>
                <w:szCs w:val="21"/>
                <w:lang w:val="en-US" w:eastAsia="zh-CN"/>
              </w:rPr>
              <w:t>未</w:t>
            </w:r>
            <w:r>
              <w:rPr>
                <w:rFonts w:hint="eastAsia" w:ascii="宋体" w:hAnsi="宋体"/>
                <w:szCs w:val="21"/>
              </w:rPr>
              <w:t>由联合体牵头人法定代表人</w:t>
            </w:r>
            <w:r>
              <w:rPr>
                <w:rFonts w:hint="eastAsia" w:ascii="宋体" w:hAnsi="宋体"/>
                <w:szCs w:val="21"/>
                <w:lang w:eastAsia="zh-CN"/>
              </w:rPr>
              <w:t>（</w:t>
            </w:r>
            <w:r>
              <w:rPr>
                <w:rFonts w:hint="eastAsia" w:ascii="宋体" w:hAnsi="宋体"/>
                <w:szCs w:val="21"/>
              </w:rPr>
              <w:t>或其委托代理人</w:t>
            </w:r>
            <w:r>
              <w:rPr>
                <w:rFonts w:hint="eastAsia" w:ascii="宋体" w:hAnsi="宋体"/>
                <w:szCs w:val="21"/>
                <w:lang w:eastAsia="zh-CN"/>
              </w:rPr>
              <w:t>）</w:t>
            </w:r>
            <w:r>
              <w:rPr>
                <w:rFonts w:hint="eastAsia" w:ascii="宋体" w:hAnsi="宋体"/>
                <w:szCs w:val="21"/>
              </w:rPr>
              <w:t>签名（或盖章）。</w:t>
            </w:r>
          </w:p>
          <w:p w14:paraId="02A6B1FB">
            <w:pPr>
              <w:spacing w:line="400" w:lineRule="exact"/>
              <w:ind w:firstLine="420" w:firstLineChars="200"/>
              <w:rPr>
                <w:rFonts w:ascii="宋体" w:hAnsi="宋体"/>
                <w:szCs w:val="21"/>
              </w:rPr>
            </w:pPr>
            <w:r>
              <w:rPr>
                <w:rFonts w:hint="eastAsia" w:ascii="宋体" w:hAnsi="宋体"/>
                <w:szCs w:val="21"/>
              </w:rPr>
              <w:t>第八章 投标文件格式（不含投标函部分）要求加盖单位法人章的，</w:t>
            </w:r>
            <w:r>
              <w:rPr>
                <w:rFonts w:hint="eastAsia" w:ascii="宋体" w:hAnsi="宋体"/>
                <w:szCs w:val="21"/>
                <w:lang w:val="en-US" w:eastAsia="zh-CN"/>
              </w:rPr>
              <w:t>未</w:t>
            </w:r>
            <w:r>
              <w:rPr>
                <w:rFonts w:hint="eastAsia" w:ascii="宋体" w:hAnsi="宋体"/>
                <w:szCs w:val="21"/>
              </w:rPr>
              <w:t>使用 CA 数字证书加盖投标人的单位电子印章。</w:t>
            </w:r>
          </w:p>
          <w:p w14:paraId="54366046">
            <w:pPr>
              <w:spacing w:line="400" w:lineRule="exact"/>
              <w:ind w:firstLine="420" w:firstLineChars="200"/>
              <w:rPr>
                <w:rFonts w:ascii="宋体" w:hAnsi="宋体"/>
                <w:szCs w:val="21"/>
              </w:rPr>
            </w:pPr>
            <w:r>
              <w:rPr>
                <w:rFonts w:hint="eastAsia" w:ascii="宋体" w:hAnsi="宋体"/>
                <w:szCs w:val="21"/>
              </w:rPr>
              <w:t>若投标单位为联合体，</w:t>
            </w:r>
            <w:r>
              <w:rPr>
                <w:rFonts w:hint="eastAsia" w:ascii="宋体" w:hAnsi="宋体"/>
                <w:lang w:val="en-US" w:eastAsia="zh-CN"/>
              </w:rPr>
              <w:t>共同投标协议</w:t>
            </w:r>
            <w:r>
              <w:rPr>
                <w:rFonts w:hint="eastAsia" w:ascii="宋体" w:hAnsi="宋体"/>
                <w:szCs w:val="21"/>
              </w:rPr>
              <w:t>中要求各联合体成员盖单位法人章的，各联合体成员盖章</w:t>
            </w:r>
            <w:r>
              <w:rPr>
                <w:rFonts w:hint="eastAsia" w:ascii="宋体" w:hAnsi="宋体"/>
                <w:szCs w:val="21"/>
                <w:lang w:val="en-US" w:eastAsia="zh-CN"/>
              </w:rPr>
              <w:t>不</w:t>
            </w:r>
            <w:r>
              <w:rPr>
                <w:rFonts w:hint="eastAsia" w:ascii="宋体" w:hAnsi="宋体"/>
                <w:szCs w:val="21"/>
              </w:rPr>
              <w:t>齐全，</w:t>
            </w:r>
            <w:r>
              <w:rPr>
                <w:rFonts w:hint="eastAsia" w:ascii="宋体" w:hAnsi="宋体"/>
                <w:lang w:val="en-US" w:eastAsia="zh-CN"/>
              </w:rPr>
              <w:t>共同投标协议</w:t>
            </w:r>
            <w:r>
              <w:rPr>
                <w:rFonts w:hint="eastAsia" w:ascii="宋体" w:hAnsi="宋体"/>
                <w:szCs w:val="21"/>
              </w:rPr>
              <w:t>以外的投标文件格式中要求投标人加盖单位法人章的，</w:t>
            </w:r>
            <w:r>
              <w:rPr>
                <w:rFonts w:hint="eastAsia" w:ascii="宋体" w:hAnsi="宋体"/>
                <w:szCs w:val="21"/>
                <w:lang w:val="en-US" w:eastAsia="zh-CN"/>
              </w:rPr>
              <w:t>未</w:t>
            </w:r>
            <w:r>
              <w:rPr>
                <w:rFonts w:hint="eastAsia" w:ascii="宋体" w:hAnsi="宋体"/>
                <w:szCs w:val="21"/>
              </w:rPr>
              <w:t>由联合体牵头人使用 CA 数字证书加盖其单位电子印章。</w:t>
            </w:r>
          </w:p>
        </w:tc>
      </w:tr>
      <w:tr w14:paraId="76A68E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6891E48A">
            <w:pPr>
              <w:spacing w:line="400" w:lineRule="exact"/>
              <w:jc w:val="center"/>
              <w:rPr>
                <w:rFonts w:ascii="宋体" w:hAnsi="宋体"/>
                <w:szCs w:val="21"/>
              </w:rPr>
            </w:pPr>
          </w:p>
        </w:tc>
        <w:tc>
          <w:tcPr>
            <w:tcW w:w="1943" w:type="dxa"/>
            <w:vMerge w:val="continue"/>
            <w:vAlign w:val="center"/>
          </w:tcPr>
          <w:p w14:paraId="4B09801E">
            <w:pPr>
              <w:spacing w:line="400" w:lineRule="exact"/>
              <w:jc w:val="center"/>
              <w:rPr>
                <w:rFonts w:ascii="宋体" w:hAnsi="宋体"/>
                <w:szCs w:val="21"/>
              </w:rPr>
            </w:pPr>
          </w:p>
        </w:tc>
        <w:tc>
          <w:tcPr>
            <w:tcW w:w="6209" w:type="dxa"/>
          </w:tcPr>
          <w:p w14:paraId="064D1A0C">
            <w:pPr>
              <w:spacing w:line="400" w:lineRule="exact"/>
              <w:ind w:firstLine="420" w:firstLineChars="200"/>
              <w:rPr>
                <w:rFonts w:ascii="宋体" w:hAnsi="宋体"/>
                <w:szCs w:val="21"/>
              </w:rPr>
            </w:pPr>
            <w:r>
              <w:rPr>
                <w:rFonts w:hint="eastAsia" w:ascii="宋体" w:hAnsi="宋体"/>
                <w:szCs w:val="21"/>
              </w:rPr>
              <w:t>A-12投标人法定代表人的委托代理人</w:t>
            </w:r>
            <w:r>
              <w:rPr>
                <w:rFonts w:hint="eastAsia" w:ascii="宋体" w:hAnsi="宋体"/>
                <w:szCs w:val="21"/>
                <w:lang w:val="en-US" w:eastAsia="zh-CN"/>
              </w:rPr>
              <w:t>无</w:t>
            </w:r>
            <w:r>
              <w:rPr>
                <w:rFonts w:hint="eastAsia" w:ascii="宋体" w:hAnsi="宋体"/>
                <w:szCs w:val="21"/>
              </w:rPr>
              <w:t>法定代表人签署的授权委托书</w:t>
            </w:r>
            <w:r>
              <w:rPr>
                <w:rFonts w:hint="eastAsia" w:ascii="宋体" w:hAnsi="宋体"/>
                <w:szCs w:val="21"/>
                <w:lang w:eastAsia="zh-CN"/>
              </w:rPr>
              <w:t>，</w:t>
            </w:r>
            <w:r>
              <w:rPr>
                <w:rFonts w:hint="eastAsia" w:ascii="宋体" w:hAnsi="宋体"/>
                <w:szCs w:val="21"/>
                <w:lang w:val="en-US" w:eastAsia="zh-CN"/>
              </w:rPr>
              <w:t>或无</w:t>
            </w:r>
            <w:r>
              <w:rPr>
                <w:rFonts w:hint="eastAsia" w:ascii="宋体" w:hAnsi="宋体"/>
                <w:szCs w:val="21"/>
              </w:rPr>
              <w:t>投标人为其缴纳的养老保险证明材料。</w:t>
            </w:r>
          </w:p>
        </w:tc>
      </w:tr>
      <w:tr w14:paraId="2B7B7B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079CED2F">
            <w:pPr>
              <w:spacing w:line="400" w:lineRule="exact"/>
              <w:jc w:val="center"/>
              <w:rPr>
                <w:rFonts w:ascii="宋体" w:hAnsi="宋体"/>
                <w:szCs w:val="21"/>
              </w:rPr>
            </w:pPr>
          </w:p>
        </w:tc>
        <w:tc>
          <w:tcPr>
            <w:tcW w:w="1943" w:type="dxa"/>
            <w:vMerge w:val="restart"/>
            <w:vAlign w:val="center"/>
          </w:tcPr>
          <w:p w14:paraId="7F4EBC8B">
            <w:pPr>
              <w:spacing w:line="400" w:lineRule="exact"/>
              <w:jc w:val="center"/>
              <w:rPr>
                <w:rFonts w:ascii="宋体" w:hAnsi="宋体"/>
                <w:szCs w:val="21"/>
              </w:rPr>
            </w:pPr>
            <w:r>
              <w:rPr>
                <w:rFonts w:hint="eastAsia" w:ascii="宋体" w:hAnsi="宋体"/>
                <w:szCs w:val="21"/>
              </w:rPr>
              <w:t>响应性评审</w:t>
            </w:r>
          </w:p>
        </w:tc>
        <w:tc>
          <w:tcPr>
            <w:tcW w:w="6209" w:type="dxa"/>
            <w:vAlign w:val="center"/>
          </w:tcPr>
          <w:p w14:paraId="02EC26C9">
            <w:pPr>
              <w:spacing w:line="400" w:lineRule="exact"/>
              <w:ind w:firstLine="420" w:firstLineChars="200"/>
              <w:rPr>
                <w:rFonts w:ascii="宋体" w:hAnsi="宋体"/>
                <w:szCs w:val="21"/>
              </w:rPr>
            </w:pPr>
            <w:r>
              <w:rPr>
                <w:rFonts w:hint="eastAsia" w:ascii="宋体" w:hAnsi="宋体"/>
                <w:szCs w:val="21"/>
              </w:rPr>
              <w:t>A-13投标内容</w:t>
            </w:r>
            <w:r>
              <w:rPr>
                <w:rFonts w:hint="eastAsia" w:ascii="宋体" w:hAnsi="宋体"/>
                <w:szCs w:val="21"/>
                <w:lang w:val="en-US" w:eastAsia="zh-CN"/>
              </w:rPr>
              <w:t>不</w:t>
            </w:r>
            <w:r>
              <w:rPr>
                <w:rFonts w:hint="eastAsia" w:ascii="宋体" w:hAnsi="宋体"/>
                <w:szCs w:val="21"/>
              </w:rPr>
              <w:t>符合第二章“投标人须知”第1.3.1项规定。</w:t>
            </w:r>
          </w:p>
        </w:tc>
      </w:tr>
      <w:tr w14:paraId="735AFF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03EDE12E">
            <w:pPr>
              <w:spacing w:line="400" w:lineRule="exact"/>
              <w:jc w:val="center"/>
              <w:rPr>
                <w:rFonts w:ascii="宋体" w:hAnsi="宋体"/>
                <w:szCs w:val="21"/>
              </w:rPr>
            </w:pPr>
          </w:p>
        </w:tc>
        <w:tc>
          <w:tcPr>
            <w:tcW w:w="1943" w:type="dxa"/>
            <w:vMerge w:val="continue"/>
            <w:vAlign w:val="center"/>
          </w:tcPr>
          <w:p w14:paraId="3A969B23">
            <w:pPr>
              <w:spacing w:line="400" w:lineRule="exact"/>
              <w:jc w:val="center"/>
              <w:rPr>
                <w:rFonts w:ascii="宋体" w:hAnsi="宋体"/>
                <w:szCs w:val="21"/>
              </w:rPr>
            </w:pPr>
          </w:p>
        </w:tc>
        <w:tc>
          <w:tcPr>
            <w:tcW w:w="6209" w:type="dxa"/>
            <w:vAlign w:val="center"/>
          </w:tcPr>
          <w:p w14:paraId="64641AD9">
            <w:pPr>
              <w:spacing w:line="400" w:lineRule="exact"/>
              <w:ind w:firstLine="420" w:firstLineChars="200"/>
              <w:rPr>
                <w:rFonts w:ascii="宋体" w:hAnsi="宋体"/>
                <w:szCs w:val="21"/>
              </w:rPr>
            </w:pPr>
            <w:r>
              <w:rPr>
                <w:rFonts w:hint="eastAsia" w:ascii="宋体" w:hAnsi="宋体"/>
                <w:szCs w:val="21"/>
              </w:rPr>
              <w:t>A-14</w:t>
            </w:r>
            <w:r>
              <w:rPr>
                <w:rFonts w:hint="eastAsia" w:ascii="宋体" w:hAnsi="宋体" w:cs="宋体"/>
                <w:color w:val="auto"/>
                <w:szCs w:val="21"/>
                <w:highlight w:val="none"/>
              </w:rPr>
              <w:t>投标保证金</w:t>
            </w:r>
            <w:r>
              <w:rPr>
                <w:rFonts w:hint="eastAsia" w:ascii="宋体" w:hAnsi="宋体" w:cs="宋体"/>
                <w:color w:val="auto"/>
                <w:szCs w:val="21"/>
                <w:highlight w:val="none"/>
                <w:lang w:val="en-US" w:eastAsia="zh-CN"/>
              </w:rPr>
              <w:t>不</w:t>
            </w:r>
            <w:r>
              <w:rPr>
                <w:rFonts w:hint="eastAsia" w:ascii="宋体" w:hAnsi="宋体" w:cs="宋体"/>
                <w:kern w:val="0"/>
              </w:rPr>
              <w:t>符合第二章“投标人须知前附表”第3.4款规定</w:t>
            </w:r>
            <w:r>
              <w:rPr>
                <w:rFonts w:hint="eastAsia" w:ascii="宋体" w:hAnsi="宋体"/>
                <w:szCs w:val="21"/>
              </w:rPr>
              <w:t>。</w:t>
            </w:r>
          </w:p>
        </w:tc>
      </w:tr>
      <w:tr w14:paraId="1F2962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28CA693A">
            <w:pPr>
              <w:spacing w:line="400" w:lineRule="exact"/>
              <w:jc w:val="center"/>
              <w:rPr>
                <w:rFonts w:ascii="宋体" w:hAnsi="宋体"/>
                <w:szCs w:val="21"/>
              </w:rPr>
            </w:pPr>
          </w:p>
        </w:tc>
        <w:tc>
          <w:tcPr>
            <w:tcW w:w="1943" w:type="dxa"/>
            <w:vMerge w:val="continue"/>
            <w:vAlign w:val="center"/>
          </w:tcPr>
          <w:p w14:paraId="08FE682A">
            <w:pPr>
              <w:spacing w:line="400" w:lineRule="exact"/>
              <w:jc w:val="center"/>
              <w:rPr>
                <w:rFonts w:ascii="宋体" w:hAnsi="宋体"/>
                <w:szCs w:val="21"/>
              </w:rPr>
            </w:pPr>
          </w:p>
        </w:tc>
        <w:tc>
          <w:tcPr>
            <w:tcW w:w="6209" w:type="dxa"/>
            <w:vAlign w:val="center"/>
          </w:tcPr>
          <w:p w14:paraId="12470CA5">
            <w:pPr>
              <w:spacing w:line="400" w:lineRule="exact"/>
              <w:ind w:firstLine="420" w:firstLineChars="200"/>
              <w:rPr>
                <w:rFonts w:ascii="宋体" w:hAnsi="宋体"/>
                <w:szCs w:val="21"/>
              </w:rPr>
            </w:pPr>
            <w:r>
              <w:rPr>
                <w:rFonts w:hint="eastAsia" w:ascii="宋体" w:hAnsi="宋体"/>
                <w:szCs w:val="21"/>
              </w:rPr>
              <w:t>A-15</w:t>
            </w:r>
            <w:r>
              <w:rPr>
                <w:rFonts w:hint="eastAsia" w:ascii="宋体" w:hAnsi="宋体"/>
                <w:szCs w:val="21"/>
                <w:lang w:val="en-US" w:eastAsia="zh-CN"/>
              </w:rPr>
              <w:t>不</w:t>
            </w:r>
            <w:r>
              <w:rPr>
                <w:rFonts w:hint="eastAsia" w:ascii="宋体" w:hAnsi="宋体"/>
                <w:szCs w:val="21"/>
              </w:rPr>
              <w:t>符合第四章“合同条款及格式”规定，投标文件附有招标人不能接受的条件。（由投标人承诺，承诺书格式详见第八章投标文件格式。）</w:t>
            </w:r>
          </w:p>
        </w:tc>
      </w:tr>
      <w:tr w14:paraId="274962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12F3ACF1">
            <w:pPr>
              <w:spacing w:line="400" w:lineRule="exact"/>
              <w:jc w:val="center"/>
              <w:rPr>
                <w:rFonts w:ascii="宋体" w:hAnsi="宋体"/>
                <w:szCs w:val="21"/>
              </w:rPr>
            </w:pPr>
          </w:p>
        </w:tc>
        <w:tc>
          <w:tcPr>
            <w:tcW w:w="1943" w:type="dxa"/>
            <w:vMerge w:val="continue"/>
            <w:vAlign w:val="center"/>
          </w:tcPr>
          <w:p w14:paraId="57E296D0">
            <w:pPr>
              <w:spacing w:line="400" w:lineRule="exact"/>
              <w:jc w:val="center"/>
              <w:rPr>
                <w:rFonts w:ascii="宋体" w:hAnsi="宋体"/>
                <w:szCs w:val="21"/>
              </w:rPr>
            </w:pPr>
          </w:p>
        </w:tc>
        <w:tc>
          <w:tcPr>
            <w:tcW w:w="6209" w:type="dxa"/>
            <w:vAlign w:val="center"/>
          </w:tcPr>
          <w:p w14:paraId="053E6DE9">
            <w:pPr>
              <w:spacing w:line="400" w:lineRule="exact"/>
              <w:ind w:firstLine="420" w:firstLineChars="200"/>
              <w:rPr>
                <w:rFonts w:ascii="宋体" w:hAnsi="宋体"/>
                <w:szCs w:val="21"/>
              </w:rPr>
            </w:pPr>
            <w:r>
              <w:rPr>
                <w:rFonts w:hint="eastAsia" w:ascii="宋体" w:hAnsi="宋体"/>
                <w:szCs w:val="21"/>
              </w:rPr>
              <w:t>A-16</w:t>
            </w:r>
            <w:r>
              <w:rPr>
                <w:rFonts w:hint="eastAsia" w:ascii="宋体" w:hAnsi="宋体"/>
                <w:szCs w:val="21"/>
                <w:lang w:val="en-US" w:eastAsia="zh-CN"/>
              </w:rPr>
              <w:t>不</w:t>
            </w:r>
            <w:r>
              <w:rPr>
                <w:rFonts w:hint="eastAsia" w:ascii="宋体" w:hAnsi="宋体"/>
                <w:szCs w:val="21"/>
              </w:rPr>
              <w:t>符合第七章“技术标准和要求”规定（如有）。（由投标人承诺，承诺书格式详见第八章投标文件格式。）</w:t>
            </w:r>
          </w:p>
        </w:tc>
      </w:tr>
      <w:tr w14:paraId="1A8F85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4196E5D8">
            <w:pPr>
              <w:spacing w:line="400" w:lineRule="exact"/>
              <w:jc w:val="center"/>
              <w:rPr>
                <w:rFonts w:ascii="宋体" w:hAnsi="宋体"/>
                <w:szCs w:val="21"/>
              </w:rPr>
            </w:pPr>
          </w:p>
        </w:tc>
        <w:tc>
          <w:tcPr>
            <w:tcW w:w="1943" w:type="dxa"/>
            <w:vMerge w:val="continue"/>
            <w:vAlign w:val="center"/>
          </w:tcPr>
          <w:p w14:paraId="53FF343D">
            <w:pPr>
              <w:spacing w:line="400" w:lineRule="exact"/>
              <w:jc w:val="center"/>
              <w:rPr>
                <w:rFonts w:ascii="宋体" w:hAnsi="宋体"/>
                <w:szCs w:val="21"/>
              </w:rPr>
            </w:pPr>
          </w:p>
        </w:tc>
        <w:tc>
          <w:tcPr>
            <w:tcW w:w="6209" w:type="dxa"/>
            <w:vAlign w:val="center"/>
          </w:tcPr>
          <w:p w14:paraId="2122E550">
            <w:pPr>
              <w:spacing w:line="400" w:lineRule="exact"/>
              <w:ind w:firstLine="420" w:firstLineChars="200"/>
              <w:rPr>
                <w:rFonts w:ascii="宋体" w:hAnsi="宋体"/>
                <w:szCs w:val="21"/>
              </w:rPr>
            </w:pPr>
            <w:r>
              <w:rPr>
                <w:rFonts w:hint="eastAsia" w:ascii="宋体" w:hAnsi="宋体"/>
                <w:szCs w:val="21"/>
              </w:rPr>
              <w:t>A-17投标人有以下情形之一的：</w:t>
            </w:r>
          </w:p>
          <w:p w14:paraId="6023BA1D">
            <w:pPr>
              <w:spacing w:line="400" w:lineRule="exact"/>
              <w:ind w:firstLine="420" w:firstLineChars="200"/>
              <w:rPr>
                <w:rFonts w:ascii="宋体" w:hAnsi="宋体"/>
                <w:szCs w:val="21"/>
              </w:rPr>
            </w:pPr>
            <w:r>
              <w:rPr>
                <w:rFonts w:hint="eastAsia" w:ascii="宋体" w:hAnsi="宋体"/>
                <w:szCs w:val="21"/>
              </w:rPr>
              <w:t>1.本次投标</w:t>
            </w:r>
            <w:r>
              <w:rPr>
                <w:rFonts w:hint="eastAsia" w:ascii="宋体" w:hAnsi="宋体"/>
                <w:kern w:val="0"/>
                <w:lang w:val="en-US" w:eastAsia="zh-CN"/>
              </w:rPr>
              <w:t>存在弄虚作假等其他</w:t>
            </w:r>
            <w:r>
              <w:rPr>
                <w:rFonts w:hint="eastAsia" w:ascii="宋体" w:hAnsi="宋体"/>
                <w:szCs w:val="21"/>
              </w:rPr>
              <w:t>违反招投标相关法律、法规的行为的；</w:t>
            </w:r>
          </w:p>
          <w:p w14:paraId="56FE9867">
            <w:pPr>
              <w:spacing w:line="40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.拒绝按评标委员会要求澄清、说明或补正的。</w:t>
            </w:r>
          </w:p>
        </w:tc>
      </w:tr>
      <w:tr w14:paraId="047A6F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5CED711D">
            <w:pPr>
              <w:spacing w:line="400" w:lineRule="exact"/>
              <w:jc w:val="center"/>
              <w:rPr>
                <w:rFonts w:ascii="宋体" w:hAnsi="宋体"/>
                <w:szCs w:val="21"/>
              </w:rPr>
            </w:pPr>
          </w:p>
        </w:tc>
        <w:tc>
          <w:tcPr>
            <w:tcW w:w="1943" w:type="dxa"/>
            <w:vMerge w:val="restart"/>
            <w:vAlign w:val="center"/>
          </w:tcPr>
          <w:p w14:paraId="79CCC17B">
            <w:pPr>
              <w:spacing w:line="400" w:lineRule="exact"/>
              <w:jc w:val="center"/>
              <w:rPr>
                <w:rFonts w:ascii="宋体" w:hAnsi="宋体"/>
                <w:szCs w:val="21"/>
              </w:rPr>
            </w:pPr>
            <w:r>
              <w:rPr>
                <w:rFonts w:hint="eastAsia" w:ascii="宋体" w:hAnsi="宋体"/>
                <w:szCs w:val="21"/>
              </w:rPr>
              <w:t>投标函</w:t>
            </w:r>
            <w:r>
              <w:rPr>
                <w:rFonts w:hint="eastAsia" w:ascii="宋体" w:hAnsi="宋体"/>
                <w:szCs w:val="21"/>
                <w:lang w:val="en-US" w:eastAsia="zh-CN"/>
              </w:rPr>
              <w:t>部分</w:t>
            </w:r>
            <w:r>
              <w:rPr>
                <w:rFonts w:hint="eastAsia" w:ascii="宋体" w:hAnsi="宋体"/>
                <w:szCs w:val="21"/>
              </w:rPr>
              <w:t>评审</w:t>
            </w:r>
          </w:p>
        </w:tc>
        <w:tc>
          <w:tcPr>
            <w:tcW w:w="6209" w:type="dxa"/>
          </w:tcPr>
          <w:p w14:paraId="78FB06E0">
            <w:pPr>
              <w:spacing w:line="400" w:lineRule="exact"/>
              <w:ind w:firstLine="420" w:firstLineChars="200"/>
              <w:rPr>
                <w:rFonts w:ascii="宋体" w:hAnsi="宋体"/>
                <w:szCs w:val="21"/>
              </w:rPr>
            </w:pPr>
            <w:r>
              <w:rPr>
                <w:rFonts w:hint="eastAsia" w:ascii="宋体" w:hAnsi="宋体"/>
                <w:szCs w:val="21"/>
              </w:rPr>
              <w:t>A-18</w:t>
            </w:r>
            <w:r>
              <w:rPr>
                <w:rFonts w:hint="eastAsia" w:ascii="宋体" w:hAnsi="宋体" w:cs="宋体"/>
                <w:kern w:val="0"/>
              </w:rPr>
              <w:t>投标函部分的格式要求法定代表人</w:t>
            </w:r>
            <w:r>
              <w:rPr>
                <w:rFonts w:hint="eastAsia" w:ascii="宋体" w:hAnsi="宋体" w:cs="宋体"/>
                <w:kern w:val="0"/>
                <w:lang w:eastAsia="zh-CN"/>
              </w:rPr>
              <w:t>（</w:t>
            </w:r>
            <w:r>
              <w:rPr>
                <w:rFonts w:hint="eastAsia" w:ascii="宋体" w:hAnsi="宋体" w:cs="宋体"/>
                <w:kern w:val="0"/>
              </w:rPr>
              <w:t>或其委托代理人</w:t>
            </w:r>
            <w:r>
              <w:rPr>
                <w:rFonts w:hint="eastAsia" w:ascii="宋体" w:hAnsi="宋体" w:cs="宋体"/>
                <w:kern w:val="0"/>
                <w:lang w:eastAsia="zh-CN"/>
              </w:rPr>
              <w:t>）</w:t>
            </w:r>
            <w:r>
              <w:rPr>
                <w:rFonts w:hint="eastAsia" w:ascii="宋体" w:hAnsi="宋体" w:cs="宋体"/>
                <w:kern w:val="0"/>
              </w:rPr>
              <w:t>签名（或盖章）的</w:t>
            </w:r>
            <w:r>
              <w:rPr>
                <w:rFonts w:hint="eastAsia" w:ascii="宋体" w:hAnsi="宋体" w:cs="宋体"/>
                <w:kern w:val="0"/>
                <w:lang w:val="en-US" w:eastAsia="zh-CN"/>
              </w:rPr>
              <w:t>不</w:t>
            </w:r>
            <w:r>
              <w:rPr>
                <w:rFonts w:hint="eastAsia" w:ascii="宋体" w:hAnsi="宋体" w:cs="宋体"/>
                <w:kern w:val="0"/>
              </w:rPr>
              <w:t>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w:t>
            </w:r>
            <w:r>
              <w:rPr>
                <w:rFonts w:hint="eastAsia" w:ascii="宋体" w:hAnsi="宋体"/>
                <w:color w:val="auto"/>
                <w:kern w:val="0"/>
                <w:highlight w:val="none"/>
                <w:lang w:val="en-US" w:eastAsia="zh-CN"/>
              </w:rPr>
              <w:t>未</w:t>
            </w:r>
            <w:r>
              <w:rPr>
                <w:rFonts w:hint="eastAsia" w:ascii="宋体" w:hAnsi="宋体"/>
                <w:color w:val="auto"/>
                <w:kern w:val="0"/>
                <w:highlight w:val="none"/>
              </w:rPr>
              <w:t>采用手写签名或</w:t>
            </w:r>
            <w:r>
              <w:rPr>
                <w:rFonts w:hint="eastAsia" w:ascii="宋体" w:hAnsi="宋体"/>
                <w:color w:val="auto"/>
                <w:kern w:val="0"/>
                <w:highlight w:val="none"/>
                <w:lang w:val="en-US" w:eastAsia="zh-CN"/>
              </w:rPr>
              <w:t>未</w:t>
            </w:r>
            <w:r>
              <w:rPr>
                <w:rFonts w:hint="eastAsia" w:ascii="宋体" w:hAnsi="宋体"/>
                <w:color w:val="auto"/>
                <w:kern w:val="0"/>
                <w:highlight w:val="none"/>
              </w:rPr>
              <w:t>签章或</w:t>
            </w:r>
            <w:r>
              <w:rPr>
                <w:rFonts w:hint="eastAsia" w:ascii="宋体" w:hAnsi="宋体"/>
                <w:color w:val="auto"/>
                <w:kern w:val="0"/>
                <w:highlight w:val="none"/>
                <w:lang w:val="en-US" w:eastAsia="zh-CN"/>
              </w:rPr>
              <w:t>未</w:t>
            </w:r>
            <w:r>
              <w:rPr>
                <w:rFonts w:hint="eastAsia" w:ascii="宋体" w:hAnsi="宋体"/>
                <w:color w:val="auto"/>
                <w:kern w:val="0"/>
                <w:highlight w:val="none"/>
              </w:rPr>
              <w:t>加盖CA数字证书</w:t>
            </w:r>
            <w:r>
              <w:rPr>
                <w:rFonts w:hint="eastAsia" w:ascii="宋体" w:hAnsi="宋体"/>
                <w:color w:val="auto"/>
                <w:kern w:val="0"/>
                <w:highlight w:val="none"/>
                <w:lang w:eastAsia="zh-CN"/>
              </w:rPr>
              <w:t>，</w:t>
            </w:r>
            <w:r>
              <w:rPr>
                <w:rFonts w:hint="eastAsia" w:ascii="宋体" w:hAnsi="宋体" w:cs="宋体"/>
                <w:kern w:val="0"/>
              </w:rPr>
              <w:t>要求加盖单位法人章的，</w:t>
            </w:r>
            <w:r>
              <w:rPr>
                <w:rFonts w:hint="eastAsia" w:ascii="宋体" w:hAnsi="宋体" w:cs="宋体"/>
                <w:kern w:val="0"/>
                <w:lang w:val="en-US" w:eastAsia="zh-CN"/>
              </w:rPr>
              <w:t>未</w:t>
            </w:r>
            <w:r>
              <w:rPr>
                <w:rFonts w:hint="eastAsia" w:ascii="宋体" w:hAnsi="宋体" w:cs="宋体"/>
                <w:kern w:val="0"/>
              </w:rPr>
              <w:t>使用 CA 数字证书加盖投标人的单位电子印章</w:t>
            </w:r>
            <w:r>
              <w:rPr>
                <w:rFonts w:hint="eastAsia" w:ascii="宋体" w:hAnsi="宋体"/>
                <w:szCs w:val="21"/>
              </w:rPr>
              <w:t>。</w:t>
            </w:r>
          </w:p>
          <w:p w14:paraId="10473FD5">
            <w:pPr>
              <w:spacing w:line="400" w:lineRule="exact"/>
              <w:ind w:firstLine="420" w:firstLineChars="200"/>
              <w:rPr>
                <w:rFonts w:ascii="宋体" w:hAnsi="宋体"/>
                <w:i/>
                <w:szCs w:val="21"/>
              </w:rPr>
            </w:pPr>
            <w:r>
              <w:rPr>
                <w:rFonts w:hint="eastAsia" w:ascii="宋体" w:hAnsi="宋体"/>
                <w:szCs w:val="21"/>
              </w:rPr>
              <w:t>联合体投标的，投标函部分的格式中要求投标人加盖单位法人章的，</w:t>
            </w:r>
            <w:r>
              <w:rPr>
                <w:rFonts w:hint="eastAsia" w:ascii="宋体" w:hAnsi="宋体"/>
                <w:szCs w:val="21"/>
                <w:lang w:val="en-US" w:eastAsia="zh-CN"/>
              </w:rPr>
              <w:t>未</w:t>
            </w:r>
            <w:r>
              <w:rPr>
                <w:rFonts w:hint="eastAsia" w:ascii="宋体" w:hAnsi="宋体"/>
                <w:szCs w:val="21"/>
              </w:rPr>
              <w:t>由联合体牵头人使用 CA 数字证书加盖其单位电子印章。</w:t>
            </w:r>
          </w:p>
        </w:tc>
      </w:tr>
      <w:tr w14:paraId="3D74EE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18DE4089">
            <w:pPr>
              <w:spacing w:line="400" w:lineRule="exact"/>
              <w:jc w:val="center"/>
              <w:rPr>
                <w:rFonts w:ascii="宋体" w:hAnsi="宋体"/>
                <w:szCs w:val="21"/>
              </w:rPr>
            </w:pPr>
          </w:p>
        </w:tc>
        <w:tc>
          <w:tcPr>
            <w:tcW w:w="1943" w:type="dxa"/>
            <w:vMerge w:val="continue"/>
            <w:vAlign w:val="center"/>
          </w:tcPr>
          <w:p w14:paraId="77C0B8A3">
            <w:pPr>
              <w:spacing w:line="400" w:lineRule="exact"/>
              <w:jc w:val="center"/>
              <w:rPr>
                <w:rFonts w:hint="eastAsia" w:ascii="宋体" w:hAnsi="宋体"/>
                <w:szCs w:val="21"/>
              </w:rPr>
            </w:pPr>
          </w:p>
        </w:tc>
        <w:tc>
          <w:tcPr>
            <w:tcW w:w="6209" w:type="dxa"/>
          </w:tcPr>
          <w:p w14:paraId="2CEA3A7E">
            <w:pPr>
              <w:spacing w:line="400" w:lineRule="exact"/>
              <w:ind w:firstLine="420" w:firstLineChars="200"/>
              <w:rPr>
                <w:rFonts w:hint="eastAsia" w:ascii="宋体" w:hAnsi="宋体" w:eastAsia="宋体"/>
                <w:szCs w:val="21"/>
                <w:lang w:eastAsia="zh-CN"/>
              </w:rPr>
            </w:pPr>
            <w:r>
              <w:rPr>
                <w:rFonts w:hint="eastAsia" w:ascii="宋体" w:hAnsi="宋体"/>
                <w:szCs w:val="21"/>
                <w:lang w:val="en-US" w:eastAsia="zh-CN"/>
              </w:rPr>
              <w:t>A-19</w:t>
            </w:r>
            <w:r>
              <w:rPr>
                <w:rFonts w:hint="eastAsia" w:ascii="宋体" w:hAnsi="宋体"/>
                <w:szCs w:val="21"/>
              </w:rPr>
              <w:t>《投标函》中填写的项目经理与拟派项目经理的信息</w:t>
            </w:r>
            <w:r>
              <w:rPr>
                <w:rFonts w:hint="eastAsia" w:ascii="宋体" w:hAnsi="宋体"/>
                <w:szCs w:val="21"/>
                <w:lang w:val="en-US" w:eastAsia="zh-CN"/>
              </w:rPr>
              <w:t>不</w:t>
            </w:r>
            <w:r>
              <w:rPr>
                <w:rFonts w:hint="eastAsia" w:ascii="宋体" w:hAnsi="宋体"/>
                <w:szCs w:val="21"/>
              </w:rPr>
              <w:t>一致</w:t>
            </w:r>
            <w:r>
              <w:rPr>
                <w:rFonts w:hint="eastAsia" w:ascii="宋体" w:hAnsi="宋体"/>
                <w:szCs w:val="21"/>
                <w:lang w:eastAsia="zh-CN"/>
              </w:rPr>
              <w:t>。</w:t>
            </w:r>
          </w:p>
        </w:tc>
      </w:tr>
      <w:tr w14:paraId="5179B6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5148C9BC">
            <w:pPr>
              <w:spacing w:line="400" w:lineRule="exact"/>
              <w:jc w:val="center"/>
              <w:rPr>
                <w:rFonts w:ascii="宋体" w:hAnsi="宋体"/>
                <w:szCs w:val="21"/>
              </w:rPr>
            </w:pPr>
          </w:p>
        </w:tc>
        <w:tc>
          <w:tcPr>
            <w:tcW w:w="1943" w:type="dxa"/>
            <w:vMerge w:val="continue"/>
            <w:vAlign w:val="center"/>
          </w:tcPr>
          <w:p w14:paraId="05591527">
            <w:pPr>
              <w:spacing w:line="400" w:lineRule="exact"/>
              <w:jc w:val="center"/>
              <w:rPr>
                <w:rFonts w:ascii="宋体" w:hAnsi="宋体"/>
                <w:szCs w:val="21"/>
              </w:rPr>
            </w:pPr>
          </w:p>
        </w:tc>
        <w:tc>
          <w:tcPr>
            <w:tcW w:w="6209" w:type="dxa"/>
          </w:tcPr>
          <w:p w14:paraId="4DB8656B">
            <w:pPr>
              <w:spacing w:line="400" w:lineRule="exact"/>
              <w:ind w:firstLine="420" w:firstLineChars="200"/>
              <w:rPr>
                <w:rFonts w:ascii="宋体" w:hAnsi="宋体"/>
                <w:i/>
                <w:szCs w:val="21"/>
              </w:rPr>
            </w:pPr>
            <w:r>
              <w:rPr>
                <w:rFonts w:hint="eastAsia" w:ascii="宋体" w:hAnsi="宋体"/>
                <w:szCs w:val="21"/>
              </w:rPr>
              <w:t>A-</w:t>
            </w:r>
            <w:r>
              <w:rPr>
                <w:rFonts w:hint="eastAsia" w:ascii="宋体" w:hAnsi="宋体"/>
                <w:szCs w:val="21"/>
                <w:lang w:val="en-US" w:eastAsia="zh-CN"/>
              </w:rPr>
              <w:t>20</w:t>
            </w:r>
            <w:r>
              <w:rPr>
                <w:rFonts w:hint="eastAsia" w:ascii="宋体" w:hAnsi="宋体"/>
                <w:szCs w:val="21"/>
              </w:rPr>
              <w:t>工期</w:t>
            </w:r>
            <w:r>
              <w:rPr>
                <w:rFonts w:hint="eastAsia" w:ascii="宋体" w:hAnsi="宋体"/>
                <w:szCs w:val="21"/>
                <w:lang w:val="en-US" w:eastAsia="zh-CN"/>
              </w:rPr>
              <w:t>不</w:t>
            </w:r>
            <w:r>
              <w:rPr>
                <w:rFonts w:hint="eastAsia" w:ascii="宋体" w:hAnsi="宋体"/>
                <w:szCs w:val="21"/>
              </w:rPr>
              <w:t>符合第二章“投标人须知”第1.3.2项规定。</w:t>
            </w:r>
          </w:p>
        </w:tc>
      </w:tr>
      <w:tr w14:paraId="6C8A64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620F6DF4">
            <w:pPr>
              <w:spacing w:line="400" w:lineRule="exact"/>
              <w:jc w:val="center"/>
              <w:rPr>
                <w:rFonts w:ascii="宋体" w:hAnsi="宋体"/>
                <w:szCs w:val="21"/>
              </w:rPr>
            </w:pPr>
          </w:p>
        </w:tc>
        <w:tc>
          <w:tcPr>
            <w:tcW w:w="1943" w:type="dxa"/>
            <w:vMerge w:val="continue"/>
            <w:vAlign w:val="center"/>
          </w:tcPr>
          <w:p w14:paraId="54EB5C64">
            <w:pPr>
              <w:spacing w:line="400" w:lineRule="exact"/>
              <w:jc w:val="center"/>
              <w:rPr>
                <w:rFonts w:ascii="宋体" w:hAnsi="宋体"/>
                <w:szCs w:val="21"/>
              </w:rPr>
            </w:pPr>
          </w:p>
        </w:tc>
        <w:tc>
          <w:tcPr>
            <w:tcW w:w="6209" w:type="dxa"/>
          </w:tcPr>
          <w:p w14:paraId="455E04A8">
            <w:pPr>
              <w:spacing w:line="400" w:lineRule="exact"/>
              <w:ind w:firstLine="420" w:firstLineChars="200"/>
              <w:rPr>
                <w:rFonts w:ascii="宋体" w:hAnsi="宋体"/>
                <w:i/>
                <w:szCs w:val="21"/>
              </w:rPr>
            </w:pPr>
            <w:r>
              <w:rPr>
                <w:rFonts w:hint="eastAsia" w:ascii="宋体" w:hAnsi="宋体"/>
                <w:szCs w:val="21"/>
              </w:rPr>
              <w:t>A-</w:t>
            </w:r>
            <w:r>
              <w:rPr>
                <w:rFonts w:hint="eastAsia" w:ascii="宋体" w:hAnsi="宋体"/>
                <w:szCs w:val="21"/>
                <w:lang w:val="en-US" w:eastAsia="zh-CN"/>
              </w:rPr>
              <w:t>21</w:t>
            </w:r>
            <w:r>
              <w:rPr>
                <w:rFonts w:hint="eastAsia" w:ascii="宋体" w:hAnsi="宋体"/>
                <w:szCs w:val="21"/>
              </w:rPr>
              <w:t>工程质量</w:t>
            </w:r>
            <w:r>
              <w:rPr>
                <w:rFonts w:hint="eastAsia" w:ascii="宋体" w:hAnsi="宋体"/>
                <w:szCs w:val="21"/>
                <w:lang w:val="en-US" w:eastAsia="zh-CN"/>
              </w:rPr>
              <w:t>不</w:t>
            </w:r>
            <w:r>
              <w:rPr>
                <w:rFonts w:hint="eastAsia" w:ascii="宋体" w:hAnsi="宋体"/>
                <w:szCs w:val="21"/>
              </w:rPr>
              <w:t>符合第二章“投标人须知”第1.3.3项规定。</w:t>
            </w:r>
          </w:p>
        </w:tc>
      </w:tr>
      <w:tr w14:paraId="0D0FAC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48596E44">
            <w:pPr>
              <w:spacing w:line="400" w:lineRule="exact"/>
              <w:jc w:val="center"/>
              <w:rPr>
                <w:rFonts w:ascii="宋体" w:hAnsi="宋体"/>
                <w:szCs w:val="21"/>
              </w:rPr>
            </w:pPr>
          </w:p>
        </w:tc>
        <w:tc>
          <w:tcPr>
            <w:tcW w:w="1943" w:type="dxa"/>
            <w:vMerge w:val="continue"/>
            <w:vAlign w:val="center"/>
          </w:tcPr>
          <w:p w14:paraId="2E568F64">
            <w:pPr>
              <w:spacing w:line="400" w:lineRule="exact"/>
              <w:jc w:val="center"/>
              <w:rPr>
                <w:rFonts w:ascii="宋体" w:hAnsi="宋体"/>
                <w:szCs w:val="21"/>
              </w:rPr>
            </w:pPr>
          </w:p>
        </w:tc>
        <w:tc>
          <w:tcPr>
            <w:tcW w:w="6209" w:type="dxa"/>
          </w:tcPr>
          <w:p w14:paraId="67290F6A">
            <w:pPr>
              <w:spacing w:line="400" w:lineRule="exact"/>
              <w:ind w:firstLine="420" w:firstLineChars="200"/>
              <w:rPr>
                <w:rFonts w:ascii="宋体" w:hAnsi="宋体"/>
                <w:i/>
                <w:szCs w:val="21"/>
              </w:rPr>
            </w:pPr>
            <w:r>
              <w:rPr>
                <w:rFonts w:hint="eastAsia" w:ascii="宋体" w:hAnsi="宋体"/>
                <w:szCs w:val="21"/>
              </w:rPr>
              <w:t>A-</w:t>
            </w:r>
            <w:r>
              <w:rPr>
                <w:rFonts w:hint="eastAsia" w:ascii="宋体" w:hAnsi="宋体"/>
                <w:szCs w:val="21"/>
                <w:lang w:val="en-US" w:eastAsia="zh-CN"/>
              </w:rPr>
              <w:t>22</w:t>
            </w:r>
            <w:r>
              <w:rPr>
                <w:rFonts w:hint="eastAsia" w:ascii="宋体" w:hAnsi="宋体"/>
                <w:szCs w:val="21"/>
              </w:rPr>
              <w:t>投标有效期</w:t>
            </w:r>
            <w:r>
              <w:rPr>
                <w:rFonts w:hint="eastAsia" w:ascii="宋体" w:hAnsi="宋体"/>
                <w:szCs w:val="21"/>
                <w:lang w:val="en-US" w:eastAsia="zh-CN"/>
              </w:rPr>
              <w:t>不</w:t>
            </w:r>
            <w:r>
              <w:rPr>
                <w:rFonts w:hint="eastAsia" w:ascii="宋体" w:hAnsi="宋体"/>
                <w:szCs w:val="21"/>
              </w:rPr>
              <w:t>符合第二章“投标人须知”第3.3.1项规定。</w:t>
            </w:r>
          </w:p>
        </w:tc>
      </w:tr>
      <w:tr w14:paraId="3D41A9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783D5707">
            <w:pPr>
              <w:spacing w:line="400" w:lineRule="exact"/>
              <w:jc w:val="center"/>
              <w:rPr>
                <w:rFonts w:ascii="宋体" w:hAnsi="宋体"/>
                <w:szCs w:val="21"/>
              </w:rPr>
            </w:pPr>
          </w:p>
        </w:tc>
        <w:tc>
          <w:tcPr>
            <w:tcW w:w="1943" w:type="dxa"/>
            <w:vMerge w:val="continue"/>
            <w:vAlign w:val="center"/>
          </w:tcPr>
          <w:p w14:paraId="0B152D17">
            <w:pPr>
              <w:spacing w:line="400" w:lineRule="exact"/>
              <w:jc w:val="center"/>
              <w:rPr>
                <w:rFonts w:ascii="宋体" w:hAnsi="宋体"/>
                <w:szCs w:val="21"/>
              </w:rPr>
            </w:pPr>
          </w:p>
        </w:tc>
        <w:tc>
          <w:tcPr>
            <w:tcW w:w="6209" w:type="dxa"/>
            <w:vAlign w:val="center"/>
          </w:tcPr>
          <w:p w14:paraId="265EB011">
            <w:pPr>
              <w:spacing w:line="400" w:lineRule="exact"/>
              <w:ind w:firstLine="420" w:firstLineChars="200"/>
              <w:rPr>
                <w:rFonts w:ascii="宋体" w:hAnsi="宋体"/>
                <w:i/>
                <w:szCs w:val="21"/>
              </w:rPr>
            </w:pPr>
            <w:r>
              <w:rPr>
                <w:rFonts w:hint="eastAsia" w:ascii="宋体" w:hAnsi="宋体"/>
                <w:szCs w:val="21"/>
              </w:rPr>
              <w:t>A-</w:t>
            </w:r>
            <w:r>
              <w:rPr>
                <w:rFonts w:hint="eastAsia" w:ascii="宋体" w:hAnsi="宋体"/>
                <w:szCs w:val="21"/>
                <w:lang w:val="en-US" w:eastAsia="zh-CN"/>
              </w:rPr>
              <w:t>23</w:t>
            </w:r>
            <w:r>
              <w:rPr>
                <w:rFonts w:hint="eastAsia" w:ascii="宋体" w:hAnsi="宋体"/>
                <w:szCs w:val="21"/>
              </w:rPr>
              <w:t>投标函中的总报价与已标价工程量清单总报价</w:t>
            </w:r>
            <w:r>
              <w:rPr>
                <w:rFonts w:hint="eastAsia" w:ascii="宋体" w:hAnsi="宋体"/>
                <w:szCs w:val="21"/>
                <w:lang w:val="en-US" w:eastAsia="zh-CN"/>
              </w:rPr>
              <w:t>不</w:t>
            </w:r>
            <w:r>
              <w:rPr>
                <w:rFonts w:hint="eastAsia" w:ascii="宋体" w:hAnsi="宋体"/>
                <w:szCs w:val="21"/>
              </w:rPr>
              <w:t>一致</w:t>
            </w:r>
            <w:r>
              <w:rPr>
                <w:rFonts w:hint="eastAsia" w:ascii="宋体" w:hAnsi="宋体"/>
                <w:szCs w:val="21"/>
                <w:lang w:eastAsia="zh-CN"/>
              </w:rPr>
              <w:t>，</w:t>
            </w:r>
            <w:r>
              <w:rPr>
                <w:rFonts w:hint="eastAsia" w:ascii="宋体" w:hAnsi="宋体"/>
                <w:szCs w:val="21"/>
                <w:lang w:val="en-US" w:eastAsia="zh-CN"/>
              </w:rPr>
              <w:t>或</w:t>
            </w:r>
            <w:r>
              <w:rPr>
                <w:rFonts w:hint="eastAsia" w:ascii="宋体" w:hAnsi="宋体"/>
                <w:szCs w:val="21"/>
              </w:rPr>
              <w:t>工程量清单总报价与依据单价、工程数量、分部分项工程合价计算出的结果</w:t>
            </w:r>
            <w:r>
              <w:rPr>
                <w:rFonts w:hint="eastAsia" w:ascii="宋体" w:hAnsi="宋体"/>
                <w:szCs w:val="21"/>
                <w:lang w:val="en-US" w:eastAsia="zh-CN"/>
              </w:rPr>
              <w:t>不</w:t>
            </w:r>
            <w:r>
              <w:rPr>
                <w:rFonts w:hint="eastAsia" w:ascii="宋体" w:hAnsi="宋体"/>
                <w:szCs w:val="21"/>
              </w:rPr>
              <w:t>一致</w:t>
            </w:r>
            <w:r>
              <w:rPr>
                <w:rFonts w:hint="eastAsia" w:ascii="宋体" w:hAnsi="宋体"/>
                <w:szCs w:val="21"/>
                <w:lang w:eastAsia="zh-CN"/>
              </w:rPr>
              <w:t>（</w:t>
            </w:r>
            <w:r>
              <w:rPr>
                <w:rFonts w:hint="eastAsia" w:ascii="宋体" w:hAnsi="宋体"/>
                <w:szCs w:val="21"/>
                <w:lang w:val="en-US" w:eastAsia="zh-CN"/>
              </w:rPr>
              <w:t>如有</w:t>
            </w:r>
            <w:r>
              <w:rPr>
                <w:rFonts w:hint="eastAsia" w:ascii="宋体" w:hAnsi="宋体"/>
                <w:szCs w:val="21"/>
                <w:lang w:eastAsia="zh-CN"/>
              </w:rPr>
              <w:t>）</w:t>
            </w:r>
            <w:r>
              <w:rPr>
                <w:rFonts w:hint="eastAsia" w:ascii="宋体" w:hAnsi="宋体"/>
                <w:szCs w:val="21"/>
              </w:rPr>
              <w:t>。</w:t>
            </w:r>
          </w:p>
        </w:tc>
      </w:tr>
      <w:tr w14:paraId="6BD070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13D904F4">
            <w:pPr>
              <w:spacing w:line="400" w:lineRule="exact"/>
              <w:jc w:val="center"/>
              <w:rPr>
                <w:rFonts w:ascii="宋体" w:hAnsi="宋体"/>
                <w:szCs w:val="21"/>
              </w:rPr>
            </w:pPr>
          </w:p>
        </w:tc>
        <w:tc>
          <w:tcPr>
            <w:tcW w:w="1943" w:type="dxa"/>
            <w:vMerge w:val="continue"/>
            <w:vAlign w:val="center"/>
          </w:tcPr>
          <w:p w14:paraId="3899B907">
            <w:pPr>
              <w:spacing w:line="400" w:lineRule="exact"/>
              <w:jc w:val="center"/>
              <w:rPr>
                <w:rFonts w:ascii="宋体" w:hAnsi="宋体"/>
                <w:szCs w:val="21"/>
              </w:rPr>
            </w:pPr>
          </w:p>
        </w:tc>
        <w:tc>
          <w:tcPr>
            <w:tcW w:w="6209" w:type="dxa"/>
            <w:vAlign w:val="center"/>
          </w:tcPr>
          <w:p w14:paraId="5D9E7C96">
            <w:pPr>
              <w:spacing w:line="400" w:lineRule="exact"/>
              <w:ind w:firstLine="420" w:firstLineChars="200"/>
              <w:rPr>
                <w:rFonts w:ascii="宋体" w:hAnsi="宋体"/>
                <w:i/>
                <w:szCs w:val="21"/>
              </w:rPr>
            </w:pPr>
            <w:r>
              <w:rPr>
                <w:rFonts w:hint="eastAsia" w:ascii="宋体" w:hAnsi="宋体"/>
                <w:szCs w:val="21"/>
              </w:rPr>
              <w:t>A-</w:t>
            </w:r>
            <w:r>
              <w:rPr>
                <w:rFonts w:hint="eastAsia" w:ascii="宋体" w:hAnsi="宋体"/>
                <w:szCs w:val="21"/>
                <w:lang w:val="en-US" w:eastAsia="zh-CN"/>
              </w:rPr>
              <w:t>24投标函中</w:t>
            </w:r>
            <w:r>
              <w:rPr>
                <w:rFonts w:hint="eastAsia" w:ascii="宋体" w:hAnsi="宋体"/>
                <w:szCs w:val="21"/>
              </w:rPr>
              <w:t>的投标总报价</w:t>
            </w:r>
            <w:r>
              <w:rPr>
                <w:rFonts w:hint="eastAsia" w:ascii="宋体" w:hAnsi="宋体"/>
                <w:szCs w:val="21"/>
                <w:lang w:val="en-US" w:eastAsia="zh-CN"/>
              </w:rPr>
              <w:t>高于招标人公布的</w:t>
            </w:r>
            <w:r>
              <w:rPr>
                <w:rFonts w:hint="eastAsia" w:ascii="宋体" w:hAnsi="宋体"/>
                <w:szCs w:val="21"/>
              </w:rPr>
              <w:t>投标总报价最高限价。</w:t>
            </w:r>
          </w:p>
        </w:tc>
      </w:tr>
      <w:tr w14:paraId="696E79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1BE17D3A">
            <w:pPr>
              <w:spacing w:line="400" w:lineRule="exact"/>
              <w:jc w:val="center"/>
              <w:rPr>
                <w:rFonts w:ascii="宋体" w:hAnsi="宋体"/>
                <w:szCs w:val="21"/>
              </w:rPr>
            </w:pPr>
          </w:p>
        </w:tc>
        <w:tc>
          <w:tcPr>
            <w:tcW w:w="1943" w:type="dxa"/>
            <w:vMerge w:val="continue"/>
            <w:vAlign w:val="center"/>
          </w:tcPr>
          <w:p w14:paraId="17B50B7B">
            <w:pPr>
              <w:spacing w:line="400" w:lineRule="exact"/>
              <w:jc w:val="center"/>
              <w:rPr>
                <w:rFonts w:ascii="宋体" w:hAnsi="宋体"/>
                <w:szCs w:val="21"/>
              </w:rPr>
            </w:pPr>
          </w:p>
        </w:tc>
        <w:tc>
          <w:tcPr>
            <w:tcW w:w="6209" w:type="dxa"/>
            <w:vAlign w:val="center"/>
          </w:tcPr>
          <w:p w14:paraId="298887D6">
            <w:pPr>
              <w:spacing w:line="400" w:lineRule="exact"/>
              <w:ind w:firstLine="420" w:firstLineChars="200"/>
              <w:rPr>
                <w:rFonts w:hint="eastAsia" w:ascii="宋体" w:hAnsi="宋体" w:eastAsia="宋体"/>
                <w:szCs w:val="21"/>
                <w:lang w:eastAsia="zh-CN"/>
              </w:rPr>
            </w:pPr>
            <w:r>
              <w:rPr>
                <w:rFonts w:hint="eastAsia" w:ascii="宋体" w:hAnsi="宋体"/>
                <w:szCs w:val="21"/>
              </w:rPr>
              <w:t>A-</w:t>
            </w:r>
            <w:r>
              <w:rPr>
                <w:rFonts w:hint="eastAsia" w:ascii="宋体" w:hAnsi="宋体"/>
                <w:szCs w:val="21"/>
                <w:lang w:val="en-US" w:eastAsia="zh-CN"/>
              </w:rPr>
              <w:t>25</w:t>
            </w:r>
            <w:r>
              <w:rPr>
                <w:rFonts w:hint="eastAsia" w:ascii="宋体" w:hAnsi="宋体"/>
                <w:szCs w:val="21"/>
              </w:rPr>
              <w:t>投标人投标总报价或者部分单项</w:t>
            </w:r>
            <w:r>
              <w:rPr>
                <w:rFonts w:hint="eastAsia" w:ascii="宋体" w:hAnsi="宋体"/>
                <w:szCs w:val="21"/>
                <w:lang w:val="en-US" w:eastAsia="zh-CN"/>
              </w:rPr>
              <w:t>报价</w:t>
            </w:r>
            <w:r>
              <w:rPr>
                <w:rFonts w:hint="eastAsia" w:ascii="宋体" w:hAnsi="宋体"/>
                <w:szCs w:val="21"/>
              </w:rPr>
              <w:t>低于招标文件规定的对应的异常低价警戒线的，</w:t>
            </w:r>
            <w:r>
              <w:rPr>
                <w:rFonts w:hint="eastAsia" w:ascii="宋体" w:hAnsi="宋体" w:eastAsia="宋体" w:cs="宋体"/>
                <w:kern w:val="0"/>
                <w:szCs w:val="21"/>
                <w:lang w:val="en-US" w:eastAsia="zh-CN"/>
              </w:rPr>
              <w:t>未</w:t>
            </w:r>
            <w:r>
              <w:rPr>
                <w:rFonts w:hint="eastAsia" w:ascii="宋体" w:hAnsi="宋体" w:eastAsia="宋体" w:cs="宋体"/>
                <w:kern w:val="0"/>
                <w:szCs w:val="21"/>
              </w:rPr>
              <w:t>提供报价合理性说明，</w:t>
            </w:r>
            <w:r>
              <w:rPr>
                <w:rFonts w:hint="eastAsia" w:ascii="宋体" w:hAnsi="宋体" w:eastAsia="宋体" w:cs="宋体"/>
                <w:kern w:val="0"/>
                <w:szCs w:val="21"/>
                <w:lang w:val="en-US" w:eastAsia="zh-CN"/>
              </w:rPr>
              <w:t>或未</w:t>
            </w:r>
            <w:r>
              <w:rPr>
                <w:rFonts w:hint="eastAsia" w:ascii="宋体" w:hAnsi="宋体" w:eastAsia="宋体" w:cs="宋体"/>
                <w:kern w:val="0"/>
                <w:szCs w:val="21"/>
              </w:rPr>
              <w:t>提供必要的证明材料</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或提供的证明材料</w:t>
            </w:r>
            <w:r>
              <w:rPr>
                <w:rFonts w:hint="eastAsia" w:ascii="宋体" w:hAnsi="宋体" w:cs="宋体"/>
                <w:color w:val="auto"/>
                <w:kern w:val="0"/>
                <w:szCs w:val="21"/>
                <w:lang w:val="en-US" w:eastAsia="zh-CN"/>
              </w:rPr>
              <w:t>不能</w:t>
            </w:r>
            <w:r>
              <w:rPr>
                <w:rFonts w:hint="eastAsia" w:ascii="宋体" w:hAnsi="宋体" w:eastAsia="宋体" w:cs="宋体"/>
                <w:color w:val="auto"/>
                <w:kern w:val="0"/>
                <w:szCs w:val="21"/>
                <w:lang w:val="en-US" w:eastAsia="zh-CN"/>
              </w:rPr>
              <w:t>说明其报价的合理性</w:t>
            </w:r>
            <w:r>
              <w:rPr>
                <w:rFonts w:hint="eastAsia" w:ascii="宋体" w:hAnsi="宋体"/>
                <w:szCs w:val="21"/>
                <w:lang w:val="en-US" w:eastAsia="zh-CN"/>
              </w:rPr>
              <w:t>（如有）</w:t>
            </w:r>
            <w:r>
              <w:rPr>
                <w:rFonts w:hint="eastAsia" w:ascii="宋体" w:hAnsi="宋体"/>
                <w:szCs w:val="21"/>
                <w:lang w:eastAsia="zh-CN"/>
              </w:rPr>
              <w:t>。</w:t>
            </w:r>
          </w:p>
        </w:tc>
      </w:tr>
      <w:tr w14:paraId="7B4576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20E3ACE9">
            <w:pPr>
              <w:spacing w:line="400" w:lineRule="exact"/>
              <w:jc w:val="center"/>
              <w:rPr>
                <w:rFonts w:ascii="宋体" w:hAnsi="宋体"/>
                <w:szCs w:val="21"/>
              </w:rPr>
            </w:pPr>
          </w:p>
        </w:tc>
        <w:tc>
          <w:tcPr>
            <w:tcW w:w="1943" w:type="dxa"/>
            <w:vMerge w:val="continue"/>
            <w:vAlign w:val="center"/>
          </w:tcPr>
          <w:p w14:paraId="5A94EDA0">
            <w:pPr>
              <w:spacing w:line="400" w:lineRule="exact"/>
              <w:jc w:val="center"/>
              <w:rPr>
                <w:rFonts w:ascii="宋体" w:hAnsi="宋体"/>
                <w:szCs w:val="21"/>
              </w:rPr>
            </w:pPr>
          </w:p>
        </w:tc>
        <w:tc>
          <w:tcPr>
            <w:tcW w:w="6209" w:type="dxa"/>
            <w:vAlign w:val="center"/>
          </w:tcPr>
          <w:p w14:paraId="337AAF6C">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26</w:t>
            </w:r>
            <w:r>
              <w:rPr>
                <w:rFonts w:hint="eastAsia" w:ascii="宋体" w:hAnsi="宋体"/>
                <w:szCs w:val="21"/>
              </w:rPr>
              <w:t>投标函中的安全文明施工费金额或</w:t>
            </w:r>
            <w:r>
              <w:rPr>
                <w:rFonts w:hint="eastAsia" w:ascii="宋体" w:hAnsi="宋体" w:cs="宋体"/>
                <w:kern w:val="0"/>
                <w:lang w:val="en-US" w:eastAsia="zh-CN"/>
              </w:rPr>
              <w:t>已标价工程量清单</w:t>
            </w:r>
            <w:r>
              <w:rPr>
                <w:rFonts w:hint="eastAsia" w:ascii="宋体" w:hAnsi="宋体"/>
                <w:szCs w:val="21"/>
              </w:rPr>
              <w:t>中安全文明施工费的汇总金额未按照招标人给出的暂定金额填报。</w:t>
            </w:r>
            <w:r>
              <w:rPr>
                <w:rFonts w:hint="eastAsia" w:ascii="宋体" w:hAnsi="宋体"/>
                <w:szCs w:val="21"/>
                <w:lang w:val="en-US" w:eastAsia="zh-CN"/>
              </w:rPr>
              <w:t>暂列金额、暂估价等暂定金额</w:t>
            </w:r>
            <w:r>
              <w:rPr>
                <w:rFonts w:hint="eastAsia" w:ascii="宋体" w:hAnsi="宋体"/>
                <w:szCs w:val="21"/>
              </w:rPr>
              <w:t>未按照招标人给出的暂定金额填报</w:t>
            </w:r>
            <w:r>
              <w:rPr>
                <w:rFonts w:hint="eastAsia" w:ascii="宋体" w:hAnsi="宋体"/>
                <w:szCs w:val="21"/>
                <w:lang w:eastAsia="zh-CN"/>
              </w:rPr>
              <w:t>。</w:t>
            </w:r>
          </w:p>
        </w:tc>
      </w:tr>
      <w:tr w14:paraId="767C83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5FB33229">
            <w:pPr>
              <w:spacing w:line="400" w:lineRule="exact"/>
              <w:jc w:val="center"/>
              <w:rPr>
                <w:rFonts w:ascii="宋体" w:hAnsi="宋体"/>
                <w:szCs w:val="21"/>
              </w:rPr>
            </w:pPr>
          </w:p>
        </w:tc>
        <w:tc>
          <w:tcPr>
            <w:tcW w:w="1943" w:type="dxa"/>
            <w:vMerge w:val="continue"/>
            <w:vAlign w:val="center"/>
          </w:tcPr>
          <w:p w14:paraId="1D6B621A">
            <w:pPr>
              <w:spacing w:line="400" w:lineRule="exact"/>
              <w:jc w:val="center"/>
              <w:rPr>
                <w:rFonts w:ascii="宋体" w:hAnsi="宋体"/>
                <w:szCs w:val="21"/>
              </w:rPr>
            </w:pPr>
          </w:p>
        </w:tc>
        <w:tc>
          <w:tcPr>
            <w:tcW w:w="6209" w:type="dxa"/>
            <w:vAlign w:val="center"/>
          </w:tcPr>
          <w:p w14:paraId="292B692E">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27</w:t>
            </w:r>
            <w:r>
              <w:rPr>
                <w:rFonts w:hint="eastAsia" w:ascii="宋体" w:hAnsi="宋体"/>
                <w:szCs w:val="21"/>
              </w:rPr>
              <w:t>有</w:t>
            </w:r>
            <w:r>
              <w:rPr>
                <w:rFonts w:hint="eastAsia" w:ascii="宋体" w:hAnsi="宋体"/>
                <w:szCs w:val="21"/>
                <w:lang w:val="en-US" w:eastAsia="zh-CN"/>
              </w:rPr>
              <w:t>多</w:t>
            </w:r>
            <w:r>
              <w:rPr>
                <w:rFonts w:hint="eastAsia" w:ascii="宋体" w:hAnsi="宋体"/>
                <w:szCs w:val="21"/>
              </w:rPr>
              <w:t>个有效报价。在招标文件没有规定的情况下，提交选择性报价。</w:t>
            </w:r>
          </w:p>
        </w:tc>
      </w:tr>
      <w:tr w14:paraId="14F21E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24A88E61">
            <w:pPr>
              <w:spacing w:line="400" w:lineRule="exact"/>
              <w:jc w:val="center"/>
              <w:rPr>
                <w:rFonts w:ascii="宋体" w:hAnsi="宋体"/>
                <w:szCs w:val="21"/>
              </w:rPr>
            </w:pPr>
          </w:p>
        </w:tc>
        <w:tc>
          <w:tcPr>
            <w:tcW w:w="1943" w:type="dxa"/>
            <w:vMerge w:val="continue"/>
            <w:vAlign w:val="center"/>
          </w:tcPr>
          <w:p w14:paraId="27679E2D">
            <w:pPr>
              <w:spacing w:line="400" w:lineRule="exact"/>
              <w:jc w:val="center"/>
              <w:rPr>
                <w:rFonts w:ascii="宋体" w:hAnsi="宋体"/>
                <w:szCs w:val="21"/>
              </w:rPr>
            </w:pPr>
          </w:p>
        </w:tc>
        <w:tc>
          <w:tcPr>
            <w:tcW w:w="6209" w:type="dxa"/>
            <w:vAlign w:val="center"/>
          </w:tcPr>
          <w:p w14:paraId="5F5F11BF">
            <w:pPr>
              <w:spacing w:line="400" w:lineRule="exact"/>
              <w:ind w:firstLine="420" w:firstLineChars="200"/>
              <w:rPr>
                <w:rFonts w:ascii="宋体" w:hAnsi="宋体"/>
                <w:i/>
                <w:szCs w:val="21"/>
              </w:rPr>
            </w:pPr>
            <w:r>
              <w:rPr>
                <w:rFonts w:hint="eastAsia" w:ascii="宋体" w:hAnsi="宋体"/>
                <w:szCs w:val="21"/>
              </w:rPr>
              <w:t>A-</w:t>
            </w:r>
            <w:r>
              <w:rPr>
                <w:rFonts w:hint="eastAsia" w:ascii="宋体" w:hAnsi="宋体"/>
                <w:szCs w:val="21"/>
                <w:lang w:val="en-US" w:eastAsia="zh-CN"/>
              </w:rPr>
              <w:t>28</w:t>
            </w:r>
            <w:r>
              <w:rPr>
                <w:rFonts w:hint="eastAsia" w:ascii="宋体" w:hAnsi="宋体"/>
                <w:szCs w:val="21"/>
              </w:rPr>
              <w:t>投标人</w:t>
            </w:r>
            <w:r>
              <w:rPr>
                <w:rFonts w:hint="eastAsia" w:ascii="宋体" w:hAnsi="宋体"/>
                <w:szCs w:val="21"/>
                <w:lang w:val="en-US" w:eastAsia="zh-CN"/>
              </w:rPr>
              <w:t>未</w:t>
            </w:r>
            <w:r>
              <w:rPr>
                <w:rFonts w:hint="eastAsia" w:ascii="宋体" w:hAnsi="宋体"/>
                <w:szCs w:val="21"/>
              </w:rPr>
              <w:t>按招标工程量清单填报价格。项目编码、项目名称、项目特征、计量单位、工程量与招标工程量清单</w:t>
            </w:r>
            <w:r>
              <w:rPr>
                <w:rFonts w:hint="eastAsia" w:ascii="宋体" w:hAnsi="宋体"/>
                <w:szCs w:val="21"/>
                <w:lang w:val="en-US" w:eastAsia="zh-CN"/>
              </w:rPr>
              <w:t>不</w:t>
            </w:r>
            <w:r>
              <w:rPr>
                <w:rFonts w:hint="eastAsia" w:ascii="宋体" w:hAnsi="宋体"/>
                <w:szCs w:val="21"/>
              </w:rPr>
              <w:t>一致。</w:t>
            </w:r>
          </w:p>
        </w:tc>
      </w:tr>
      <w:tr w14:paraId="44EB00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0E9803BE">
            <w:pPr>
              <w:spacing w:line="400" w:lineRule="exact"/>
              <w:jc w:val="center"/>
              <w:rPr>
                <w:rFonts w:ascii="宋体" w:hAnsi="宋体"/>
                <w:szCs w:val="21"/>
              </w:rPr>
            </w:pPr>
          </w:p>
        </w:tc>
        <w:tc>
          <w:tcPr>
            <w:tcW w:w="1943" w:type="dxa"/>
            <w:vMerge w:val="continue"/>
            <w:vAlign w:val="center"/>
          </w:tcPr>
          <w:p w14:paraId="001675D8">
            <w:pPr>
              <w:spacing w:line="400" w:lineRule="exact"/>
              <w:jc w:val="center"/>
              <w:rPr>
                <w:rFonts w:ascii="宋体" w:hAnsi="宋体"/>
                <w:szCs w:val="21"/>
              </w:rPr>
            </w:pPr>
          </w:p>
        </w:tc>
        <w:tc>
          <w:tcPr>
            <w:tcW w:w="6209" w:type="dxa"/>
            <w:vAlign w:val="center"/>
          </w:tcPr>
          <w:p w14:paraId="499BEDF1">
            <w:pPr>
              <w:spacing w:line="400" w:lineRule="exact"/>
              <w:ind w:firstLine="420" w:firstLineChars="200"/>
              <w:rPr>
                <w:rFonts w:ascii="宋体" w:hAnsi="宋体"/>
                <w:i/>
                <w:szCs w:val="21"/>
              </w:rPr>
            </w:pPr>
            <w:r>
              <w:rPr>
                <w:rFonts w:hint="eastAsia" w:ascii="宋体" w:hAnsi="宋体"/>
                <w:szCs w:val="21"/>
              </w:rPr>
              <w:t>A-</w:t>
            </w:r>
            <w:r>
              <w:rPr>
                <w:rFonts w:hint="eastAsia" w:ascii="宋体" w:hAnsi="宋体"/>
                <w:szCs w:val="21"/>
                <w:lang w:val="en-US" w:eastAsia="zh-CN"/>
              </w:rPr>
              <w:t>29</w:t>
            </w:r>
            <w:r>
              <w:rPr>
                <w:rFonts w:hint="eastAsia" w:ascii="宋体" w:hAnsi="宋体"/>
                <w:szCs w:val="21"/>
              </w:rPr>
              <w:t>投标人的</w:t>
            </w:r>
            <w:r>
              <w:rPr>
                <w:rFonts w:hint="eastAsia" w:ascii="宋体" w:hAnsi="宋体"/>
                <w:szCs w:val="21"/>
                <w:lang w:val="en-US" w:eastAsia="zh-CN"/>
              </w:rPr>
              <w:t>一项或多项</w:t>
            </w:r>
            <w:r>
              <w:rPr>
                <w:rFonts w:hint="eastAsia" w:ascii="宋体" w:hAnsi="宋体"/>
                <w:szCs w:val="21"/>
              </w:rPr>
              <w:t>清单综合单价报价超过</w:t>
            </w:r>
            <w:r>
              <w:rPr>
                <w:rFonts w:hint="eastAsia" w:ascii="宋体" w:hAnsi="宋体"/>
                <w:szCs w:val="21"/>
                <w:lang w:val="en-US" w:eastAsia="zh-CN"/>
              </w:rPr>
              <w:t>对应的</w:t>
            </w:r>
            <w:r>
              <w:rPr>
                <w:rFonts w:hint="eastAsia" w:ascii="宋体" w:hAnsi="宋体"/>
                <w:szCs w:val="21"/>
              </w:rPr>
              <w:t>清单综合单价最高限价。</w:t>
            </w:r>
          </w:p>
        </w:tc>
      </w:tr>
      <w:tr w14:paraId="1C533F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633FA38A">
            <w:pPr>
              <w:spacing w:line="400" w:lineRule="exact"/>
              <w:jc w:val="center"/>
              <w:rPr>
                <w:rFonts w:ascii="宋体" w:hAnsi="宋体"/>
                <w:szCs w:val="21"/>
              </w:rPr>
            </w:pPr>
          </w:p>
        </w:tc>
        <w:tc>
          <w:tcPr>
            <w:tcW w:w="1943" w:type="dxa"/>
            <w:vMerge w:val="continue"/>
            <w:vAlign w:val="center"/>
          </w:tcPr>
          <w:p w14:paraId="5EAC758C">
            <w:pPr>
              <w:spacing w:line="400" w:lineRule="exact"/>
              <w:jc w:val="center"/>
              <w:rPr>
                <w:rFonts w:ascii="宋体" w:hAnsi="宋体"/>
                <w:szCs w:val="21"/>
              </w:rPr>
            </w:pPr>
          </w:p>
        </w:tc>
        <w:tc>
          <w:tcPr>
            <w:tcW w:w="6209" w:type="dxa"/>
            <w:vAlign w:val="center"/>
          </w:tcPr>
          <w:p w14:paraId="3AC00C94">
            <w:pPr>
              <w:spacing w:line="400" w:lineRule="exact"/>
              <w:ind w:firstLine="420" w:firstLineChars="200"/>
              <w:rPr>
                <w:rFonts w:hint="eastAsia" w:ascii="宋体" w:hAnsi="宋体"/>
                <w:szCs w:val="21"/>
              </w:rPr>
            </w:pPr>
            <w:r>
              <w:rPr>
                <w:rFonts w:hint="eastAsia" w:ascii="宋体" w:hAnsi="宋体"/>
                <w:szCs w:val="21"/>
              </w:rPr>
              <w:t>A-</w:t>
            </w:r>
            <w:r>
              <w:rPr>
                <w:rFonts w:hint="eastAsia" w:ascii="宋体" w:hAnsi="宋体"/>
                <w:szCs w:val="21"/>
                <w:lang w:val="en-US" w:eastAsia="zh-CN"/>
              </w:rPr>
              <w:t>30</w:t>
            </w:r>
            <w:r>
              <w:rPr>
                <w:rFonts w:hint="default" w:ascii="宋体" w:hAnsi="宋体"/>
                <w:kern w:val="0"/>
                <w:szCs w:val="21"/>
                <w:u w:val="none"/>
              </w:rPr>
              <w:t>投标人的</w:t>
            </w:r>
            <w:r>
              <w:rPr>
                <w:rFonts w:hint="eastAsia" w:ascii="宋体" w:hAnsi="宋体"/>
                <w:kern w:val="0"/>
                <w:szCs w:val="21"/>
                <w:u w:val="none"/>
                <w:lang w:val="en-US" w:eastAsia="zh-CN"/>
              </w:rPr>
              <w:t>工程量清单单项报价为零报价（招标人提供的工程量清单单项最高限价中金额为零的除外）或者负数报价（如有）</w:t>
            </w:r>
            <w:r>
              <w:rPr>
                <w:rFonts w:hint="eastAsia" w:ascii="宋体" w:hAnsi="宋体"/>
                <w:szCs w:val="21"/>
                <w:lang w:eastAsia="zh-CN"/>
              </w:rPr>
              <w:t>。</w:t>
            </w:r>
          </w:p>
        </w:tc>
      </w:tr>
      <w:tr w14:paraId="561437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12635BB7">
            <w:pPr>
              <w:spacing w:line="400" w:lineRule="exact"/>
              <w:jc w:val="center"/>
              <w:rPr>
                <w:rFonts w:ascii="宋体" w:hAnsi="宋体"/>
                <w:szCs w:val="21"/>
              </w:rPr>
            </w:pPr>
          </w:p>
        </w:tc>
        <w:tc>
          <w:tcPr>
            <w:tcW w:w="1943" w:type="dxa"/>
            <w:vMerge w:val="continue"/>
            <w:vAlign w:val="center"/>
          </w:tcPr>
          <w:p w14:paraId="55E66D91">
            <w:pPr>
              <w:spacing w:line="400" w:lineRule="exact"/>
              <w:jc w:val="center"/>
              <w:rPr>
                <w:rFonts w:ascii="宋体" w:hAnsi="宋体"/>
                <w:szCs w:val="21"/>
              </w:rPr>
            </w:pPr>
          </w:p>
        </w:tc>
        <w:tc>
          <w:tcPr>
            <w:tcW w:w="6209" w:type="dxa"/>
            <w:vAlign w:val="center"/>
          </w:tcPr>
          <w:p w14:paraId="62F1EB99">
            <w:pPr>
              <w:spacing w:line="40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A-31</w:t>
            </w:r>
            <w:r>
              <w:rPr>
                <w:rFonts w:hint="eastAsia" w:ascii="宋体" w:hAnsi="宋体"/>
                <w:kern w:val="0"/>
                <w:szCs w:val="21"/>
                <w:u w:val="none"/>
                <w:lang w:val="en-US" w:eastAsia="zh-CN"/>
              </w:rPr>
              <w:t>投标人的工程量清单中有不平衡报价的，不符合第二章“投标人须知前附表”第3.2款关于不平衡报价的要求（如有）。</w:t>
            </w:r>
          </w:p>
        </w:tc>
      </w:tr>
      <w:tr w14:paraId="46D573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3A86C652">
            <w:pPr>
              <w:spacing w:line="400" w:lineRule="exact"/>
              <w:jc w:val="center"/>
              <w:rPr>
                <w:rFonts w:ascii="宋体" w:hAnsi="宋体"/>
                <w:szCs w:val="21"/>
              </w:rPr>
            </w:pPr>
          </w:p>
        </w:tc>
        <w:tc>
          <w:tcPr>
            <w:tcW w:w="1943" w:type="dxa"/>
            <w:vMerge w:val="continue"/>
            <w:vAlign w:val="center"/>
          </w:tcPr>
          <w:p w14:paraId="3F814253">
            <w:pPr>
              <w:spacing w:line="400" w:lineRule="exact"/>
              <w:jc w:val="center"/>
              <w:rPr>
                <w:rFonts w:ascii="宋体" w:hAnsi="宋体"/>
                <w:szCs w:val="21"/>
              </w:rPr>
            </w:pPr>
          </w:p>
        </w:tc>
        <w:tc>
          <w:tcPr>
            <w:tcW w:w="6209" w:type="dxa"/>
          </w:tcPr>
          <w:p w14:paraId="67F31CEB">
            <w:pPr>
              <w:spacing w:line="400" w:lineRule="exact"/>
              <w:ind w:firstLine="420" w:firstLineChars="200"/>
              <w:rPr>
                <w:rFonts w:ascii="宋体" w:hAnsi="宋体"/>
                <w:i/>
                <w:szCs w:val="21"/>
              </w:rPr>
            </w:pPr>
            <w:r>
              <w:rPr>
                <w:rFonts w:hint="eastAsia" w:ascii="宋体" w:hAnsi="宋体"/>
                <w:szCs w:val="21"/>
              </w:rPr>
              <w:t>A-</w:t>
            </w:r>
            <w:r>
              <w:rPr>
                <w:rFonts w:hint="eastAsia" w:ascii="宋体" w:hAnsi="宋体"/>
                <w:szCs w:val="21"/>
                <w:lang w:val="en-US" w:eastAsia="zh-CN"/>
              </w:rPr>
              <w:t>32</w:t>
            </w:r>
            <w:r>
              <w:rPr>
                <w:rFonts w:hint="eastAsia" w:ascii="宋体" w:hAnsi="宋体"/>
                <w:szCs w:val="21"/>
              </w:rPr>
              <w:t>投标报价有</w:t>
            </w:r>
            <w:r>
              <w:rPr>
                <w:rFonts w:hint="eastAsia" w:ascii="宋体" w:hAnsi="宋体"/>
                <w:szCs w:val="21"/>
                <w:lang w:val="en-US" w:eastAsia="zh-CN"/>
              </w:rPr>
              <w:t>大小写不一致</w:t>
            </w:r>
            <w:r>
              <w:rPr>
                <w:rFonts w:hint="eastAsia" w:ascii="宋体" w:hAnsi="宋体"/>
                <w:szCs w:val="21"/>
              </w:rPr>
              <w:t>的，</w:t>
            </w:r>
            <w:r>
              <w:rPr>
                <w:rFonts w:hint="eastAsia" w:ascii="宋体" w:hAnsi="宋体"/>
                <w:szCs w:val="21"/>
                <w:lang w:val="en-US" w:eastAsia="zh-CN"/>
              </w:rPr>
              <w:t>未</w:t>
            </w:r>
            <w:r>
              <w:rPr>
                <w:rFonts w:hint="eastAsia" w:ascii="宋体" w:hAnsi="宋体"/>
                <w:szCs w:val="21"/>
              </w:rPr>
              <w:t>按照第三章3.评标程序第3.1.</w:t>
            </w:r>
            <w:r>
              <w:rPr>
                <w:rFonts w:hint="eastAsia" w:ascii="宋体" w:hAnsi="宋体"/>
                <w:szCs w:val="21"/>
                <w:lang w:val="en-US" w:eastAsia="zh-CN"/>
              </w:rPr>
              <w:t>2</w:t>
            </w:r>
            <w:r>
              <w:rPr>
                <w:rFonts w:hint="eastAsia" w:ascii="宋体" w:hAnsi="宋体"/>
                <w:szCs w:val="21"/>
              </w:rPr>
              <w:t>项规定执行。</w:t>
            </w:r>
          </w:p>
        </w:tc>
      </w:tr>
      <w:tr w14:paraId="7CA815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Align w:val="center"/>
          </w:tcPr>
          <w:p w14:paraId="4FB1E70A">
            <w:pPr>
              <w:spacing w:line="400" w:lineRule="exact"/>
              <w:jc w:val="center"/>
              <w:rPr>
                <w:rFonts w:ascii="宋体" w:hAnsi="宋体"/>
                <w:szCs w:val="21"/>
              </w:rPr>
            </w:pPr>
            <w:r>
              <w:rPr>
                <w:rFonts w:ascii="宋体" w:hAnsi="宋体"/>
                <w:szCs w:val="21"/>
              </w:rPr>
              <w:t>其他</w:t>
            </w:r>
          </w:p>
        </w:tc>
        <w:tc>
          <w:tcPr>
            <w:tcW w:w="1943" w:type="dxa"/>
            <w:vAlign w:val="center"/>
          </w:tcPr>
          <w:p w14:paraId="3875C33E">
            <w:pPr>
              <w:spacing w:line="400" w:lineRule="exact"/>
              <w:jc w:val="center"/>
              <w:rPr>
                <w:rFonts w:ascii="宋体" w:hAnsi="宋体"/>
                <w:szCs w:val="21"/>
              </w:rPr>
            </w:pPr>
          </w:p>
        </w:tc>
        <w:tc>
          <w:tcPr>
            <w:tcW w:w="6209" w:type="dxa"/>
          </w:tcPr>
          <w:p w14:paraId="4A5E168C">
            <w:pPr>
              <w:spacing w:line="400" w:lineRule="exact"/>
              <w:ind w:firstLine="420" w:firstLineChars="200"/>
              <w:rPr>
                <w:rFonts w:hint="eastAsia" w:ascii="宋体" w:hAnsi="宋体" w:eastAsia="宋体"/>
                <w:i/>
                <w:szCs w:val="21"/>
                <w:lang w:val="en-US" w:eastAsia="zh-CN"/>
              </w:rPr>
            </w:pPr>
            <w:r>
              <w:rPr>
                <w:rFonts w:hint="eastAsia" w:ascii="宋体" w:hAnsi="宋体"/>
                <w:i w:val="0"/>
                <w:iCs/>
                <w:szCs w:val="21"/>
                <w:lang w:val="en-US" w:eastAsia="zh-CN"/>
              </w:rPr>
              <w:t>/</w:t>
            </w:r>
          </w:p>
        </w:tc>
      </w:tr>
    </w:tbl>
    <w:p w14:paraId="48E29243">
      <w:pPr>
        <w:pStyle w:val="33"/>
        <w:spacing w:line="360" w:lineRule="auto"/>
        <w:ind w:firstLine="420" w:firstLineChars="200"/>
        <w:jc w:val="both"/>
        <w:rPr>
          <w:rFonts w:ascii="宋体" w:hAnsi="宋体"/>
          <w:sz w:val="21"/>
          <w:szCs w:val="21"/>
          <w:u w:val="none"/>
          <w:lang w:eastAsia="zh-CN"/>
        </w:rPr>
      </w:pPr>
    </w:p>
    <w:p w14:paraId="178E055A">
      <w:pPr>
        <w:autoSpaceDE w:val="0"/>
        <w:autoSpaceDN w:val="0"/>
        <w:adjustRightInd w:val="0"/>
        <w:snapToGrid w:val="0"/>
        <w:spacing w:line="360" w:lineRule="auto"/>
        <w:jc w:val="left"/>
        <w:rPr>
          <w:rFonts w:ascii="宋体" w:hAnsi="宋体"/>
          <w:b/>
          <w:kern w:val="0"/>
          <w:sz w:val="20"/>
          <w:szCs w:val="20"/>
        </w:rPr>
      </w:pPr>
    </w:p>
    <w:p w14:paraId="1BBF79C0">
      <w:pPr>
        <w:autoSpaceDE w:val="0"/>
        <w:autoSpaceDN w:val="0"/>
        <w:adjustRightInd w:val="0"/>
        <w:snapToGrid w:val="0"/>
        <w:spacing w:before="340" w:after="330" w:line="360" w:lineRule="auto"/>
        <w:jc w:val="left"/>
        <w:rPr>
          <w:rFonts w:ascii="宋体" w:hAnsi="宋体"/>
          <w:kern w:val="0"/>
          <w:sz w:val="52"/>
          <w:szCs w:val="52"/>
        </w:rPr>
      </w:pPr>
      <w:r>
        <w:rPr>
          <w:rFonts w:ascii="宋体" w:hAnsi="宋体"/>
          <w:kern w:val="0"/>
        </w:rPr>
        <w:br w:type="page"/>
      </w:r>
    </w:p>
    <w:p w14:paraId="7BEA69B0">
      <w:pPr>
        <w:pStyle w:val="3"/>
        <w:spacing w:line="360" w:lineRule="auto"/>
        <w:jc w:val="center"/>
        <w:rPr>
          <w:rFonts w:ascii="宋体" w:hAnsi="宋体"/>
          <w:kern w:val="0"/>
        </w:rPr>
      </w:pPr>
      <w:bookmarkStart w:id="663" w:name="_Toc11656"/>
      <w:bookmarkStart w:id="664" w:name="_Toc16689"/>
      <w:bookmarkStart w:id="665" w:name="_Toc430530509"/>
      <w:bookmarkStart w:id="666" w:name="_Toc509218785"/>
      <w:r>
        <w:rPr>
          <w:rFonts w:hint="eastAsia" w:ascii="宋体" w:hAnsi="宋体"/>
          <w:kern w:val="0"/>
        </w:rPr>
        <w:t>第四章  合同条款及格式</w:t>
      </w:r>
      <w:bookmarkEnd w:id="663"/>
      <w:bookmarkEnd w:id="664"/>
      <w:bookmarkEnd w:id="665"/>
      <w:bookmarkEnd w:id="666"/>
    </w:p>
    <w:p w14:paraId="0E1C8F56">
      <w:pPr>
        <w:rPr>
          <w:rFonts w:ascii="宋体" w:hAnsi="宋体"/>
          <w:sz w:val="44"/>
          <w:szCs w:val="44"/>
        </w:rPr>
      </w:pPr>
      <w:r>
        <w:rPr>
          <w:rFonts w:ascii="宋体" w:hAnsi="宋体"/>
        </w:rPr>
        <w:br w:type="page"/>
      </w:r>
      <w:bookmarkStart w:id="667" w:name="_Toc296890982"/>
      <w:bookmarkStart w:id="668" w:name="_Toc351203480"/>
      <w:bookmarkStart w:id="669" w:name="_Toc296503025"/>
    </w:p>
    <w:p w14:paraId="3136F1A2">
      <w:pPr>
        <w:spacing w:line="360" w:lineRule="auto"/>
        <w:jc w:val="center"/>
        <w:rPr>
          <w:rFonts w:ascii="宋体" w:hAnsi="宋体"/>
          <w:sz w:val="44"/>
          <w:szCs w:val="44"/>
        </w:rPr>
      </w:pPr>
      <w:r>
        <w:rPr>
          <w:rFonts w:hint="eastAsia" w:ascii="宋体" w:hAnsi="宋体"/>
          <w:sz w:val="44"/>
          <w:szCs w:val="44"/>
        </w:rPr>
        <w:t>第一部分 合同协议书</w:t>
      </w:r>
    </w:p>
    <w:p w14:paraId="1CC86D38">
      <w:pPr>
        <w:pStyle w:val="123"/>
        <w:snapToGrid w:val="0"/>
        <w:spacing w:before="0" w:line="360" w:lineRule="auto"/>
        <w:ind w:firstLine="560" w:firstLineChars="200"/>
        <w:rPr>
          <w:rFonts w:ascii="宋体" w:hAnsi="宋体"/>
          <w:color w:val="auto"/>
        </w:rPr>
      </w:pPr>
    </w:p>
    <w:p w14:paraId="59BBDDBE">
      <w:pPr>
        <w:spacing w:line="360" w:lineRule="auto"/>
        <w:ind w:firstLine="420" w:firstLineChars="200"/>
        <w:rPr>
          <w:rFonts w:ascii="宋体" w:hAnsi="宋体"/>
          <w:bCs/>
          <w:i/>
          <w:szCs w:val="21"/>
        </w:rPr>
      </w:pPr>
      <w:r>
        <w:rPr>
          <w:rFonts w:hint="eastAsia" w:ascii="宋体" w:hAnsi="宋体"/>
          <w:bCs/>
          <w:i/>
          <w:szCs w:val="21"/>
        </w:rPr>
        <w:t>[提示：合同协议书为示范性内容，招标人在编制招标文件时不必填写，供中标后签订合同时填写。]</w:t>
      </w:r>
    </w:p>
    <w:p w14:paraId="02E46BDB">
      <w:pPr>
        <w:rPr>
          <w:rFonts w:ascii="宋体" w:hAnsi="宋体"/>
          <w:b/>
        </w:rPr>
      </w:pPr>
      <w:r>
        <w:rPr>
          <w:rFonts w:ascii="宋体" w:hAnsi="宋体"/>
        </w:rPr>
        <w:br w:type="page"/>
      </w:r>
    </w:p>
    <w:p w14:paraId="134E8ADC">
      <w:pPr>
        <w:pStyle w:val="5"/>
        <w:jc w:val="center"/>
        <w:rPr>
          <w:rFonts w:ascii="宋体" w:hAnsi="宋体"/>
          <w:b w:val="0"/>
          <w:sz w:val="44"/>
          <w:szCs w:val="44"/>
        </w:rPr>
      </w:pPr>
      <w:bookmarkStart w:id="670" w:name="_Toc11406"/>
      <w:bookmarkStart w:id="671" w:name="_Toc509218786"/>
      <w:bookmarkStart w:id="672" w:name="_Toc534185765"/>
      <w:bookmarkStart w:id="673" w:name="_Toc26489"/>
      <w:bookmarkStart w:id="674" w:name="_Toc351203494"/>
      <w:bookmarkStart w:id="675" w:name="_Toc351203632"/>
      <w:r>
        <w:rPr>
          <w:rFonts w:ascii="宋体" w:hAnsi="宋体"/>
          <w:sz w:val="44"/>
          <w:szCs w:val="44"/>
        </w:rPr>
        <w:t>第一部分 合同协议书</w:t>
      </w:r>
      <w:bookmarkEnd w:id="670"/>
      <w:bookmarkEnd w:id="671"/>
      <w:bookmarkEnd w:id="672"/>
      <w:bookmarkEnd w:id="673"/>
    </w:p>
    <w:bookmarkEnd w:id="674"/>
    <w:p w14:paraId="3F996826">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25DD8A00">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4295E3B2">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
          <w:szCs w:val="21"/>
          <w:u w:val="single"/>
        </w:rPr>
      </w:pPr>
      <w:r>
        <w:rPr>
          <w:rFonts w:hint="eastAsia" w:ascii="宋体" w:hAnsi="宋体"/>
          <w:szCs w:val="21"/>
        </w:rPr>
        <w:t>根据《中华人民共和国民法典》、《中华人民共和国建筑法》及有关法律、法规规定，遵循平等、自愿、公平和诚实信用的原则，双方就</w:t>
      </w:r>
      <w:r>
        <w:rPr>
          <w:rFonts w:hint="eastAsia" w:ascii="宋体" w:hAnsi="宋体"/>
          <w:szCs w:val="21"/>
          <w:u w:val="single"/>
        </w:rPr>
        <w:t xml:space="preserve">                           </w:t>
      </w:r>
      <w:r>
        <w:rPr>
          <w:rFonts w:hint="eastAsia" w:ascii="宋体" w:hAnsi="宋体"/>
          <w:szCs w:val="21"/>
        </w:rPr>
        <w:t>工程施工及有关事项协商一致，共同达成如下协议：</w:t>
      </w:r>
    </w:p>
    <w:p w14:paraId="7202E113">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676" w:name="_Toc351203481"/>
      <w:bookmarkStart w:id="677" w:name="_Toc532375573"/>
      <w:bookmarkStart w:id="678" w:name="_Toc532377166"/>
      <w:r>
        <w:rPr>
          <w:rFonts w:hint="eastAsia"/>
          <w:kern w:val="2"/>
          <w:sz w:val="21"/>
          <w:szCs w:val="21"/>
        </w:rPr>
        <w:t>一、工程概况</w:t>
      </w:r>
      <w:bookmarkEnd w:id="676"/>
      <w:bookmarkEnd w:id="677"/>
      <w:bookmarkEnd w:id="678"/>
    </w:p>
    <w:p w14:paraId="0A41F0A4">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szCs w:val="21"/>
          <w:u w:val="single"/>
        </w:rPr>
      </w:pPr>
      <w:r>
        <w:rPr>
          <w:rFonts w:hint="eastAsia" w:ascii="宋体" w:hAnsi="宋体"/>
          <w:bCs/>
          <w:szCs w:val="21"/>
        </w:rPr>
        <w:t>1.工程名称</w:t>
      </w:r>
      <w:r>
        <w:rPr>
          <w:rFonts w:hint="eastAsia" w:ascii="宋体" w:hAnsi="宋体"/>
          <w:szCs w:val="21"/>
        </w:rPr>
        <w:t>：</w:t>
      </w:r>
      <w:r>
        <w:rPr>
          <w:rFonts w:hint="eastAsia" w:ascii="宋体" w:hAnsi="宋体"/>
          <w:szCs w:val="21"/>
          <w:u w:val="single"/>
        </w:rPr>
        <w:t xml:space="preserve">                                 </w:t>
      </w:r>
      <w:r>
        <w:rPr>
          <w:rFonts w:hint="eastAsia" w:ascii="宋体" w:hAnsi="宋体"/>
          <w:szCs w:val="21"/>
        </w:rPr>
        <w:t>。</w:t>
      </w:r>
    </w:p>
    <w:p w14:paraId="61D4358D">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bCs/>
          <w:szCs w:val="21"/>
        </w:rPr>
      </w:pPr>
      <w:r>
        <w:rPr>
          <w:rFonts w:hint="eastAsia" w:ascii="宋体" w:hAnsi="宋体"/>
          <w:bCs/>
          <w:szCs w:val="21"/>
        </w:rPr>
        <w:t>2.工程地点：</w:t>
      </w:r>
      <w:r>
        <w:rPr>
          <w:rFonts w:hint="eastAsia" w:ascii="宋体" w:hAnsi="宋体"/>
          <w:szCs w:val="21"/>
          <w:u w:val="single"/>
        </w:rPr>
        <w:t xml:space="preserve">                                 </w:t>
      </w:r>
      <w:r>
        <w:rPr>
          <w:rFonts w:hint="eastAsia" w:ascii="宋体" w:hAnsi="宋体"/>
          <w:szCs w:val="21"/>
        </w:rPr>
        <w:t>。</w:t>
      </w:r>
    </w:p>
    <w:p w14:paraId="745B2FFE">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bCs/>
          <w:szCs w:val="21"/>
        </w:rPr>
      </w:pPr>
      <w:r>
        <w:rPr>
          <w:rFonts w:hint="eastAsia" w:ascii="宋体" w:hAnsi="宋体"/>
          <w:bCs/>
          <w:szCs w:val="21"/>
        </w:rPr>
        <w:t>3.工程立项批准文号：</w:t>
      </w:r>
      <w:r>
        <w:rPr>
          <w:rFonts w:hint="eastAsia" w:ascii="宋体" w:hAnsi="宋体"/>
          <w:szCs w:val="21"/>
          <w:u w:val="single"/>
        </w:rPr>
        <w:t xml:space="preserve">                        </w:t>
      </w:r>
      <w:r>
        <w:rPr>
          <w:rFonts w:hint="eastAsia" w:ascii="宋体" w:hAnsi="宋体"/>
          <w:bCs/>
          <w:szCs w:val="21"/>
        </w:rPr>
        <w:t>。</w:t>
      </w:r>
    </w:p>
    <w:p w14:paraId="35243BE5">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bCs/>
          <w:szCs w:val="21"/>
        </w:rPr>
      </w:pPr>
      <w:r>
        <w:rPr>
          <w:rFonts w:hint="eastAsia" w:ascii="宋体" w:hAnsi="宋体"/>
          <w:bCs/>
          <w:szCs w:val="21"/>
        </w:rPr>
        <w:t>4.资金来源：</w:t>
      </w:r>
      <w:r>
        <w:rPr>
          <w:rFonts w:hint="eastAsia" w:ascii="宋体" w:hAnsi="宋体"/>
          <w:szCs w:val="21"/>
          <w:u w:val="single"/>
        </w:rPr>
        <w:t xml:space="preserve">                                 </w:t>
      </w:r>
      <w:r>
        <w:rPr>
          <w:rFonts w:hint="eastAsia" w:ascii="宋体" w:hAnsi="宋体"/>
          <w:szCs w:val="21"/>
        </w:rPr>
        <w:t>。</w:t>
      </w:r>
    </w:p>
    <w:p w14:paraId="63AB2F77">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hint="eastAsia" w:ascii="宋体" w:hAnsi="宋体"/>
          <w:szCs w:val="21"/>
        </w:rPr>
      </w:pPr>
      <w:r>
        <w:rPr>
          <w:rFonts w:hint="eastAsia" w:ascii="宋体" w:hAnsi="宋体"/>
          <w:bCs/>
          <w:szCs w:val="21"/>
        </w:rPr>
        <w:t>5.工程内容：</w:t>
      </w:r>
      <w:r>
        <w:rPr>
          <w:rFonts w:hint="eastAsia" w:ascii="宋体" w:hAnsi="宋体"/>
          <w:szCs w:val="21"/>
          <w:u w:val="single"/>
        </w:rPr>
        <w:t xml:space="preserve">                                 </w:t>
      </w:r>
      <w:r>
        <w:rPr>
          <w:rFonts w:hint="eastAsia" w:ascii="宋体" w:hAnsi="宋体"/>
          <w:szCs w:val="21"/>
        </w:rPr>
        <w:t>。</w:t>
      </w:r>
    </w:p>
    <w:p w14:paraId="61484BE2">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bCs/>
          <w:szCs w:val="21"/>
        </w:rPr>
      </w:pPr>
      <w:r>
        <w:rPr>
          <w:rFonts w:hint="eastAsia" w:ascii="宋体" w:hAnsi="宋体"/>
          <w:szCs w:val="21"/>
        </w:rPr>
        <w:t>群体工程应附《承包人承揽工程项目一览表》（附件1）。</w:t>
      </w:r>
    </w:p>
    <w:p w14:paraId="6A1DED32">
      <w:pPr>
        <w:pageBreakBefore w:val="0"/>
        <w:kinsoku/>
        <w:wordWrap/>
        <w:overflowPunct/>
        <w:topLinePunct w:val="0"/>
        <w:autoSpaceDE/>
        <w:autoSpaceDN/>
        <w:bidi w:val="0"/>
        <w:snapToGrid w:val="0"/>
        <w:spacing w:beforeAutospacing="0" w:afterAutospacing="0" w:line="360" w:lineRule="auto"/>
        <w:ind w:firstLine="420" w:firstLineChars="200"/>
        <w:jc w:val="left"/>
        <w:textAlignment w:val="auto"/>
        <w:rPr>
          <w:rFonts w:ascii="宋体" w:hAnsi="宋体"/>
          <w:bCs/>
          <w:szCs w:val="21"/>
        </w:rPr>
      </w:pPr>
      <w:r>
        <w:rPr>
          <w:rFonts w:hint="eastAsia" w:ascii="宋体" w:hAnsi="宋体"/>
          <w:bCs/>
          <w:szCs w:val="21"/>
        </w:rPr>
        <w:t>6.工程承包范围：</w:t>
      </w:r>
      <w:r>
        <w:rPr>
          <w:rFonts w:hint="eastAsia" w:ascii="宋体" w:hAnsi="宋体"/>
          <w:szCs w:val="21"/>
          <w:u w:val="single"/>
        </w:rPr>
        <w:t xml:space="preserve">                     </w:t>
      </w:r>
      <w:r>
        <w:rPr>
          <w:rFonts w:hint="eastAsia" w:ascii="宋体" w:hAnsi="宋体"/>
          <w:szCs w:val="21"/>
        </w:rPr>
        <w:t>。</w:t>
      </w:r>
    </w:p>
    <w:p w14:paraId="40732974">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679" w:name="_Toc532377167"/>
      <w:bookmarkStart w:id="680" w:name="_Toc351203482"/>
      <w:bookmarkStart w:id="681" w:name="_Toc532375574"/>
      <w:r>
        <w:rPr>
          <w:rFonts w:hint="eastAsia"/>
          <w:kern w:val="2"/>
          <w:sz w:val="21"/>
          <w:szCs w:val="21"/>
        </w:rPr>
        <w:t>二、合同工期</w:t>
      </w:r>
      <w:bookmarkEnd w:id="679"/>
      <w:bookmarkEnd w:id="680"/>
      <w:bookmarkEnd w:id="681"/>
    </w:p>
    <w:p w14:paraId="00EDBE69">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szCs w:val="21"/>
        </w:rPr>
      </w:pPr>
      <w:r>
        <w:rPr>
          <w:rFonts w:hint="eastAsia" w:ascii="宋体" w:hAnsi="宋体"/>
          <w:bCs/>
          <w:szCs w:val="21"/>
        </w:rPr>
        <w:t>计划开工日期：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w:t>
      </w:r>
    </w:p>
    <w:p w14:paraId="78FC9B5E">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szCs w:val="21"/>
        </w:rPr>
      </w:pPr>
      <w:r>
        <w:rPr>
          <w:rFonts w:hint="eastAsia" w:ascii="宋体" w:hAnsi="宋体"/>
          <w:bCs/>
          <w:szCs w:val="21"/>
        </w:rPr>
        <w:t>计划竣工日期：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w:t>
      </w:r>
    </w:p>
    <w:p w14:paraId="2D8C6B16">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rPr>
      </w:pPr>
      <w:r>
        <w:rPr>
          <w:rFonts w:hint="eastAsia" w:ascii="宋体" w:hAnsi="宋体"/>
          <w:bCs/>
          <w:szCs w:val="21"/>
        </w:rPr>
        <w:t>工期总日历天数</w:t>
      </w:r>
      <w:r>
        <w:rPr>
          <w:rFonts w:hint="eastAsia" w:ascii="宋体" w:hAnsi="宋体"/>
          <w:bCs/>
          <w:szCs w:val="21"/>
          <w:u w:val="single"/>
        </w:rPr>
        <w:t></w:t>
      </w:r>
      <w:r>
        <w:rPr>
          <w:rFonts w:hint="eastAsia" w:ascii="宋体" w:hAnsi="宋体"/>
          <w:bCs/>
          <w:szCs w:val="21"/>
        </w:rPr>
        <w:t>天。工期总日历天数与根据前述计划开竣工日期计算的工期天数不一</w:t>
      </w:r>
      <w:r>
        <w:rPr>
          <w:rFonts w:hint="eastAsia" w:ascii="宋体" w:hAnsi="宋体"/>
          <w:szCs w:val="21"/>
        </w:rPr>
        <w:t>致的，以工期总日历天数为准。</w:t>
      </w:r>
    </w:p>
    <w:p w14:paraId="058FE677">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682" w:name="_Toc351203483"/>
      <w:bookmarkStart w:id="683" w:name="_Toc532375575"/>
      <w:bookmarkStart w:id="684" w:name="_Toc532377168"/>
      <w:r>
        <w:rPr>
          <w:rFonts w:hint="eastAsia"/>
          <w:kern w:val="2"/>
          <w:sz w:val="21"/>
          <w:szCs w:val="21"/>
        </w:rPr>
        <w:t>三、质量标准</w:t>
      </w:r>
      <w:bookmarkEnd w:id="682"/>
      <w:bookmarkEnd w:id="683"/>
      <w:bookmarkEnd w:id="684"/>
    </w:p>
    <w:p w14:paraId="3B33918F">
      <w:pPr>
        <w:pageBreakBefore w:val="0"/>
        <w:kinsoku/>
        <w:wordWrap/>
        <w:overflowPunct/>
        <w:topLinePunct w:val="0"/>
        <w:autoSpaceDE/>
        <w:autoSpaceDN/>
        <w:bidi w:val="0"/>
        <w:snapToGrid w:val="0"/>
        <w:spacing w:beforeAutospacing="0" w:afterAutospacing="0" w:line="360" w:lineRule="auto"/>
        <w:ind w:firstLine="420" w:firstLineChars="200"/>
        <w:textAlignment w:val="auto"/>
        <w:rPr>
          <w:rFonts w:ascii="宋体" w:hAnsi="宋体"/>
          <w:szCs w:val="21"/>
        </w:rPr>
      </w:pPr>
      <w:r>
        <w:rPr>
          <w:rFonts w:hint="eastAsia" w:ascii="宋体" w:hAnsi="宋体"/>
          <w:szCs w:val="21"/>
        </w:rPr>
        <w:t>工程质量符合</w:t>
      </w:r>
      <w:r>
        <w:rPr>
          <w:rFonts w:hint="eastAsia" w:ascii="宋体" w:hAnsi="宋体"/>
          <w:szCs w:val="21"/>
          <w:u w:val="single"/>
          <w:lang w:val="en-US" w:eastAsia="zh-CN"/>
        </w:rPr>
        <w:t xml:space="preserve">            </w:t>
      </w:r>
      <w:r>
        <w:rPr>
          <w:rFonts w:hint="eastAsia" w:ascii="宋体" w:hAnsi="宋体"/>
          <w:szCs w:val="21"/>
        </w:rPr>
        <w:t>标准。</w:t>
      </w:r>
    </w:p>
    <w:p w14:paraId="4D399DBC">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685" w:name="_Toc351203484"/>
      <w:bookmarkStart w:id="686" w:name="_Toc532377169"/>
      <w:bookmarkStart w:id="687" w:name="_Toc532375576"/>
      <w:r>
        <w:rPr>
          <w:rFonts w:hint="eastAsia"/>
          <w:kern w:val="2"/>
          <w:sz w:val="21"/>
          <w:szCs w:val="21"/>
        </w:rPr>
        <w:t>四、签约合同价与合同价格形式</w:t>
      </w:r>
      <w:bookmarkEnd w:id="685"/>
      <w:bookmarkEnd w:id="686"/>
      <w:bookmarkEnd w:id="687"/>
      <w:r>
        <w:rPr>
          <w:rFonts w:hint="eastAsia"/>
          <w:kern w:val="2"/>
          <w:sz w:val="21"/>
          <w:szCs w:val="21"/>
        </w:rPr>
        <w:tab/>
      </w:r>
    </w:p>
    <w:p w14:paraId="20718432">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szCs w:val="21"/>
        </w:rPr>
      </w:pPr>
      <w:r>
        <w:rPr>
          <w:rFonts w:hint="eastAsia" w:ascii="宋体" w:hAnsi="宋体"/>
          <w:szCs w:val="21"/>
        </w:rPr>
        <w:t>1.签约合同价为：</w:t>
      </w:r>
    </w:p>
    <w:p w14:paraId="54671F8C">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14:paraId="21E8137C">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20" w:firstLineChars="200"/>
        <w:textAlignment w:val="auto"/>
        <w:rPr>
          <w:rFonts w:ascii="宋体" w:hAnsi="宋体"/>
          <w:szCs w:val="21"/>
        </w:rPr>
      </w:pPr>
      <w:r>
        <w:rPr>
          <w:rFonts w:hint="eastAsia" w:ascii="宋体" w:hAnsi="宋体"/>
          <w:szCs w:val="21"/>
        </w:rPr>
        <w:t>其中：</w:t>
      </w:r>
    </w:p>
    <w:p w14:paraId="0D1CBEA8">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szCs w:val="21"/>
        </w:rPr>
      </w:pPr>
      <w:r>
        <w:rPr>
          <w:rFonts w:hint="eastAsia" w:ascii="宋体" w:hAnsi="宋体"/>
          <w:szCs w:val="21"/>
        </w:rPr>
        <w:t>（1）安全文明施工费：</w:t>
      </w:r>
    </w:p>
    <w:p w14:paraId="45D5715A">
      <w:pPr>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7469137B">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rPr>
      </w:pPr>
      <w:r>
        <w:rPr>
          <w:rFonts w:hint="eastAsia" w:ascii="宋体" w:hAnsi="宋体"/>
          <w:szCs w:val="21"/>
        </w:rPr>
        <w:t>（2）材料和工程设备暂估价金额：</w:t>
      </w:r>
    </w:p>
    <w:p w14:paraId="2C72319F">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0FBD49D3">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rPr>
      </w:pPr>
      <w:r>
        <w:rPr>
          <w:rFonts w:hint="eastAsia" w:ascii="宋体" w:hAnsi="宋体"/>
          <w:szCs w:val="21"/>
        </w:rPr>
        <w:t>（3）专业工程暂估价金额：</w:t>
      </w:r>
    </w:p>
    <w:p w14:paraId="600A7B6F">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6FC05F2E">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rPr>
      </w:pPr>
      <w:r>
        <w:rPr>
          <w:rFonts w:hint="eastAsia" w:ascii="宋体" w:hAnsi="宋体"/>
          <w:szCs w:val="21"/>
        </w:rPr>
        <w:t>（4）暂列金额：</w:t>
      </w:r>
    </w:p>
    <w:p w14:paraId="02492DB6">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6118B55B">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rPr>
      </w:pPr>
      <w:r>
        <w:rPr>
          <w:rFonts w:hint="eastAsia" w:ascii="宋体" w:hAnsi="宋体"/>
          <w:szCs w:val="21"/>
          <w:lang w:val="en-US" w:eastAsia="zh-CN"/>
        </w:rPr>
        <w:t>2</w:t>
      </w:r>
      <w:r>
        <w:rPr>
          <w:rFonts w:hint="eastAsia" w:ascii="宋体" w:hAnsi="宋体"/>
          <w:szCs w:val="21"/>
        </w:rPr>
        <w:t>.合同价格形式：</w:t>
      </w:r>
      <w:r>
        <w:rPr>
          <w:rFonts w:ascii="宋体" w:hAnsi="宋体"/>
          <w:szCs w:val="21"/>
          <w:u w:val="single"/>
        </w:rPr>
        <w:t xml:space="preserve">              </w:t>
      </w:r>
      <w:r>
        <w:rPr>
          <w:rFonts w:hint="eastAsia" w:ascii="宋体" w:hAnsi="宋体"/>
          <w:szCs w:val="21"/>
        </w:rPr>
        <w:t>。</w:t>
      </w:r>
    </w:p>
    <w:p w14:paraId="019E9618">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688" w:name="_Toc351203485"/>
      <w:bookmarkStart w:id="689" w:name="_Toc532375577"/>
      <w:bookmarkStart w:id="690" w:name="_Toc532377170"/>
      <w:r>
        <w:rPr>
          <w:rFonts w:hint="eastAsia"/>
          <w:kern w:val="2"/>
          <w:sz w:val="21"/>
          <w:szCs w:val="21"/>
        </w:rPr>
        <w:t>五、</w:t>
      </w:r>
      <w:bookmarkEnd w:id="688"/>
      <w:r>
        <w:rPr>
          <w:rFonts w:hint="eastAsia"/>
          <w:kern w:val="2"/>
          <w:sz w:val="21"/>
          <w:szCs w:val="21"/>
        </w:rPr>
        <w:t>项目经理</w:t>
      </w:r>
      <w:bookmarkEnd w:id="689"/>
      <w:bookmarkEnd w:id="690"/>
    </w:p>
    <w:p w14:paraId="3E282AD3">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rPr>
      </w:pPr>
      <w:r>
        <w:rPr>
          <w:rFonts w:hint="eastAsia" w:ascii="宋体" w:hAnsi="宋体"/>
          <w:szCs w:val="21"/>
        </w:rPr>
        <w:t>承包人项目经理：</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71B33C6B">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691" w:name="_Toc532377171"/>
      <w:bookmarkStart w:id="692" w:name="_Toc532375578"/>
      <w:bookmarkStart w:id="693" w:name="_Toc351203486"/>
      <w:r>
        <w:rPr>
          <w:rFonts w:hint="eastAsia"/>
          <w:kern w:val="2"/>
          <w:sz w:val="21"/>
          <w:szCs w:val="21"/>
        </w:rPr>
        <w:t>六、合同文件构成</w:t>
      </w:r>
      <w:bookmarkEnd w:id="691"/>
      <w:bookmarkEnd w:id="692"/>
      <w:bookmarkEnd w:id="693"/>
    </w:p>
    <w:p w14:paraId="30174A3B">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本协议书与下列文件一起构成合同文件：</w:t>
      </w:r>
    </w:p>
    <w:p w14:paraId="61C96FB4">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（1）中标通知书（如果有）；</w:t>
      </w:r>
    </w:p>
    <w:p w14:paraId="754A376B">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 xml:space="preserve">（2）投标函及其附录（如果有）； </w:t>
      </w:r>
    </w:p>
    <w:p w14:paraId="407EE530">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（3）专用合同条款及其附件；</w:t>
      </w:r>
    </w:p>
    <w:p w14:paraId="0BF6875C">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（4）通用合同条款；</w:t>
      </w:r>
    </w:p>
    <w:p w14:paraId="0D86DB61">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（5）技术标准和要求；</w:t>
      </w:r>
    </w:p>
    <w:p w14:paraId="6856822D">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（6）图纸；</w:t>
      </w:r>
    </w:p>
    <w:p w14:paraId="43F2C5BB">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（7）已标价工程量清单或预算书；</w:t>
      </w:r>
    </w:p>
    <w:p w14:paraId="59A80B5D">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（8）其他合同文件。</w:t>
      </w:r>
    </w:p>
    <w:p w14:paraId="56338EC6">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在合同订立及履行过程中形成的与合同有关的文件均构成合同文件组成部分。</w:t>
      </w:r>
    </w:p>
    <w:p w14:paraId="434A317C">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rPr>
      </w:pPr>
      <w:r>
        <w:rPr>
          <w:rFonts w:hint="eastAsia" w:ascii="宋体" w:hAnsi="宋体"/>
          <w:bCs/>
          <w:szCs w:val="21"/>
        </w:rPr>
        <w:t>上述各项合同文件包括合同当事人就该项合同文件所作出的补充和修改，属于同一类内容的文件，应以最新签署的为准。专用合同条款及其附件须经合同当事人</w:t>
      </w:r>
      <w:r>
        <w:rPr>
          <w:rFonts w:hint="eastAsia" w:ascii="宋体" w:hAnsi="宋体"/>
          <w:bCs/>
          <w:szCs w:val="21"/>
          <w:lang w:eastAsia="zh-CN"/>
        </w:rPr>
        <w:t>签名</w:t>
      </w:r>
      <w:r>
        <w:rPr>
          <w:rFonts w:hint="eastAsia" w:ascii="宋体" w:hAnsi="宋体"/>
          <w:bCs/>
          <w:szCs w:val="21"/>
        </w:rPr>
        <w:t>或盖章。</w:t>
      </w:r>
    </w:p>
    <w:p w14:paraId="023AA74F">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694" w:name="_Toc532377172"/>
      <w:bookmarkStart w:id="695" w:name="_Toc351203487"/>
      <w:bookmarkStart w:id="696" w:name="_Toc532375579"/>
      <w:r>
        <w:rPr>
          <w:rFonts w:hint="eastAsia"/>
          <w:kern w:val="2"/>
          <w:sz w:val="21"/>
          <w:szCs w:val="21"/>
        </w:rPr>
        <w:t>七、承诺</w:t>
      </w:r>
      <w:bookmarkEnd w:id="694"/>
      <w:bookmarkEnd w:id="695"/>
      <w:bookmarkEnd w:id="696"/>
    </w:p>
    <w:p w14:paraId="73805A70">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1.发包人承诺按照法律规定履行项目审批手续、筹集工程建设资金并按照合同约定的期限和方式支付合同价款。</w:t>
      </w:r>
    </w:p>
    <w:p w14:paraId="2EE4A2BE">
      <w:pPr>
        <w:pageBreakBefore w:val="0"/>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bCs/>
          <w:szCs w:val="21"/>
        </w:rPr>
      </w:pPr>
      <w:r>
        <w:rPr>
          <w:rFonts w:hint="eastAsia" w:ascii="宋体" w:hAnsi="宋体"/>
          <w:bCs/>
          <w:szCs w:val="21"/>
        </w:rPr>
        <w:t>2.承包人承诺按照法律规定及合同约定组织完成工程施工，确保工程质量和安全，不进行转包及违法分包，并在缺陷责任期及保修期内承担相应的工程维修责任。</w:t>
      </w:r>
    </w:p>
    <w:p w14:paraId="7259408E">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szCs w:val="21"/>
        </w:rPr>
      </w:pPr>
      <w:r>
        <w:rPr>
          <w:rFonts w:hint="eastAsia" w:ascii="宋体" w:hAnsi="宋体"/>
          <w:bCs/>
          <w:szCs w:val="21"/>
        </w:rPr>
        <w:t>3.发包人和承包人通过招投标形式签订合同的，双方理解并承诺不再就同一工程另行签订与合同实质性内容相背离的协议。</w:t>
      </w:r>
    </w:p>
    <w:p w14:paraId="5052A8D3">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697" w:name="_Toc351203488"/>
      <w:bookmarkStart w:id="698" w:name="_Toc532377173"/>
      <w:bookmarkStart w:id="699" w:name="_Toc532375580"/>
      <w:r>
        <w:rPr>
          <w:rFonts w:hint="eastAsia"/>
          <w:kern w:val="2"/>
          <w:sz w:val="21"/>
          <w:szCs w:val="21"/>
        </w:rPr>
        <w:t>八、词语含义</w:t>
      </w:r>
      <w:bookmarkEnd w:id="697"/>
      <w:bookmarkEnd w:id="698"/>
      <w:bookmarkEnd w:id="699"/>
    </w:p>
    <w:p w14:paraId="6332B53D">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szCs w:val="21"/>
        </w:rPr>
      </w:pPr>
      <w:r>
        <w:rPr>
          <w:rFonts w:hint="eastAsia" w:ascii="宋体" w:hAnsi="宋体"/>
          <w:bCs/>
          <w:szCs w:val="21"/>
        </w:rPr>
        <w:t>本协议书中词语含义与第二部分通用合同条款中赋予的含义相同。</w:t>
      </w:r>
    </w:p>
    <w:p w14:paraId="4E076533">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700" w:name="_Toc532377174"/>
      <w:bookmarkStart w:id="701" w:name="_Toc532375581"/>
      <w:r>
        <w:rPr>
          <w:rFonts w:hint="eastAsia"/>
          <w:kern w:val="2"/>
          <w:sz w:val="21"/>
          <w:szCs w:val="21"/>
        </w:rPr>
        <w:t>九、签订时间</w:t>
      </w:r>
      <w:bookmarkEnd w:id="700"/>
      <w:bookmarkEnd w:id="701"/>
    </w:p>
    <w:p w14:paraId="48CAD426">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szCs w:val="21"/>
        </w:rPr>
      </w:pPr>
      <w:r>
        <w:rPr>
          <w:rFonts w:hint="eastAsia" w:ascii="宋体" w:hAnsi="宋体"/>
          <w:bCs/>
          <w:szCs w:val="21"/>
          <w:lang w:val="en-US" w:eastAsia="zh-CN"/>
        </w:rPr>
        <w:t>本</w:t>
      </w:r>
      <w:r>
        <w:rPr>
          <w:rFonts w:hint="eastAsia" w:ascii="宋体" w:hAnsi="宋体"/>
          <w:bCs/>
          <w:szCs w:val="21"/>
        </w:rPr>
        <w:t>合同于</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日签订</w:t>
      </w:r>
    </w:p>
    <w:p w14:paraId="1B627FC2">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702" w:name="_Toc351203489"/>
      <w:bookmarkStart w:id="703" w:name="_Toc532375582"/>
      <w:bookmarkStart w:id="704" w:name="_Toc532377175"/>
      <w:r>
        <w:rPr>
          <w:rFonts w:hint="eastAsia"/>
          <w:kern w:val="2"/>
          <w:sz w:val="21"/>
          <w:szCs w:val="21"/>
        </w:rPr>
        <w:t>十、</w:t>
      </w:r>
      <w:bookmarkEnd w:id="702"/>
      <w:bookmarkStart w:id="705" w:name="_Toc351203490"/>
      <w:r>
        <w:rPr>
          <w:rFonts w:hint="eastAsia"/>
          <w:kern w:val="2"/>
          <w:sz w:val="21"/>
          <w:szCs w:val="21"/>
        </w:rPr>
        <w:t>签订地点</w:t>
      </w:r>
      <w:bookmarkEnd w:id="703"/>
      <w:bookmarkEnd w:id="704"/>
      <w:bookmarkEnd w:id="705"/>
    </w:p>
    <w:p w14:paraId="118C873B">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szCs w:val="21"/>
        </w:rPr>
      </w:pPr>
      <w:r>
        <w:rPr>
          <w:rFonts w:hint="eastAsia" w:ascii="宋体" w:hAnsi="宋体"/>
          <w:bCs/>
          <w:szCs w:val="21"/>
          <w:lang w:val="en-US" w:eastAsia="zh-CN"/>
        </w:rPr>
        <w:t>本</w:t>
      </w:r>
      <w:r>
        <w:rPr>
          <w:rFonts w:hint="eastAsia" w:ascii="宋体" w:hAnsi="宋体"/>
          <w:bCs/>
          <w:szCs w:val="21"/>
        </w:rPr>
        <w:t>合同在</w:t>
      </w:r>
      <w:r>
        <w:rPr>
          <w:rFonts w:hint="eastAsia" w:ascii="宋体" w:hAnsi="宋体"/>
          <w:bCs/>
          <w:szCs w:val="21"/>
          <w:u w:val="single"/>
        </w:rPr>
        <w:t xml:space="preserve">            </w:t>
      </w:r>
      <w:r>
        <w:rPr>
          <w:rFonts w:hint="eastAsia" w:ascii="宋体" w:hAnsi="宋体"/>
          <w:bCs/>
          <w:szCs w:val="21"/>
        </w:rPr>
        <w:t>签订。</w:t>
      </w:r>
    </w:p>
    <w:p w14:paraId="05C47879">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706" w:name="_Toc351203491"/>
      <w:bookmarkStart w:id="707" w:name="_Toc532377176"/>
      <w:bookmarkStart w:id="708" w:name="_Toc532375583"/>
      <w:r>
        <w:rPr>
          <w:rFonts w:hint="eastAsia"/>
          <w:kern w:val="2"/>
          <w:sz w:val="21"/>
          <w:szCs w:val="21"/>
        </w:rPr>
        <w:t>十一、补充协议</w:t>
      </w:r>
      <w:bookmarkEnd w:id="706"/>
      <w:bookmarkEnd w:id="707"/>
      <w:bookmarkEnd w:id="708"/>
    </w:p>
    <w:p w14:paraId="530F02AD">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
          <w:bCs/>
          <w:szCs w:val="21"/>
        </w:rPr>
      </w:pPr>
      <w:r>
        <w:rPr>
          <w:rFonts w:hint="eastAsia" w:ascii="宋体" w:hAnsi="宋体"/>
          <w:bCs/>
          <w:szCs w:val="21"/>
        </w:rPr>
        <w:t>合同未尽事宜，合同当事人另行签订补充协议，补充协议是合同的组成部分。</w:t>
      </w:r>
    </w:p>
    <w:p w14:paraId="51ECC75C">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709" w:name="_Toc351203492"/>
      <w:bookmarkStart w:id="710" w:name="_Toc532375584"/>
      <w:bookmarkStart w:id="711" w:name="_Toc532377177"/>
      <w:r>
        <w:rPr>
          <w:rFonts w:hint="eastAsia"/>
          <w:kern w:val="2"/>
          <w:sz w:val="21"/>
          <w:szCs w:val="21"/>
        </w:rPr>
        <w:t>十二、合同生效</w:t>
      </w:r>
      <w:bookmarkEnd w:id="709"/>
      <w:bookmarkEnd w:id="710"/>
      <w:bookmarkEnd w:id="711"/>
    </w:p>
    <w:p w14:paraId="3003FDFB">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szCs w:val="21"/>
        </w:rPr>
      </w:pPr>
      <w:r>
        <w:rPr>
          <w:rFonts w:hint="eastAsia" w:ascii="宋体" w:hAnsi="宋体"/>
          <w:bCs/>
          <w:szCs w:val="21"/>
        </w:rPr>
        <w:t>本合同自</w:t>
      </w:r>
      <w:r>
        <w:rPr>
          <w:rFonts w:hint="eastAsia" w:ascii="宋体" w:hAnsi="宋体"/>
          <w:bCs/>
          <w:szCs w:val="21"/>
          <w:u w:val="single"/>
        </w:rPr>
        <w:t xml:space="preserve">            </w:t>
      </w:r>
      <w:r>
        <w:rPr>
          <w:rFonts w:hint="eastAsia" w:ascii="宋体" w:hAnsi="宋体"/>
          <w:bCs/>
          <w:szCs w:val="21"/>
        </w:rPr>
        <w:t>生效</w:t>
      </w:r>
      <w:r>
        <w:rPr>
          <w:rFonts w:hint="eastAsia" w:ascii="宋体" w:hAnsi="宋体"/>
          <w:szCs w:val="21"/>
        </w:rPr>
        <w:t>。</w:t>
      </w:r>
    </w:p>
    <w:p w14:paraId="4BD5C2D0">
      <w:pPr>
        <w:pStyle w:val="6"/>
        <w:keepNext/>
        <w:keepLines/>
        <w:pageBreakBefore w:val="0"/>
        <w:kinsoku/>
        <w:wordWrap/>
        <w:overflowPunct/>
        <w:topLinePunct w:val="0"/>
        <w:autoSpaceDE/>
        <w:autoSpaceDN/>
        <w:bidi w:val="0"/>
        <w:spacing w:before="0" w:beforeAutospacing="0" w:after="0" w:afterAutospacing="0" w:line="360" w:lineRule="auto"/>
        <w:ind w:firstLine="420" w:firstLineChars="200"/>
        <w:jc w:val="both"/>
        <w:textAlignment w:val="auto"/>
        <w:rPr>
          <w:kern w:val="2"/>
          <w:sz w:val="21"/>
          <w:szCs w:val="21"/>
        </w:rPr>
      </w:pPr>
      <w:bookmarkStart w:id="712" w:name="_Toc532377178"/>
      <w:bookmarkStart w:id="713" w:name="_Toc351203493"/>
      <w:bookmarkStart w:id="714" w:name="_Toc532375585"/>
      <w:r>
        <w:rPr>
          <w:rFonts w:hint="eastAsia"/>
          <w:kern w:val="2"/>
          <w:sz w:val="21"/>
          <w:szCs w:val="21"/>
        </w:rPr>
        <w:t>十三、合同份数</w:t>
      </w:r>
      <w:bookmarkEnd w:id="712"/>
      <w:bookmarkEnd w:id="713"/>
      <w:bookmarkEnd w:id="714"/>
    </w:p>
    <w:p w14:paraId="26C18160">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szCs w:val="21"/>
        </w:rPr>
      </w:pPr>
      <w:r>
        <w:rPr>
          <w:rFonts w:hint="eastAsia" w:ascii="宋体" w:hAnsi="宋体" w:cs="Microsoft Sans Serif"/>
          <w:bCs/>
          <w:szCs w:val="21"/>
        </w:rPr>
        <w:t>本合同一式</w:t>
      </w:r>
      <w:r>
        <w:rPr>
          <w:rFonts w:hint="eastAsia" w:ascii="宋体" w:hAnsi="宋体" w:cs="Microsoft Sans Serif"/>
          <w:bCs/>
          <w:szCs w:val="21"/>
          <w:u w:val="single"/>
        </w:rPr>
        <w:t xml:space="preserve">    </w:t>
      </w:r>
      <w:r>
        <w:rPr>
          <w:rFonts w:hint="eastAsia" w:ascii="宋体" w:hAnsi="宋体" w:cs="Microsoft Sans Serif"/>
          <w:bCs/>
          <w:szCs w:val="21"/>
        </w:rPr>
        <w:t>份，均具有同等法律效力，发包人执</w:t>
      </w:r>
      <w:r>
        <w:rPr>
          <w:rFonts w:hint="eastAsia" w:ascii="宋体" w:hAnsi="宋体" w:cs="Microsoft Sans Serif"/>
          <w:bCs/>
          <w:szCs w:val="21"/>
          <w:u w:val="single"/>
        </w:rPr>
        <w:t xml:space="preserve">    </w:t>
      </w:r>
      <w:r>
        <w:rPr>
          <w:rFonts w:hint="eastAsia" w:ascii="宋体" w:hAnsi="宋体" w:cs="Microsoft Sans Serif"/>
          <w:bCs/>
          <w:szCs w:val="21"/>
        </w:rPr>
        <w:t>份，承包人执</w:t>
      </w:r>
      <w:r>
        <w:rPr>
          <w:rFonts w:hint="eastAsia" w:ascii="宋体" w:hAnsi="宋体" w:cs="Microsoft Sans Serif"/>
          <w:bCs/>
          <w:szCs w:val="21"/>
          <w:u w:val="single"/>
        </w:rPr>
        <w:t xml:space="preserve">    </w:t>
      </w:r>
      <w:r>
        <w:rPr>
          <w:rFonts w:hint="eastAsia" w:ascii="宋体" w:hAnsi="宋体" w:cs="Microsoft Sans Serif"/>
          <w:bCs/>
          <w:szCs w:val="21"/>
        </w:rPr>
        <w:t>份</w:t>
      </w:r>
      <w:r>
        <w:rPr>
          <w:rFonts w:hint="eastAsia" w:ascii="宋体" w:hAnsi="宋体"/>
          <w:bCs/>
          <w:szCs w:val="21"/>
        </w:rPr>
        <w:t>。</w:t>
      </w:r>
    </w:p>
    <w:p w14:paraId="0B68636B">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szCs w:val="21"/>
        </w:rPr>
      </w:pPr>
    </w:p>
    <w:p w14:paraId="4FFE7C43">
      <w:pPr>
        <w:pageBreakBefore w:val="0"/>
        <w:kinsoku/>
        <w:wordWrap/>
        <w:overflowPunct/>
        <w:topLinePunct w:val="0"/>
        <w:autoSpaceDE/>
        <w:autoSpaceDN/>
        <w:bidi w:val="0"/>
        <w:spacing w:beforeAutospacing="0" w:afterAutospacing="0" w:line="360" w:lineRule="auto"/>
        <w:ind w:firstLine="420" w:firstLineChars="200"/>
        <w:textAlignment w:val="auto"/>
        <w:rPr>
          <w:rFonts w:ascii="宋体" w:hAnsi="宋体"/>
          <w:bCs/>
          <w:szCs w:val="21"/>
        </w:rPr>
      </w:pPr>
    </w:p>
    <w:p w14:paraId="0876B6AA">
      <w:pPr>
        <w:pStyle w:val="2"/>
        <w:pageBreakBefore w:val="0"/>
        <w:kinsoku/>
        <w:wordWrap/>
        <w:overflowPunct/>
        <w:topLinePunct w:val="0"/>
        <w:autoSpaceDE/>
        <w:autoSpaceDN/>
        <w:bidi w:val="0"/>
        <w:spacing w:beforeAutospacing="0" w:after="0" w:afterAutospacing="0" w:line="360" w:lineRule="auto"/>
        <w:ind w:firstLine="420" w:firstLineChars="200"/>
        <w:textAlignment w:val="auto"/>
        <w:rPr>
          <w:rFonts w:ascii="宋体" w:hAnsi="宋体"/>
          <w:szCs w:val="21"/>
        </w:rPr>
      </w:pPr>
    </w:p>
    <w:p w14:paraId="655FFCD5">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发包人：  (公章)             承包人：  (公章)</w:t>
      </w:r>
    </w:p>
    <w:p w14:paraId="243C1FB9">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p>
    <w:p w14:paraId="30D56E4E">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 xml:space="preserve">法定代表人或其委托代理人：  </w:t>
      </w:r>
      <w:r>
        <w:rPr>
          <w:rFonts w:hint="eastAsia" w:ascii="宋体" w:hAnsi="宋体"/>
          <w:szCs w:val="21"/>
          <w:lang w:val="en-US" w:eastAsia="zh-CN"/>
        </w:rPr>
        <w:t xml:space="preserve"> </w:t>
      </w:r>
      <w:r>
        <w:rPr>
          <w:rFonts w:hint="eastAsia" w:ascii="宋体" w:hAnsi="宋体"/>
          <w:szCs w:val="21"/>
        </w:rPr>
        <w:t>法定代表人或其委托代理人：</w:t>
      </w:r>
    </w:p>
    <w:p w14:paraId="54ED434D">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w:t>
      </w:r>
      <w:r>
        <w:rPr>
          <w:rFonts w:hint="eastAsia" w:ascii="宋体" w:hAnsi="宋体"/>
          <w:szCs w:val="21"/>
          <w:lang w:val="en-US" w:eastAsia="zh-CN"/>
        </w:rPr>
        <w:t>签名</w:t>
      </w:r>
      <w:r>
        <w:rPr>
          <w:rFonts w:hint="eastAsia" w:ascii="宋体" w:hAnsi="宋体"/>
          <w:szCs w:val="21"/>
        </w:rPr>
        <w:t>）                    （</w:t>
      </w:r>
      <w:r>
        <w:rPr>
          <w:rFonts w:hint="eastAsia" w:ascii="宋体" w:hAnsi="宋体"/>
          <w:szCs w:val="21"/>
          <w:lang w:val="en-US" w:eastAsia="zh-CN"/>
        </w:rPr>
        <w:t>签名</w:t>
      </w:r>
      <w:r>
        <w:rPr>
          <w:rFonts w:hint="eastAsia" w:ascii="宋体" w:hAnsi="宋体"/>
          <w:szCs w:val="21"/>
        </w:rPr>
        <w:t>）</w:t>
      </w:r>
    </w:p>
    <w:p w14:paraId="30E50BC4">
      <w:pPr>
        <w:pageBreakBefore w:val="0"/>
        <w:kinsoku/>
        <w:wordWrap/>
        <w:overflowPunct/>
        <w:topLinePunct w:val="0"/>
        <w:autoSpaceDE/>
        <w:autoSpaceDN/>
        <w:bidi w:val="0"/>
        <w:spacing w:beforeAutospacing="0" w:afterAutospacing="0" w:line="360" w:lineRule="auto"/>
        <w:jc w:val="right"/>
        <w:textAlignment w:val="auto"/>
        <w:rPr>
          <w:rFonts w:hint="eastAsia" w:ascii="宋体" w:hAnsi="宋体"/>
          <w:szCs w:val="21"/>
        </w:rPr>
      </w:pPr>
    </w:p>
    <w:p w14:paraId="415B1AE4">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 xml:space="preserve">组织机构代码：         组织机构代码：           </w:t>
      </w:r>
    </w:p>
    <w:p w14:paraId="481E4F81">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 xml:space="preserve">地  址：       地  址：        </w:t>
      </w:r>
    </w:p>
    <w:p w14:paraId="26E88DE9">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 xml:space="preserve">邮政编码：       邮政编码：   </w:t>
      </w:r>
    </w:p>
    <w:p w14:paraId="3AB3A28F">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 xml:space="preserve">法定代表人：             法定代表人：             </w:t>
      </w:r>
    </w:p>
    <w:p w14:paraId="6053A660">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 xml:space="preserve">委托代理人：             委托代理人：             </w:t>
      </w:r>
    </w:p>
    <w:p w14:paraId="05BF26D8">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 xml:space="preserve">电  话：     电  话：     </w:t>
      </w:r>
    </w:p>
    <w:p w14:paraId="43BA3422">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 xml:space="preserve">传  真：     传  真：     </w:t>
      </w:r>
    </w:p>
    <w:p w14:paraId="79206AA1">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 xml:space="preserve">电子信箱：                   电子信箱：   </w:t>
      </w:r>
    </w:p>
    <w:p w14:paraId="369494EE">
      <w:pPr>
        <w:pageBreakBefore w:val="0"/>
        <w:kinsoku/>
        <w:wordWrap/>
        <w:overflowPunct/>
        <w:topLinePunct w:val="0"/>
        <w:autoSpaceDE/>
        <w:autoSpaceDN/>
        <w:bidi w:val="0"/>
        <w:spacing w:beforeAutospacing="0" w:afterAutospacing="0" w:line="360" w:lineRule="auto"/>
        <w:jc w:val="both"/>
        <w:textAlignment w:val="auto"/>
        <w:rPr>
          <w:rFonts w:hint="eastAsia" w:ascii="宋体" w:hAnsi="宋体"/>
          <w:szCs w:val="21"/>
        </w:rPr>
      </w:pPr>
      <w:r>
        <w:rPr>
          <w:rFonts w:hint="eastAsia" w:ascii="宋体" w:hAnsi="宋体"/>
          <w:szCs w:val="21"/>
        </w:rPr>
        <w:t xml:space="preserve">开户银行：     开户银行：   </w:t>
      </w:r>
    </w:p>
    <w:p w14:paraId="62F43F3D">
      <w:pPr>
        <w:pageBreakBefore w:val="0"/>
        <w:kinsoku/>
        <w:wordWrap/>
        <w:overflowPunct/>
        <w:topLinePunct w:val="0"/>
        <w:autoSpaceDE/>
        <w:autoSpaceDN/>
        <w:bidi w:val="0"/>
        <w:spacing w:beforeAutospacing="0" w:afterAutospacing="0" w:line="360" w:lineRule="auto"/>
        <w:jc w:val="both"/>
        <w:textAlignment w:val="auto"/>
        <w:rPr>
          <w:rFonts w:ascii="宋体" w:hAnsi="宋体"/>
          <w:snapToGrid w:val="0"/>
          <w:kern w:val="0"/>
          <w:szCs w:val="21"/>
        </w:rPr>
      </w:pPr>
      <w:r>
        <w:rPr>
          <w:rFonts w:hint="eastAsia" w:ascii="宋体" w:hAnsi="宋体"/>
          <w:szCs w:val="21"/>
        </w:rPr>
        <w:t xml:space="preserve">账  号：          账  号：     </w:t>
      </w:r>
    </w:p>
    <w:p w14:paraId="4BB32934">
      <w:pPr>
        <w:pStyle w:val="5"/>
        <w:jc w:val="center"/>
        <w:rPr>
          <w:rFonts w:ascii="宋体" w:hAnsi="宋体"/>
          <w:bCs w:val="0"/>
          <w:sz w:val="21"/>
          <w:szCs w:val="21"/>
        </w:rPr>
      </w:pPr>
      <w:r>
        <w:rPr>
          <w:rFonts w:hint="eastAsia" w:ascii="宋体" w:hAnsi="宋体"/>
          <w:b w:val="0"/>
          <w:snapToGrid w:val="0"/>
          <w:sz w:val="21"/>
          <w:szCs w:val="21"/>
          <w:lang w:val="zh-CN"/>
        </w:rPr>
        <w:br w:type="page"/>
      </w:r>
      <w:bookmarkStart w:id="715" w:name="_Toc532375586"/>
      <w:bookmarkStart w:id="716" w:name="_Toc17274"/>
      <w:bookmarkStart w:id="717" w:name="_Toc532377179"/>
      <w:bookmarkStart w:id="718" w:name="_Toc6507"/>
      <w:bookmarkStart w:id="719" w:name="_Toc529388289"/>
      <w:r>
        <w:rPr>
          <w:rFonts w:hint="eastAsia" w:ascii="宋体" w:hAnsi="宋体"/>
          <w:sz w:val="44"/>
          <w:szCs w:val="44"/>
        </w:rPr>
        <w:t>第二部分 通用合同条款</w:t>
      </w:r>
      <w:bookmarkEnd w:id="715"/>
      <w:bookmarkEnd w:id="716"/>
      <w:bookmarkEnd w:id="717"/>
      <w:bookmarkEnd w:id="718"/>
      <w:bookmarkEnd w:id="719"/>
    </w:p>
    <w:p w14:paraId="359AF4DC">
      <w:pPr>
        <w:pStyle w:val="6"/>
        <w:keepNext/>
        <w:keepLines/>
        <w:spacing w:before="156" w:beforeLines="50" w:beforeAutospacing="0" w:after="156" w:afterLines="50" w:afterAutospacing="0" w:line="360" w:lineRule="auto"/>
        <w:jc w:val="both"/>
        <w:rPr>
          <w:kern w:val="2"/>
          <w:sz w:val="21"/>
          <w:szCs w:val="21"/>
        </w:rPr>
      </w:pPr>
      <w:bookmarkStart w:id="720" w:name="_Toc532377180"/>
      <w:bookmarkStart w:id="721" w:name="_Toc351203495"/>
      <w:bookmarkStart w:id="722" w:name="_Toc532375587"/>
      <w:r>
        <w:rPr>
          <w:rFonts w:hint="eastAsia"/>
          <w:kern w:val="2"/>
          <w:sz w:val="21"/>
          <w:szCs w:val="21"/>
        </w:rPr>
        <w:t>1.</w:t>
      </w:r>
      <w:bookmarkStart w:id="723" w:name="_Toc303538972"/>
      <w:bookmarkEnd w:id="723"/>
      <w:bookmarkStart w:id="724" w:name="_Toc303538975"/>
      <w:bookmarkEnd w:id="724"/>
      <w:bookmarkStart w:id="725" w:name="_Toc303538976"/>
      <w:bookmarkEnd w:id="725"/>
      <w:bookmarkStart w:id="726" w:name="_Toc303538974"/>
      <w:bookmarkEnd w:id="726"/>
      <w:bookmarkStart w:id="727" w:name="_Toc303538973"/>
      <w:bookmarkEnd w:id="727"/>
      <w:bookmarkStart w:id="728" w:name="_Toc296346528"/>
      <w:bookmarkStart w:id="729" w:name="_Toc296503027"/>
      <w:r>
        <w:rPr>
          <w:rFonts w:hint="eastAsia"/>
          <w:kern w:val="2"/>
          <w:sz w:val="21"/>
          <w:szCs w:val="21"/>
        </w:rPr>
        <w:t>一般约定</w:t>
      </w:r>
      <w:bookmarkEnd w:id="720"/>
      <w:bookmarkEnd w:id="721"/>
      <w:bookmarkEnd w:id="722"/>
      <w:bookmarkEnd w:id="728"/>
      <w:bookmarkEnd w:id="729"/>
    </w:p>
    <w:p w14:paraId="054E64E0">
      <w:pPr>
        <w:pStyle w:val="7"/>
        <w:spacing w:before="0" w:beforeAutospacing="0" w:after="0" w:afterAutospacing="0" w:line="360" w:lineRule="auto"/>
        <w:ind w:firstLine="420" w:firstLineChars="200"/>
        <w:rPr>
          <w:sz w:val="21"/>
          <w:szCs w:val="21"/>
        </w:rPr>
      </w:pPr>
      <w:bookmarkStart w:id="730" w:name="_Toc337558728"/>
      <w:bookmarkStart w:id="731" w:name="_Toc296346529"/>
      <w:bookmarkStart w:id="732" w:name="_Toc296503028"/>
      <w:bookmarkStart w:id="733" w:name="_Toc532377181"/>
      <w:bookmarkStart w:id="734" w:name="_Toc351203496"/>
      <w:r>
        <w:rPr>
          <w:rFonts w:hint="eastAsia"/>
          <w:sz w:val="21"/>
          <w:szCs w:val="21"/>
        </w:rPr>
        <w:t>1.1词语定义</w:t>
      </w:r>
      <w:bookmarkEnd w:id="730"/>
      <w:bookmarkEnd w:id="731"/>
      <w:bookmarkEnd w:id="732"/>
      <w:r>
        <w:rPr>
          <w:rFonts w:hint="eastAsia"/>
          <w:sz w:val="21"/>
          <w:szCs w:val="21"/>
        </w:rPr>
        <w:t>与解释</w:t>
      </w:r>
      <w:bookmarkEnd w:id="733"/>
      <w:bookmarkEnd w:id="734"/>
    </w:p>
    <w:p w14:paraId="3A94352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合同协议书、通用合同条款、专用合同条款中的下列词语具有本款所赋予的含义：</w:t>
      </w:r>
    </w:p>
    <w:p w14:paraId="5A9FAB49">
      <w:pPr>
        <w:pStyle w:val="7"/>
        <w:spacing w:before="0" w:beforeAutospacing="0" w:after="0" w:afterAutospacing="0" w:line="360" w:lineRule="auto"/>
        <w:ind w:firstLine="420" w:firstLineChars="200"/>
        <w:rPr>
          <w:b w:val="0"/>
          <w:bCs w:val="0"/>
          <w:sz w:val="21"/>
          <w:szCs w:val="21"/>
        </w:rPr>
      </w:pPr>
      <w:bookmarkStart w:id="735" w:name="_Toc532377182"/>
      <w:r>
        <w:rPr>
          <w:rFonts w:hint="eastAsia"/>
          <w:b w:val="0"/>
          <w:bCs w:val="0"/>
          <w:sz w:val="21"/>
          <w:szCs w:val="21"/>
        </w:rPr>
        <w:t>1.1.1 合同</w:t>
      </w:r>
      <w:bookmarkEnd w:id="735"/>
    </w:p>
    <w:p w14:paraId="676B42C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合同：是指根据法律规定和合同当事人约定具有约束力的文件，构成合同的文件包括合同协议书、中标通知书（如有）、投标函及其附录（如有）、专用合同条款</w:t>
      </w:r>
      <w:r>
        <w:rPr>
          <w:rFonts w:hint="eastAsia" w:ascii="宋体" w:hAnsi="宋体"/>
          <w:szCs w:val="21"/>
        </w:rPr>
        <w:t>及其附件</w:t>
      </w:r>
      <w:r>
        <w:rPr>
          <w:rFonts w:hint="eastAsia" w:ascii="宋体" w:hAnsi="宋体"/>
          <w:kern w:val="0"/>
          <w:szCs w:val="21"/>
        </w:rPr>
        <w:t>、通用合同条款、技术标准和要求、图纸、已标价工程量清单或预算书以及其他合同文件。</w:t>
      </w:r>
    </w:p>
    <w:p w14:paraId="5EF3D51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合同协议书：是指构成合同的由发包人和承包人共同签署的称为“合同协议书”的书面文件。</w:t>
      </w:r>
    </w:p>
    <w:p w14:paraId="699AA09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中标通知书：是指构成合同的由发包人通知承包人中标的书面文件。</w:t>
      </w:r>
    </w:p>
    <w:p w14:paraId="2B4BBCB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1.1.1.4 投标函：是指构成合同的由承包人填写并签署的用于投标的称为“投标函”的文件。</w:t>
      </w:r>
    </w:p>
    <w:p w14:paraId="447C48F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1.1.1.5 投标函附录：是指构成合同的附在投标函后的称为“投标函附录”的文件。</w:t>
      </w:r>
    </w:p>
    <w:p w14:paraId="3BBEF35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1.1.1.6 技术标准和要求：是指构成合同的施工应当遵守的或指导施工的国家、行业或地方的技术标准和要求，以及合同约定的技术标准和要求。</w:t>
      </w:r>
    </w:p>
    <w:p w14:paraId="52365DFC">
      <w:pPr>
        <w:spacing w:line="360" w:lineRule="auto"/>
        <w:ind w:firstLine="420" w:firstLineChars="200"/>
        <w:jc w:val="left"/>
        <w:rPr>
          <w:rFonts w:ascii="宋体" w:hAnsi="宋体"/>
          <w:kern w:val="0"/>
          <w:szCs w:val="21"/>
        </w:rPr>
      </w:pPr>
      <w:r>
        <w:rPr>
          <w:rFonts w:hint="eastAsia" w:ascii="宋体" w:hAnsi="宋体"/>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4C61984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1.1.1.8 已标价工程量清单：是指构成合同的由承包人按照规定的格式和要求填写并标明价格的工程量清单，包括说明和表格。</w:t>
      </w:r>
    </w:p>
    <w:p w14:paraId="2D975EB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1.1.1.9 预算书：是指构成合同的由承包人按照发包人规定的格式和要求编制的工程预算文件。</w:t>
      </w:r>
    </w:p>
    <w:p w14:paraId="7739196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1.1.1.10 其他合同文件：是指经合同当事人约定的与工程施工有关的具有合同约束力的文件或书面协议。合同当事人可以在专用合同条款中进行约定。</w:t>
      </w:r>
    </w:p>
    <w:p w14:paraId="2B82FD6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 合同当事人及其他相关方</w:t>
      </w:r>
    </w:p>
    <w:p w14:paraId="1146F2D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1.1.2.1 合同当事人：是指发包人和（或）承包人。</w:t>
      </w:r>
    </w:p>
    <w:p w14:paraId="617700C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1.1.2.2 发包人：是指与承包人签订合同协议书的当事人及取得该当事人资格的合法继承人。</w:t>
      </w:r>
    </w:p>
    <w:p w14:paraId="264EDEF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1.1.2.3 承包人：是指与发包人签订合同协议书的，具有相应工程施工承包资质的当事人及取得该当事人资格的合法继承人。</w:t>
      </w:r>
    </w:p>
    <w:p w14:paraId="78A5F62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1.1.2.4 监理人：是指在专用合同条款中指明的，受发包人委托按照法律规定进行工程监督管理的法人或其他组织。</w:t>
      </w:r>
    </w:p>
    <w:p w14:paraId="77C248F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1.1.2.5 设计人：是指在专用合同条款中指明的，受发包人委托负责工程设计并具备相应工程设计资质的法人或其他组织。</w:t>
      </w:r>
    </w:p>
    <w:p w14:paraId="4BAB36E0">
      <w:pPr>
        <w:spacing w:line="360" w:lineRule="auto"/>
        <w:ind w:firstLine="420" w:firstLineChars="200"/>
        <w:jc w:val="left"/>
        <w:rPr>
          <w:rFonts w:ascii="宋体" w:hAnsi="宋体"/>
          <w:kern w:val="0"/>
          <w:szCs w:val="21"/>
        </w:rPr>
      </w:pPr>
      <w:r>
        <w:rPr>
          <w:rFonts w:hint="eastAsia" w:ascii="宋体" w:hAnsi="宋体"/>
          <w:kern w:val="0"/>
          <w:szCs w:val="21"/>
        </w:rPr>
        <w:t>1.1.2.6 分包人：</w:t>
      </w:r>
      <w:bookmarkStart w:id="736" w:name="#go5"/>
      <w:bookmarkEnd w:id="736"/>
      <w:r>
        <w:rPr>
          <w:rFonts w:hint="eastAsia" w:ascii="宋体" w:hAnsi="宋体"/>
          <w:kern w:val="0"/>
          <w:szCs w:val="21"/>
        </w:rPr>
        <w:t>是指按照法律规定和合同约定，分包部分工程或工作，并与承包人签订分包合同的具有相应资质的法人。</w:t>
      </w:r>
    </w:p>
    <w:p w14:paraId="25CD74B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1.1.2.7 发包人代表：是指由发包人任命并派驻施工现场在发包人授权范围内行使发包人权利的人。</w:t>
      </w:r>
    </w:p>
    <w:p w14:paraId="4C786C5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1.1.2.8 项目经理：是指由承包人任命并派驻施工现场，在承包人授权范围内负责合同履行，且按照法律规定具有相应资格的项目负责人。</w:t>
      </w:r>
    </w:p>
    <w:p w14:paraId="109B3B62">
      <w:pPr>
        <w:spacing w:line="360" w:lineRule="auto"/>
        <w:ind w:firstLine="420" w:firstLineChars="200"/>
        <w:jc w:val="left"/>
        <w:rPr>
          <w:rFonts w:ascii="宋体" w:hAnsi="宋体"/>
          <w:kern w:val="0"/>
          <w:szCs w:val="21"/>
        </w:rPr>
      </w:pPr>
      <w:r>
        <w:rPr>
          <w:rFonts w:hint="eastAsia" w:ascii="宋体" w:hAnsi="宋体"/>
          <w:kern w:val="0"/>
          <w:szCs w:val="21"/>
        </w:rPr>
        <w:t>1.1.2.9 总监理工程师：是指由监理人任命并派驻施工现场进行工程监理的总负责人。</w:t>
      </w:r>
    </w:p>
    <w:p w14:paraId="4147FB7B">
      <w:pPr>
        <w:spacing w:line="360" w:lineRule="auto"/>
        <w:ind w:firstLine="420" w:firstLineChars="200"/>
        <w:jc w:val="left"/>
        <w:rPr>
          <w:rFonts w:ascii="宋体" w:hAnsi="宋体"/>
          <w:kern w:val="0"/>
          <w:szCs w:val="21"/>
        </w:rPr>
      </w:pPr>
      <w:r>
        <w:rPr>
          <w:rFonts w:hint="eastAsia" w:ascii="宋体" w:hAnsi="宋体"/>
          <w:kern w:val="0"/>
          <w:szCs w:val="21"/>
        </w:rPr>
        <w:t>1.1.3 工程和设备</w:t>
      </w:r>
    </w:p>
    <w:p w14:paraId="208292B2">
      <w:pPr>
        <w:spacing w:line="360" w:lineRule="auto"/>
        <w:ind w:firstLine="420" w:firstLineChars="200"/>
        <w:jc w:val="left"/>
        <w:rPr>
          <w:rFonts w:ascii="宋体" w:hAnsi="宋体"/>
          <w:kern w:val="0"/>
          <w:szCs w:val="21"/>
        </w:rPr>
      </w:pPr>
      <w:r>
        <w:rPr>
          <w:rFonts w:hint="eastAsia" w:ascii="宋体" w:hAnsi="宋体"/>
          <w:kern w:val="0"/>
          <w:szCs w:val="21"/>
        </w:rPr>
        <w:t>1.1.3.1 工程：是指与合同协议书中工程承包范围对应的永久工程和（或）临时工程。</w:t>
      </w:r>
    </w:p>
    <w:p w14:paraId="6FB3342F">
      <w:pPr>
        <w:spacing w:line="360" w:lineRule="auto"/>
        <w:ind w:firstLine="420" w:firstLineChars="200"/>
        <w:jc w:val="left"/>
        <w:rPr>
          <w:rFonts w:ascii="宋体" w:hAnsi="宋体"/>
          <w:kern w:val="0"/>
          <w:szCs w:val="21"/>
        </w:rPr>
      </w:pPr>
      <w:r>
        <w:rPr>
          <w:rFonts w:hint="eastAsia" w:ascii="宋体" w:hAnsi="宋体"/>
          <w:kern w:val="0"/>
          <w:szCs w:val="21"/>
        </w:rPr>
        <w:t>1.1.3.2 永久工程：是指按合同约定建造并移交给发包人的工程，包括工程设备。</w:t>
      </w:r>
    </w:p>
    <w:p w14:paraId="49ECE897">
      <w:pPr>
        <w:spacing w:line="360" w:lineRule="auto"/>
        <w:ind w:firstLine="420" w:firstLineChars="200"/>
        <w:jc w:val="left"/>
        <w:rPr>
          <w:rFonts w:ascii="宋体" w:hAnsi="宋体"/>
          <w:kern w:val="0"/>
          <w:szCs w:val="21"/>
        </w:rPr>
      </w:pPr>
      <w:r>
        <w:rPr>
          <w:rFonts w:hint="eastAsia" w:ascii="宋体" w:hAnsi="宋体"/>
          <w:kern w:val="0"/>
          <w:szCs w:val="21"/>
        </w:rPr>
        <w:t>1.1.3.3 临时工程：是指为完成合同约定的永久工程所修建的各类临时性工程，不包括施工设备。</w:t>
      </w:r>
    </w:p>
    <w:p w14:paraId="0321C1DD">
      <w:pPr>
        <w:spacing w:line="360" w:lineRule="auto"/>
        <w:ind w:firstLine="420" w:firstLineChars="200"/>
        <w:jc w:val="left"/>
        <w:rPr>
          <w:rFonts w:ascii="宋体" w:hAnsi="宋体"/>
          <w:kern w:val="0"/>
          <w:szCs w:val="21"/>
        </w:rPr>
      </w:pPr>
      <w:r>
        <w:rPr>
          <w:rFonts w:hint="eastAsia" w:ascii="宋体" w:hAnsi="宋体"/>
          <w:kern w:val="0"/>
          <w:szCs w:val="21"/>
        </w:rPr>
        <w:t>1.1.3.4 单位工程：是指在合同协议书中指明的，具备独立施工条件并能形成独立使用功能的永久工程。</w:t>
      </w:r>
    </w:p>
    <w:p w14:paraId="4BE0D408">
      <w:pPr>
        <w:spacing w:line="360" w:lineRule="auto"/>
        <w:ind w:firstLine="420" w:firstLineChars="200"/>
        <w:jc w:val="left"/>
        <w:rPr>
          <w:rFonts w:ascii="宋体" w:hAnsi="宋体"/>
          <w:kern w:val="0"/>
          <w:szCs w:val="21"/>
        </w:rPr>
      </w:pPr>
      <w:r>
        <w:rPr>
          <w:rFonts w:hint="eastAsia" w:ascii="宋体" w:hAnsi="宋体"/>
          <w:kern w:val="0"/>
          <w:szCs w:val="21"/>
        </w:rPr>
        <w:t>1.1.3.5 工程设备：是指构成永久工程的机电设备、金属结构设备、仪器及其他类似的设备和装置。</w:t>
      </w:r>
    </w:p>
    <w:p w14:paraId="4AB6BE9E">
      <w:pPr>
        <w:spacing w:line="360" w:lineRule="auto"/>
        <w:ind w:firstLine="420" w:firstLineChars="200"/>
        <w:jc w:val="left"/>
        <w:rPr>
          <w:rFonts w:ascii="宋体" w:hAnsi="宋体"/>
          <w:kern w:val="0"/>
          <w:szCs w:val="21"/>
        </w:rPr>
      </w:pPr>
      <w:r>
        <w:rPr>
          <w:rFonts w:hint="eastAsia" w:ascii="宋体" w:hAnsi="宋体"/>
          <w:kern w:val="0"/>
          <w:szCs w:val="21"/>
        </w:rPr>
        <w:t>1.1.3.6 施工设备：是指为完成合同约定的各项工作所需的设备、器具和其他物品，但不包括工程设备、临时工程和材料。</w:t>
      </w:r>
    </w:p>
    <w:p w14:paraId="2C4C173C">
      <w:pPr>
        <w:spacing w:line="360" w:lineRule="auto"/>
        <w:ind w:firstLine="420" w:firstLineChars="200"/>
        <w:jc w:val="left"/>
        <w:rPr>
          <w:rFonts w:ascii="宋体" w:hAnsi="宋体"/>
          <w:kern w:val="0"/>
          <w:szCs w:val="21"/>
        </w:rPr>
      </w:pPr>
      <w:r>
        <w:rPr>
          <w:rFonts w:hint="eastAsia" w:ascii="宋体" w:hAnsi="宋体"/>
          <w:kern w:val="0"/>
          <w:szCs w:val="21"/>
        </w:rPr>
        <w:t>1.1.3.7 施工现场：是指用于工程施工的场所，以及在专用合同条款中指明作为施工场所组成部分的其他场所，包括永久占地和临时占地。</w:t>
      </w:r>
    </w:p>
    <w:p w14:paraId="35CABB26">
      <w:pPr>
        <w:spacing w:line="360" w:lineRule="auto"/>
        <w:ind w:firstLine="420" w:firstLineChars="200"/>
        <w:jc w:val="left"/>
        <w:rPr>
          <w:rFonts w:ascii="宋体" w:hAnsi="宋体"/>
          <w:kern w:val="0"/>
          <w:szCs w:val="21"/>
        </w:rPr>
      </w:pPr>
      <w:r>
        <w:rPr>
          <w:rFonts w:hint="eastAsia" w:ascii="宋体" w:hAnsi="宋体"/>
          <w:kern w:val="0"/>
          <w:szCs w:val="21"/>
        </w:rPr>
        <w:t>1.1.3.8临时设施：是指为完成合同约定的各项工作所服务的临时性生产和生活设施。</w:t>
      </w:r>
    </w:p>
    <w:p w14:paraId="238E6AFB">
      <w:pPr>
        <w:spacing w:line="360" w:lineRule="auto"/>
        <w:ind w:firstLine="420" w:firstLineChars="200"/>
        <w:jc w:val="left"/>
        <w:rPr>
          <w:rFonts w:ascii="宋体" w:hAnsi="宋体"/>
          <w:kern w:val="0"/>
          <w:szCs w:val="21"/>
        </w:rPr>
      </w:pPr>
      <w:r>
        <w:rPr>
          <w:rFonts w:hint="eastAsia" w:ascii="宋体" w:hAnsi="宋体"/>
          <w:kern w:val="0"/>
          <w:szCs w:val="21"/>
        </w:rPr>
        <w:t>1.1.3.9 永久占地：是指专用合同条款中指明为实施工程需永久占用的土地。</w:t>
      </w:r>
    </w:p>
    <w:p w14:paraId="41EAEAC6">
      <w:pPr>
        <w:spacing w:line="360" w:lineRule="auto"/>
        <w:ind w:firstLine="420" w:firstLineChars="200"/>
        <w:jc w:val="left"/>
        <w:rPr>
          <w:rFonts w:ascii="宋体" w:hAnsi="宋体"/>
          <w:kern w:val="0"/>
          <w:szCs w:val="21"/>
        </w:rPr>
      </w:pPr>
      <w:r>
        <w:rPr>
          <w:rFonts w:hint="eastAsia" w:ascii="宋体" w:hAnsi="宋体"/>
          <w:kern w:val="0"/>
          <w:szCs w:val="21"/>
        </w:rPr>
        <w:t>1.1.3.10 临时占地：是指专用合同条款中指明为实施工程需要临时占用的土地。</w:t>
      </w:r>
    </w:p>
    <w:p w14:paraId="48900403">
      <w:pPr>
        <w:spacing w:line="360" w:lineRule="auto"/>
        <w:ind w:firstLine="420" w:firstLineChars="200"/>
        <w:jc w:val="left"/>
        <w:rPr>
          <w:rFonts w:ascii="宋体" w:hAnsi="宋体"/>
          <w:kern w:val="0"/>
          <w:szCs w:val="21"/>
        </w:rPr>
      </w:pPr>
      <w:r>
        <w:rPr>
          <w:rFonts w:hint="eastAsia" w:ascii="宋体" w:hAnsi="宋体"/>
          <w:kern w:val="0"/>
          <w:szCs w:val="21"/>
        </w:rPr>
        <w:t>1.1.4 日期和期限</w:t>
      </w:r>
    </w:p>
    <w:p w14:paraId="1D99557F">
      <w:pPr>
        <w:spacing w:line="360" w:lineRule="auto"/>
        <w:ind w:firstLine="420" w:firstLineChars="200"/>
        <w:jc w:val="left"/>
        <w:rPr>
          <w:rFonts w:ascii="宋体" w:hAnsi="宋体"/>
          <w:kern w:val="0"/>
          <w:szCs w:val="21"/>
        </w:rPr>
      </w:pPr>
      <w:r>
        <w:rPr>
          <w:rFonts w:hint="eastAsia" w:ascii="宋体" w:hAnsi="宋体"/>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30FA05F8">
      <w:pPr>
        <w:spacing w:line="360" w:lineRule="auto"/>
        <w:ind w:firstLine="420" w:firstLineChars="200"/>
        <w:jc w:val="left"/>
        <w:rPr>
          <w:rFonts w:ascii="宋体" w:hAnsi="宋体"/>
          <w:kern w:val="0"/>
          <w:szCs w:val="21"/>
        </w:rPr>
      </w:pPr>
      <w:r>
        <w:rPr>
          <w:rFonts w:hint="eastAsia" w:ascii="宋体" w:hAnsi="宋体"/>
          <w:kern w:val="0"/>
          <w:szCs w:val="21"/>
        </w:rPr>
        <w:t xml:space="preserve">1.1.4.2 竣工日期：包括计划竣工日期和实际竣工日期。计划竣工日期是指合同协议书约定的竣工日期；实际竣工日期按照第13.2.3项〔竣工日期〕的约定确定。 </w:t>
      </w:r>
    </w:p>
    <w:p w14:paraId="6D5ADADE">
      <w:pPr>
        <w:spacing w:line="360" w:lineRule="auto"/>
        <w:ind w:firstLine="420" w:firstLineChars="200"/>
        <w:jc w:val="left"/>
        <w:rPr>
          <w:rFonts w:ascii="宋体" w:hAnsi="宋体"/>
          <w:szCs w:val="21"/>
        </w:rPr>
      </w:pPr>
      <w:r>
        <w:rPr>
          <w:rFonts w:hint="eastAsia" w:ascii="宋体" w:hAnsi="宋体"/>
          <w:kern w:val="0"/>
          <w:szCs w:val="21"/>
        </w:rPr>
        <w:t>1.1.4.3 工期：是指在合同协议书约定的承包人完成工程所需的期限，包括按照合同约定所作的期限变更。</w:t>
      </w:r>
    </w:p>
    <w:p w14:paraId="77DF7E8D">
      <w:pPr>
        <w:spacing w:line="360" w:lineRule="auto"/>
        <w:ind w:firstLine="420" w:firstLineChars="200"/>
        <w:jc w:val="left"/>
        <w:rPr>
          <w:rFonts w:ascii="宋体" w:hAnsi="宋体"/>
          <w:kern w:val="0"/>
          <w:szCs w:val="21"/>
        </w:rPr>
      </w:pPr>
      <w:r>
        <w:rPr>
          <w:rFonts w:hint="eastAsia" w:ascii="宋体" w:hAnsi="宋体"/>
          <w:kern w:val="0"/>
          <w:szCs w:val="21"/>
        </w:rPr>
        <w:t>1.1.4.4 缺陷责任期：是指承包人按照合同约定承担缺陷修复义务，且发包人预留质量保证金（已缴纳履约保证金的除外）的期限，自工程实际竣工日期起计算。</w:t>
      </w:r>
    </w:p>
    <w:p w14:paraId="407FFD71">
      <w:pPr>
        <w:spacing w:line="360" w:lineRule="auto"/>
        <w:ind w:firstLine="420" w:firstLineChars="200"/>
        <w:jc w:val="left"/>
        <w:rPr>
          <w:rFonts w:ascii="宋体" w:hAnsi="宋体"/>
          <w:kern w:val="0"/>
          <w:szCs w:val="21"/>
        </w:rPr>
      </w:pPr>
      <w:r>
        <w:rPr>
          <w:rFonts w:hint="eastAsia" w:ascii="宋体" w:hAnsi="宋体"/>
          <w:kern w:val="0"/>
          <w:szCs w:val="21"/>
        </w:rPr>
        <w:t>1.1.4.5 保修期：是指承包人按照合同约定对工程承担保修责任的期限，从工程竣工验收合格之日起计算。</w:t>
      </w:r>
    </w:p>
    <w:p w14:paraId="412F342A">
      <w:pPr>
        <w:spacing w:line="360" w:lineRule="auto"/>
        <w:ind w:firstLine="420" w:firstLineChars="200"/>
        <w:jc w:val="left"/>
        <w:rPr>
          <w:rFonts w:ascii="宋体" w:hAnsi="宋体"/>
          <w:kern w:val="0"/>
          <w:szCs w:val="21"/>
        </w:rPr>
      </w:pPr>
      <w:r>
        <w:rPr>
          <w:rFonts w:hint="eastAsia" w:ascii="宋体" w:hAnsi="宋体"/>
          <w:kern w:val="0"/>
          <w:szCs w:val="21"/>
        </w:rPr>
        <w:t>1.1.4.6 基准日期：招标发包的工程以投标截止日前28天的日期为基准日期，直接发包的工程以合同签订日前28天的日期为基准日期。</w:t>
      </w:r>
    </w:p>
    <w:p w14:paraId="27A74F7F">
      <w:pPr>
        <w:spacing w:line="360" w:lineRule="auto"/>
        <w:ind w:firstLine="420" w:firstLineChars="200"/>
        <w:jc w:val="left"/>
        <w:rPr>
          <w:rFonts w:ascii="宋体" w:hAnsi="宋体"/>
          <w:kern w:val="0"/>
          <w:szCs w:val="21"/>
        </w:rPr>
      </w:pPr>
      <w:r>
        <w:rPr>
          <w:rFonts w:hint="eastAsia" w:ascii="宋体" w:hAnsi="宋体"/>
          <w:kern w:val="0"/>
          <w:szCs w:val="21"/>
        </w:rPr>
        <w:t>1.1.4.7 天：除特别指明外，均指日历天。合同中按天计算时间的，开始当天不计入，从次日开始计算，期限最后一天的截止时间为当天24：00时。</w:t>
      </w:r>
    </w:p>
    <w:p w14:paraId="689C9490">
      <w:pPr>
        <w:spacing w:line="360" w:lineRule="auto"/>
        <w:ind w:firstLine="420" w:firstLineChars="200"/>
        <w:jc w:val="left"/>
        <w:rPr>
          <w:rFonts w:ascii="宋体" w:hAnsi="宋体"/>
          <w:kern w:val="0"/>
          <w:szCs w:val="21"/>
        </w:rPr>
      </w:pPr>
      <w:r>
        <w:rPr>
          <w:rFonts w:hint="eastAsia" w:ascii="宋体" w:hAnsi="宋体"/>
          <w:kern w:val="0"/>
          <w:szCs w:val="21"/>
        </w:rPr>
        <w:t>1.1.5 合同价格和费用</w:t>
      </w:r>
    </w:p>
    <w:p w14:paraId="7CC53E89">
      <w:pPr>
        <w:spacing w:line="360" w:lineRule="auto"/>
        <w:ind w:firstLine="420" w:firstLineChars="200"/>
        <w:jc w:val="left"/>
        <w:rPr>
          <w:rFonts w:ascii="宋体" w:hAnsi="宋体"/>
          <w:szCs w:val="21"/>
        </w:rPr>
      </w:pPr>
      <w:r>
        <w:rPr>
          <w:rFonts w:hint="eastAsia" w:ascii="宋体" w:hAnsi="宋体"/>
          <w:kern w:val="0"/>
          <w:szCs w:val="21"/>
        </w:rPr>
        <w:t>1.1.5.1 签约合同价：是指</w:t>
      </w:r>
      <w:r>
        <w:rPr>
          <w:rFonts w:hint="eastAsia" w:ascii="宋体" w:hAnsi="宋体"/>
          <w:szCs w:val="21"/>
        </w:rPr>
        <w:t>发包人和承包人在合同协议书中确定的总金额，包括安全文明施工费、暂估价及暂列金额等。</w:t>
      </w:r>
    </w:p>
    <w:p w14:paraId="1B5DEE27">
      <w:pPr>
        <w:spacing w:line="360" w:lineRule="auto"/>
        <w:ind w:firstLine="420" w:firstLineChars="200"/>
        <w:jc w:val="left"/>
        <w:rPr>
          <w:rFonts w:ascii="宋体" w:hAnsi="宋体"/>
          <w:kern w:val="0"/>
          <w:szCs w:val="21"/>
        </w:rPr>
      </w:pPr>
      <w:r>
        <w:rPr>
          <w:rFonts w:hint="eastAsia" w:ascii="宋体" w:hAnsi="宋体"/>
          <w:kern w:val="0"/>
          <w:szCs w:val="21"/>
        </w:rPr>
        <w:t>1.1.5.2 合同价格：是指发包人用于支付承包人按照合同约定完成承包范围内全部工作的金额，包括合同履行过程中按合同约定发生的价格变化。</w:t>
      </w:r>
    </w:p>
    <w:p w14:paraId="66EFDFED">
      <w:pPr>
        <w:spacing w:line="360" w:lineRule="auto"/>
        <w:ind w:firstLine="420" w:firstLineChars="200"/>
        <w:jc w:val="left"/>
        <w:rPr>
          <w:rFonts w:ascii="宋体" w:hAnsi="宋体"/>
          <w:kern w:val="0"/>
          <w:szCs w:val="21"/>
        </w:rPr>
      </w:pPr>
      <w:r>
        <w:rPr>
          <w:rFonts w:hint="eastAsia" w:ascii="宋体" w:hAnsi="宋体"/>
          <w:kern w:val="0"/>
          <w:szCs w:val="21"/>
        </w:rPr>
        <w:t>1.1.5.3 费用：是指为履行合同所发生的或将要发生的所有必需的开支，包括管理费和应分摊的其他费用，但不包括利润。</w:t>
      </w:r>
    </w:p>
    <w:p w14:paraId="52EF559E">
      <w:pPr>
        <w:spacing w:line="360" w:lineRule="auto"/>
        <w:ind w:firstLine="420" w:firstLineChars="200"/>
        <w:jc w:val="left"/>
        <w:rPr>
          <w:rFonts w:ascii="宋体" w:hAnsi="宋体"/>
          <w:kern w:val="0"/>
          <w:szCs w:val="21"/>
        </w:rPr>
      </w:pPr>
      <w:r>
        <w:rPr>
          <w:rFonts w:hint="eastAsia" w:ascii="宋体" w:hAnsi="宋体"/>
          <w:kern w:val="0"/>
          <w:szCs w:val="21"/>
        </w:rPr>
        <w:t>1.1.5.4 暂估价：是指发包人在工程量清单或预算书中提供的用于支付必然发生但暂时不能确定价格的材料、工程设备的单价、专业工程以及服务工作的金额。</w:t>
      </w:r>
    </w:p>
    <w:p w14:paraId="4FCCF315">
      <w:pPr>
        <w:spacing w:line="360" w:lineRule="auto"/>
        <w:ind w:firstLine="420" w:firstLineChars="200"/>
        <w:jc w:val="left"/>
        <w:rPr>
          <w:rFonts w:ascii="宋体" w:hAnsi="宋体"/>
          <w:kern w:val="0"/>
          <w:szCs w:val="21"/>
        </w:rPr>
      </w:pPr>
      <w:r>
        <w:rPr>
          <w:rFonts w:hint="eastAsia" w:ascii="宋体" w:hAnsi="宋体"/>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19331ECE">
      <w:pPr>
        <w:spacing w:line="360" w:lineRule="auto"/>
        <w:ind w:firstLine="420" w:firstLineChars="200"/>
        <w:jc w:val="left"/>
        <w:rPr>
          <w:rFonts w:ascii="宋体" w:hAnsi="宋体"/>
          <w:kern w:val="0"/>
          <w:szCs w:val="21"/>
        </w:rPr>
      </w:pPr>
      <w:r>
        <w:rPr>
          <w:rFonts w:hint="eastAsia" w:ascii="宋体" w:hAnsi="宋体"/>
          <w:kern w:val="0"/>
          <w:szCs w:val="21"/>
        </w:rPr>
        <w:t>1.1.5.6 计日工：是指合同履行过程中，承包人完成发包人提出的零星工作或需要采用计日工计价的变更工作时，按合同中约定的单价计价的一种方式。</w:t>
      </w:r>
    </w:p>
    <w:p w14:paraId="140F30FA">
      <w:pPr>
        <w:spacing w:line="360" w:lineRule="auto"/>
        <w:ind w:firstLine="420" w:firstLineChars="200"/>
        <w:jc w:val="left"/>
        <w:rPr>
          <w:rFonts w:ascii="宋体" w:hAnsi="宋体"/>
          <w:szCs w:val="21"/>
        </w:rPr>
      </w:pPr>
      <w:r>
        <w:rPr>
          <w:rFonts w:hint="eastAsia" w:ascii="宋体" w:hAnsi="宋体"/>
          <w:kern w:val="0"/>
          <w:szCs w:val="21"/>
        </w:rPr>
        <w:t>1.1.5.7 质量保证金</w:t>
      </w:r>
      <w:bookmarkStart w:id="737" w:name="#go2"/>
      <w:bookmarkEnd w:id="737"/>
      <w:r>
        <w:rPr>
          <w:rFonts w:hint="eastAsia" w:ascii="宋体" w:hAnsi="宋体"/>
          <w:kern w:val="0"/>
          <w:szCs w:val="21"/>
        </w:rPr>
        <w:t>：是指按照第15.3款〔质量保证金〕约定承包人用于保证其在缺陷责任期内履行缺陷修补义务的担保</w:t>
      </w:r>
      <w:r>
        <w:rPr>
          <w:rFonts w:hint="eastAsia" w:ascii="宋体" w:hAnsi="宋体"/>
          <w:szCs w:val="21"/>
        </w:rPr>
        <w:t>。</w:t>
      </w:r>
    </w:p>
    <w:p w14:paraId="3B24440F">
      <w:pPr>
        <w:spacing w:line="360" w:lineRule="auto"/>
        <w:ind w:firstLine="420" w:firstLineChars="200"/>
        <w:jc w:val="left"/>
        <w:rPr>
          <w:rFonts w:ascii="宋体" w:hAnsi="宋体"/>
          <w:kern w:val="0"/>
          <w:szCs w:val="21"/>
        </w:rPr>
      </w:pPr>
      <w:r>
        <w:rPr>
          <w:rFonts w:hint="eastAsia" w:ascii="宋体" w:hAnsi="宋体"/>
          <w:kern w:val="0"/>
          <w:szCs w:val="21"/>
        </w:rPr>
        <w:t>1.1.5.8 总价项目：是指在现行国家、行业以及地方的计量规则中无工程量计算规则，在已标价工程量清单或预算书中以总价或以费率形式计算的项目。</w:t>
      </w:r>
    </w:p>
    <w:p w14:paraId="62D6BC7C">
      <w:pPr>
        <w:spacing w:line="360" w:lineRule="auto"/>
        <w:ind w:firstLine="420" w:firstLineChars="200"/>
        <w:jc w:val="left"/>
        <w:rPr>
          <w:rFonts w:ascii="宋体" w:hAnsi="宋体"/>
          <w:szCs w:val="21"/>
        </w:rPr>
      </w:pPr>
      <w:r>
        <w:rPr>
          <w:rFonts w:hint="eastAsia" w:ascii="宋体" w:hAnsi="宋体"/>
          <w:szCs w:val="21"/>
        </w:rPr>
        <w:t>1.1.6 其他</w:t>
      </w:r>
    </w:p>
    <w:p w14:paraId="5A22A009">
      <w:pPr>
        <w:spacing w:line="360" w:lineRule="auto"/>
        <w:ind w:firstLine="420" w:firstLineChars="200"/>
        <w:jc w:val="left"/>
        <w:rPr>
          <w:rFonts w:ascii="宋体" w:hAnsi="宋体"/>
          <w:kern w:val="0"/>
          <w:szCs w:val="21"/>
        </w:rPr>
      </w:pPr>
      <w:r>
        <w:rPr>
          <w:rFonts w:hint="eastAsia" w:ascii="宋体" w:hAnsi="宋体"/>
          <w:kern w:val="0"/>
          <w:szCs w:val="21"/>
        </w:rPr>
        <w:t>1.1.6.1 书面形式：是指合同文件、信函、电报、传真等可以有形地表现所载内容的形式。</w:t>
      </w:r>
    </w:p>
    <w:p w14:paraId="7A37441F">
      <w:pPr>
        <w:pStyle w:val="7"/>
        <w:spacing w:before="0" w:beforeAutospacing="0" w:after="0" w:afterAutospacing="0" w:line="360" w:lineRule="auto"/>
        <w:ind w:firstLine="420" w:firstLineChars="200"/>
        <w:rPr>
          <w:sz w:val="21"/>
          <w:szCs w:val="21"/>
        </w:rPr>
      </w:pPr>
      <w:bookmarkStart w:id="738" w:name="_Toc532377183"/>
      <w:r>
        <w:rPr>
          <w:rFonts w:hint="eastAsia"/>
          <w:sz w:val="21"/>
          <w:szCs w:val="21"/>
        </w:rPr>
        <w:t>1.2 语言文字</w:t>
      </w:r>
      <w:bookmarkEnd w:id="738"/>
    </w:p>
    <w:p w14:paraId="207C6E69">
      <w:pPr>
        <w:spacing w:line="360" w:lineRule="auto"/>
        <w:ind w:firstLine="420" w:firstLineChars="200"/>
        <w:jc w:val="left"/>
        <w:rPr>
          <w:rFonts w:ascii="宋体" w:hAnsi="宋体"/>
          <w:kern w:val="0"/>
          <w:szCs w:val="21"/>
        </w:rPr>
      </w:pPr>
      <w:r>
        <w:rPr>
          <w:rFonts w:hint="eastAsia" w:ascii="宋体" w:hAnsi="宋体"/>
          <w:kern w:val="0"/>
          <w:szCs w:val="21"/>
        </w:rPr>
        <w:t>合同以中国的汉语简体文字编写、解释和说明。合同当事人在专用合同条款中约定使用两种以上语言时，汉语为优先解释和说明合同的语言。</w:t>
      </w:r>
    </w:p>
    <w:p w14:paraId="136141BC">
      <w:pPr>
        <w:pStyle w:val="7"/>
        <w:spacing w:before="0" w:beforeAutospacing="0" w:after="0" w:afterAutospacing="0" w:line="360" w:lineRule="auto"/>
        <w:ind w:firstLine="420" w:firstLineChars="200"/>
        <w:rPr>
          <w:sz w:val="21"/>
          <w:szCs w:val="21"/>
        </w:rPr>
      </w:pPr>
      <w:bookmarkStart w:id="739" w:name="_Toc296346531"/>
      <w:bookmarkStart w:id="740" w:name="_Toc296503030"/>
      <w:bookmarkStart w:id="741" w:name="_Toc532377184"/>
      <w:bookmarkStart w:id="742" w:name="_Toc337558730"/>
      <w:bookmarkStart w:id="743" w:name="_Toc351203498"/>
      <w:r>
        <w:rPr>
          <w:rFonts w:hint="eastAsia"/>
          <w:sz w:val="21"/>
          <w:szCs w:val="21"/>
        </w:rPr>
        <w:t>1.3法律</w:t>
      </w:r>
      <w:bookmarkEnd w:id="739"/>
      <w:bookmarkEnd w:id="740"/>
      <w:bookmarkEnd w:id="741"/>
      <w:bookmarkEnd w:id="742"/>
      <w:bookmarkEnd w:id="743"/>
    </w:p>
    <w:p w14:paraId="6A2B48D7">
      <w:pPr>
        <w:spacing w:line="360" w:lineRule="auto"/>
        <w:ind w:firstLine="420" w:firstLineChars="200"/>
        <w:jc w:val="left"/>
        <w:rPr>
          <w:rFonts w:ascii="宋体" w:hAnsi="宋体"/>
          <w:kern w:val="0"/>
          <w:szCs w:val="21"/>
        </w:rPr>
      </w:pPr>
      <w:r>
        <w:rPr>
          <w:rFonts w:hint="eastAsia" w:ascii="宋体" w:hAnsi="宋体"/>
          <w:kern w:val="0"/>
          <w:szCs w:val="21"/>
        </w:rPr>
        <w:t>合同所称法律是指中华人民共和国法律、行政法规、部门规章，以及工程所在地的地方性法规、自治条例、单行条例和地方政府规章等。</w:t>
      </w:r>
    </w:p>
    <w:p w14:paraId="0BDB9187">
      <w:pPr>
        <w:spacing w:line="360" w:lineRule="auto"/>
        <w:ind w:firstLine="420" w:firstLineChars="200"/>
        <w:jc w:val="left"/>
        <w:rPr>
          <w:rFonts w:ascii="宋体" w:hAnsi="宋体"/>
          <w:kern w:val="0"/>
          <w:szCs w:val="21"/>
        </w:rPr>
      </w:pPr>
      <w:r>
        <w:rPr>
          <w:rFonts w:hint="eastAsia" w:ascii="宋体" w:hAnsi="宋体"/>
          <w:kern w:val="0"/>
          <w:szCs w:val="21"/>
        </w:rPr>
        <w:t>合同当事人可以在专用合同条款中约定合同适用的其他规范性文件。</w:t>
      </w:r>
    </w:p>
    <w:p w14:paraId="4C145486">
      <w:pPr>
        <w:pStyle w:val="7"/>
        <w:spacing w:before="0" w:beforeAutospacing="0" w:after="0" w:afterAutospacing="0" w:line="360" w:lineRule="auto"/>
        <w:ind w:firstLine="420" w:firstLineChars="200"/>
        <w:rPr>
          <w:sz w:val="21"/>
          <w:szCs w:val="21"/>
        </w:rPr>
      </w:pPr>
      <w:bookmarkStart w:id="744" w:name="_Toc351203499"/>
      <w:bookmarkStart w:id="745" w:name="_Toc532377185"/>
      <w:r>
        <w:rPr>
          <w:rFonts w:hint="eastAsia"/>
          <w:sz w:val="21"/>
          <w:szCs w:val="21"/>
        </w:rPr>
        <w:t>1.4 标准和规范</w:t>
      </w:r>
      <w:bookmarkEnd w:id="744"/>
      <w:bookmarkEnd w:id="745"/>
    </w:p>
    <w:p w14:paraId="4543C891">
      <w:pPr>
        <w:spacing w:line="360" w:lineRule="auto"/>
        <w:ind w:firstLine="420" w:firstLineChars="200"/>
        <w:jc w:val="left"/>
        <w:rPr>
          <w:rFonts w:ascii="宋体" w:hAnsi="宋体"/>
          <w:kern w:val="0"/>
          <w:szCs w:val="21"/>
        </w:rPr>
      </w:pPr>
      <w:r>
        <w:rPr>
          <w:rFonts w:hint="eastAsia" w:ascii="宋体" w:hAnsi="宋体"/>
          <w:kern w:val="0"/>
          <w:szCs w:val="21"/>
        </w:rPr>
        <w:t>1.4.1 适用于工程的国家标准、行业标准、工程所在地的地方性标准，以及相应的规范、规程等，合同当事人有特别要求的，应在专用合同条款中约定。</w:t>
      </w:r>
    </w:p>
    <w:p w14:paraId="4F269CE1">
      <w:pPr>
        <w:spacing w:line="360" w:lineRule="auto"/>
        <w:ind w:firstLine="420" w:firstLineChars="200"/>
        <w:jc w:val="left"/>
        <w:rPr>
          <w:rFonts w:ascii="宋体" w:hAnsi="宋体"/>
          <w:kern w:val="0"/>
          <w:szCs w:val="21"/>
        </w:rPr>
      </w:pPr>
      <w:r>
        <w:rPr>
          <w:rFonts w:hint="eastAsia" w:ascii="宋体" w:hAnsi="宋体"/>
          <w:kern w:val="0"/>
          <w:szCs w:val="21"/>
        </w:rPr>
        <w:t>1.4.2 发包人要求使用国外标准、规范的，发包人负责提供原文版本和中文译本，并在专用合同条款中约定提供标准规范的名称、份数和时间。</w:t>
      </w:r>
    </w:p>
    <w:p w14:paraId="338C0E52">
      <w:pPr>
        <w:spacing w:line="360" w:lineRule="auto"/>
        <w:ind w:firstLine="420" w:firstLineChars="200"/>
        <w:jc w:val="left"/>
        <w:rPr>
          <w:rFonts w:ascii="宋体" w:hAnsi="宋体"/>
          <w:kern w:val="0"/>
          <w:szCs w:val="21"/>
        </w:rPr>
      </w:pPr>
      <w:r>
        <w:rPr>
          <w:rFonts w:hint="eastAsia" w:ascii="宋体" w:hAnsi="宋体"/>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601224D5">
      <w:pPr>
        <w:pStyle w:val="7"/>
        <w:spacing w:before="0" w:beforeAutospacing="0" w:after="0" w:afterAutospacing="0" w:line="360" w:lineRule="auto"/>
        <w:ind w:firstLine="420" w:firstLineChars="200"/>
        <w:rPr>
          <w:sz w:val="21"/>
          <w:szCs w:val="21"/>
        </w:rPr>
      </w:pPr>
      <w:bookmarkStart w:id="746" w:name="_Toc351203500"/>
      <w:bookmarkStart w:id="747" w:name="_Toc532377186"/>
      <w:r>
        <w:rPr>
          <w:rFonts w:hint="eastAsia"/>
          <w:sz w:val="21"/>
          <w:szCs w:val="21"/>
        </w:rPr>
        <w:t>1</w:t>
      </w:r>
      <w:bookmarkStart w:id="748" w:name="_Toc337558731"/>
      <w:bookmarkStart w:id="749" w:name="_Toc296346532"/>
      <w:bookmarkStart w:id="750" w:name="_Toc296503031"/>
      <w:r>
        <w:rPr>
          <w:rFonts w:hint="eastAsia"/>
          <w:sz w:val="21"/>
          <w:szCs w:val="21"/>
        </w:rPr>
        <w:t>.5 合同文件的优先顺序</w:t>
      </w:r>
      <w:bookmarkEnd w:id="746"/>
      <w:bookmarkEnd w:id="747"/>
    </w:p>
    <w:bookmarkEnd w:id="748"/>
    <w:bookmarkEnd w:id="749"/>
    <w:bookmarkEnd w:id="750"/>
    <w:p w14:paraId="24B66FF4">
      <w:pPr>
        <w:spacing w:line="360" w:lineRule="auto"/>
        <w:ind w:firstLine="420" w:firstLineChars="200"/>
        <w:jc w:val="left"/>
        <w:rPr>
          <w:rFonts w:ascii="宋体" w:hAnsi="宋体"/>
          <w:kern w:val="0"/>
          <w:szCs w:val="21"/>
        </w:rPr>
      </w:pPr>
      <w:r>
        <w:rPr>
          <w:rFonts w:hint="eastAsia" w:ascii="宋体" w:hAnsi="宋体"/>
          <w:kern w:val="0"/>
          <w:szCs w:val="21"/>
        </w:rPr>
        <w:t>组成合同的各项文件应互相解释，互为说明。除专用合同条款另有约定外，解释合同文件的优先顺序如下：</w:t>
      </w:r>
    </w:p>
    <w:p w14:paraId="6A6853EF">
      <w:pPr>
        <w:spacing w:line="360" w:lineRule="auto"/>
        <w:ind w:firstLine="420" w:firstLineChars="200"/>
        <w:jc w:val="left"/>
        <w:rPr>
          <w:rFonts w:ascii="宋体" w:hAnsi="宋体"/>
          <w:kern w:val="0"/>
          <w:szCs w:val="21"/>
        </w:rPr>
      </w:pPr>
      <w:r>
        <w:rPr>
          <w:rFonts w:hint="eastAsia" w:ascii="宋体" w:hAnsi="宋体"/>
          <w:kern w:val="0"/>
          <w:szCs w:val="21"/>
        </w:rPr>
        <w:t>（1）合同协议书；</w:t>
      </w:r>
    </w:p>
    <w:p w14:paraId="5CE33696">
      <w:pPr>
        <w:spacing w:line="360" w:lineRule="auto"/>
        <w:ind w:firstLine="420" w:firstLineChars="200"/>
        <w:jc w:val="left"/>
        <w:rPr>
          <w:rFonts w:ascii="宋体" w:hAnsi="宋体"/>
          <w:kern w:val="0"/>
          <w:szCs w:val="21"/>
        </w:rPr>
      </w:pPr>
      <w:r>
        <w:rPr>
          <w:rFonts w:hint="eastAsia" w:ascii="宋体" w:hAnsi="宋体"/>
          <w:kern w:val="0"/>
          <w:szCs w:val="21"/>
        </w:rPr>
        <w:t>（2）中标通知书（如有）；</w:t>
      </w:r>
    </w:p>
    <w:p w14:paraId="39633103">
      <w:pPr>
        <w:spacing w:line="360" w:lineRule="auto"/>
        <w:ind w:firstLine="420" w:firstLineChars="200"/>
        <w:jc w:val="left"/>
        <w:rPr>
          <w:rFonts w:ascii="宋体" w:hAnsi="宋体"/>
          <w:kern w:val="0"/>
          <w:szCs w:val="21"/>
        </w:rPr>
      </w:pPr>
      <w:r>
        <w:rPr>
          <w:rFonts w:hint="eastAsia" w:ascii="宋体" w:hAnsi="宋体"/>
          <w:kern w:val="0"/>
          <w:szCs w:val="21"/>
        </w:rPr>
        <w:t>（3）投标函及其附录（如有）；</w:t>
      </w:r>
    </w:p>
    <w:p w14:paraId="22317F0C">
      <w:pPr>
        <w:spacing w:line="360" w:lineRule="auto"/>
        <w:ind w:firstLine="420" w:firstLineChars="200"/>
        <w:jc w:val="left"/>
        <w:rPr>
          <w:rFonts w:ascii="宋体" w:hAnsi="宋体"/>
          <w:kern w:val="0"/>
          <w:szCs w:val="21"/>
        </w:rPr>
      </w:pPr>
      <w:r>
        <w:rPr>
          <w:rFonts w:hint="eastAsia" w:ascii="宋体" w:hAnsi="宋体"/>
          <w:kern w:val="0"/>
          <w:szCs w:val="21"/>
        </w:rPr>
        <w:t>（4）专用合同条款及其附件；</w:t>
      </w:r>
    </w:p>
    <w:p w14:paraId="2E813970">
      <w:pPr>
        <w:spacing w:line="360" w:lineRule="auto"/>
        <w:ind w:firstLine="420" w:firstLineChars="200"/>
        <w:jc w:val="left"/>
        <w:rPr>
          <w:rFonts w:ascii="宋体" w:hAnsi="宋体"/>
          <w:kern w:val="0"/>
          <w:szCs w:val="21"/>
        </w:rPr>
      </w:pPr>
      <w:r>
        <w:rPr>
          <w:rFonts w:hint="eastAsia" w:ascii="宋体" w:hAnsi="宋体"/>
          <w:kern w:val="0"/>
          <w:szCs w:val="21"/>
        </w:rPr>
        <w:t>（5）通用合同条款；</w:t>
      </w:r>
    </w:p>
    <w:p w14:paraId="21AF4C84">
      <w:pPr>
        <w:spacing w:line="360" w:lineRule="auto"/>
        <w:ind w:firstLine="420" w:firstLineChars="200"/>
        <w:jc w:val="left"/>
        <w:rPr>
          <w:rFonts w:ascii="宋体" w:hAnsi="宋体"/>
          <w:kern w:val="0"/>
          <w:szCs w:val="21"/>
        </w:rPr>
      </w:pPr>
      <w:r>
        <w:rPr>
          <w:rFonts w:hint="eastAsia" w:ascii="宋体" w:hAnsi="宋体"/>
          <w:kern w:val="0"/>
          <w:szCs w:val="21"/>
        </w:rPr>
        <w:t>（6）技术标准和要求；</w:t>
      </w:r>
    </w:p>
    <w:p w14:paraId="4EAB1E1C">
      <w:pPr>
        <w:spacing w:line="360" w:lineRule="auto"/>
        <w:ind w:firstLine="420" w:firstLineChars="200"/>
        <w:jc w:val="left"/>
        <w:rPr>
          <w:rFonts w:ascii="宋体" w:hAnsi="宋体"/>
          <w:kern w:val="0"/>
          <w:szCs w:val="21"/>
        </w:rPr>
      </w:pPr>
      <w:r>
        <w:rPr>
          <w:rFonts w:hint="eastAsia" w:ascii="宋体" w:hAnsi="宋体"/>
          <w:kern w:val="0"/>
          <w:szCs w:val="21"/>
        </w:rPr>
        <w:t>（7）图纸；</w:t>
      </w:r>
    </w:p>
    <w:p w14:paraId="099B4904">
      <w:pPr>
        <w:spacing w:line="360" w:lineRule="auto"/>
        <w:ind w:firstLine="420" w:firstLineChars="200"/>
        <w:jc w:val="left"/>
        <w:rPr>
          <w:rFonts w:ascii="宋体" w:hAnsi="宋体"/>
          <w:kern w:val="0"/>
          <w:szCs w:val="21"/>
        </w:rPr>
      </w:pPr>
      <w:r>
        <w:rPr>
          <w:rFonts w:hint="eastAsia" w:ascii="宋体" w:hAnsi="宋体"/>
          <w:kern w:val="0"/>
          <w:szCs w:val="21"/>
        </w:rPr>
        <w:t>（8）已标价工程量清单或预算书；</w:t>
      </w:r>
    </w:p>
    <w:p w14:paraId="63C97B35">
      <w:pPr>
        <w:spacing w:line="360" w:lineRule="auto"/>
        <w:ind w:firstLine="420" w:firstLineChars="200"/>
        <w:jc w:val="left"/>
        <w:rPr>
          <w:rFonts w:ascii="宋体" w:hAnsi="宋体"/>
          <w:kern w:val="0"/>
          <w:szCs w:val="21"/>
        </w:rPr>
      </w:pPr>
      <w:r>
        <w:rPr>
          <w:rFonts w:hint="eastAsia" w:ascii="宋体" w:hAnsi="宋体"/>
          <w:kern w:val="0"/>
          <w:szCs w:val="21"/>
        </w:rPr>
        <w:t>（9）其他合同文件。</w:t>
      </w:r>
    </w:p>
    <w:p w14:paraId="657ABE32">
      <w:pPr>
        <w:spacing w:line="360" w:lineRule="auto"/>
        <w:ind w:firstLine="420" w:firstLineChars="200"/>
        <w:jc w:val="left"/>
        <w:rPr>
          <w:rFonts w:ascii="宋体" w:hAnsi="宋体"/>
          <w:kern w:val="0"/>
          <w:szCs w:val="21"/>
        </w:rPr>
      </w:pPr>
      <w:r>
        <w:rPr>
          <w:rFonts w:hint="eastAsia" w:ascii="宋体" w:hAnsi="宋体"/>
          <w:kern w:val="0"/>
          <w:szCs w:val="21"/>
        </w:rPr>
        <w:t>上述各项合同文件包括合同当事人就该项合同文件所作出的补充和修改，属于同一类内容的文件，应以最新签署的为准。</w:t>
      </w:r>
    </w:p>
    <w:p w14:paraId="6025B923">
      <w:pPr>
        <w:spacing w:line="360" w:lineRule="auto"/>
        <w:ind w:firstLine="420" w:firstLineChars="200"/>
        <w:jc w:val="left"/>
        <w:rPr>
          <w:rFonts w:ascii="宋体" w:hAnsi="宋体"/>
          <w:kern w:val="0"/>
          <w:szCs w:val="21"/>
        </w:rPr>
      </w:pPr>
      <w:r>
        <w:rPr>
          <w:rFonts w:hint="eastAsia" w:ascii="宋体" w:hAnsi="宋体"/>
          <w:kern w:val="0"/>
          <w:szCs w:val="21"/>
        </w:rPr>
        <w:t>在合同订立及履行过程中形成的与合同有关的文件均构成合同文件组成部分，并根据其性质确定优先解释顺序。</w:t>
      </w:r>
    </w:p>
    <w:p w14:paraId="40146387">
      <w:pPr>
        <w:pStyle w:val="7"/>
        <w:spacing w:before="0" w:beforeAutospacing="0" w:after="0" w:afterAutospacing="0" w:line="360" w:lineRule="auto"/>
        <w:ind w:firstLine="420" w:firstLineChars="200"/>
        <w:rPr>
          <w:sz w:val="21"/>
          <w:szCs w:val="21"/>
        </w:rPr>
      </w:pPr>
      <w:bookmarkStart w:id="751" w:name="_Toc532377187"/>
      <w:bookmarkStart w:id="752" w:name="_Toc351203501"/>
      <w:r>
        <w:rPr>
          <w:rFonts w:hint="eastAsia"/>
          <w:sz w:val="21"/>
          <w:szCs w:val="21"/>
        </w:rPr>
        <w:t>1</w:t>
      </w:r>
      <w:bookmarkStart w:id="753" w:name="_Toc296503032"/>
      <w:bookmarkStart w:id="754" w:name="_Toc337558732"/>
      <w:bookmarkStart w:id="755" w:name="_Toc296346533"/>
      <w:r>
        <w:rPr>
          <w:rFonts w:hint="eastAsia"/>
          <w:sz w:val="21"/>
          <w:szCs w:val="21"/>
        </w:rPr>
        <w:t>.6图纸和承包人文件</w:t>
      </w:r>
      <w:bookmarkEnd w:id="751"/>
      <w:bookmarkEnd w:id="752"/>
    </w:p>
    <w:bookmarkEnd w:id="753"/>
    <w:bookmarkEnd w:id="754"/>
    <w:bookmarkEnd w:id="755"/>
    <w:p w14:paraId="3873365C">
      <w:pPr>
        <w:spacing w:line="360" w:lineRule="auto"/>
        <w:ind w:firstLine="420" w:firstLineChars="200"/>
        <w:jc w:val="left"/>
        <w:rPr>
          <w:rFonts w:ascii="宋体" w:hAnsi="宋体"/>
          <w:kern w:val="0"/>
          <w:szCs w:val="21"/>
        </w:rPr>
      </w:pPr>
      <w:r>
        <w:rPr>
          <w:rFonts w:hint="eastAsia" w:ascii="宋体" w:hAnsi="宋体"/>
          <w:kern w:val="0"/>
          <w:szCs w:val="21"/>
        </w:rPr>
        <w:t>1.6.1 图纸的提供和交底</w:t>
      </w:r>
    </w:p>
    <w:p w14:paraId="3B1D1181">
      <w:pPr>
        <w:spacing w:line="360" w:lineRule="auto"/>
        <w:ind w:firstLine="420" w:firstLineChars="200"/>
        <w:jc w:val="left"/>
        <w:rPr>
          <w:rFonts w:ascii="宋体" w:hAnsi="宋体"/>
          <w:kern w:val="0"/>
          <w:szCs w:val="21"/>
        </w:rPr>
      </w:pPr>
      <w:r>
        <w:rPr>
          <w:rFonts w:hint="eastAsia" w:ascii="宋体" w:hAnsi="宋体"/>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72456DE5">
      <w:pPr>
        <w:spacing w:line="360" w:lineRule="auto"/>
        <w:ind w:firstLine="420" w:firstLineChars="200"/>
        <w:jc w:val="left"/>
        <w:rPr>
          <w:rFonts w:ascii="宋体" w:hAnsi="宋体"/>
          <w:kern w:val="0"/>
          <w:szCs w:val="21"/>
        </w:rPr>
      </w:pPr>
      <w:r>
        <w:rPr>
          <w:rFonts w:hint="eastAsia" w:ascii="宋体" w:hAnsi="宋体"/>
          <w:kern w:val="0"/>
          <w:szCs w:val="21"/>
        </w:rPr>
        <w:t>因发包人未按合同约定提供图纸导致承包人费用增加和（或）工期延误的，按照第7.5.1项〔因发包人原因导致工期延误〕约定办理。</w:t>
      </w:r>
    </w:p>
    <w:p w14:paraId="60CF1850">
      <w:pPr>
        <w:spacing w:line="360" w:lineRule="auto"/>
        <w:ind w:firstLine="420" w:firstLineChars="200"/>
        <w:jc w:val="left"/>
        <w:rPr>
          <w:rFonts w:ascii="宋体" w:hAnsi="宋体"/>
          <w:kern w:val="0"/>
          <w:szCs w:val="21"/>
        </w:rPr>
      </w:pPr>
      <w:r>
        <w:rPr>
          <w:rFonts w:hint="eastAsia" w:ascii="宋体" w:hAnsi="宋体"/>
          <w:kern w:val="0"/>
          <w:szCs w:val="21"/>
        </w:rPr>
        <w:t>1.6.2 图纸的错误</w:t>
      </w:r>
    </w:p>
    <w:p w14:paraId="45779A1A">
      <w:pPr>
        <w:spacing w:line="360" w:lineRule="auto"/>
        <w:ind w:firstLine="420" w:firstLineChars="200"/>
        <w:jc w:val="left"/>
        <w:rPr>
          <w:rFonts w:ascii="宋体" w:hAnsi="宋体"/>
          <w:kern w:val="0"/>
          <w:szCs w:val="21"/>
        </w:rPr>
      </w:pPr>
      <w:r>
        <w:rPr>
          <w:rFonts w:hint="eastAsia" w:ascii="宋体" w:hAnsi="宋体"/>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9636916">
      <w:pPr>
        <w:spacing w:line="360" w:lineRule="auto"/>
        <w:ind w:firstLine="420" w:firstLineChars="200"/>
        <w:jc w:val="left"/>
        <w:rPr>
          <w:rFonts w:ascii="宋体" w:hAnsi="宋体"/>
          <w:kern w:val="0"/>
          <w:szCs w:val="21"/>
        </w:rPr>
      </w:pPr>
      <w:r>
        <w:rPr>
          <w:rFonts w:hint="eastAsia" w:ascii="宋体" w:hAnsi="宋体"/>
          <w:kern w:val="0"/>
          <w:szCs w:val="21"/>
        </w:rPr>
        <w:t>1.6.3 图纸的修改和补充</w:t>
      </w:r>
    </w:p>
    <w:p w14:paraId="0F3696CF">
      <w:pPr>
        <w:spacing w:line="360" w:lineRule="auto"/>
        <w:ind w:firstLine="420" w:firstLineChars="200"/>
        <w:jc w:val="left"/>
        <w:rPr>
          <w:rFonts w:ascii="宋体" w:hAnsi="宋体"/>
          <w:kern w:val="0"/>
          <w:szCs w:val="21"/>
        </w:rPr>
      </w:pPr>
      <w:r>
        <w:rPr>
          <w:rFonts w:hint="eastAsia" w:ascii="宋体" w:hAnsi="宋体"/>
          <w:kern w:val="0"/>
          <w:szCs w:val="21"/>
        </w:rPr>
        <w:t>图纸需要修改和补充的，应经图纸原设计人及审批部门同意，并由监理人在工程或工程相应部位施工前将修改后的图纸或补充图纸提交给承包人，承包人应按修改或补充后的图纸施工。</w:t>
      </w:r>
    </w:p>
    <w:p w14:paraId="4C7A6104">
      <w:pPr>
        <w:spacing w:line="360" w:lineRule="auto"/>
        <w:ind w:firstLine="420" w:firstLineChars="200"/>
        <w:jc w:val="left"/>
        <w:rPr>
          <w:rFonts w:ascii="宋体" w:hAnsi="宋体"/>
          <w:kern w:val="0"/>
          <w:szCs w:val="21"/>
        </w:rPr>
      </w:pPr>
      <w:r>
        <w:rPr>
          <w:rFonts w:hint="eastAsia" w:ascii="宋体" w:hAnsi="宋体"/>
          <w:kern w:val="0"/>
          <w:szCs w:val="21"/>
        </w:rPr>
        <w:t>1.6.4 承包人文件</w:t>
      </w:r>
    </w:p>
    <w:p w14:paraId="6DD4D87B">
      <w:pPr>
        <w:spacing w:line="360" w:lineRule="auto"/>
        <w:ind w:firstLine="420" w:firstLineChars="200"/>
        <w:jc w:val="left"/>
        <w:rPr>
          <w:rFonts w:ascii="宋体" w:hAnsi="宋体"/>
          <w:kern w:val="0"/>
          <w:szCs w:val="21"/>
        </w:rPr>
      </w:pPr>
      <w:r>
        <w:rPr>
          <w:rFonts w:hint="eastAsia" w:ascii="宋体" w:hAnsi="宋体"/>
          <w:kern w:val="0"/>
          <w:szCs w:val="21"/>
        </w:rPr>
        <w:t>承包人应按照专用合同条款的约定提供应当由其编制的与工程施工有关的文件，并按照专用合同条款约定的期限、数量和形式提交监理人，并由监理人报送发包人。</w:t>
      </w:r>
    </w:p>
    <w:p w14:paraId="01F6D753">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68040E8B">
      <w:pPr>
        <w:spacing w:line="360" w:lineRule="auto"/>
        <w:ind w:firstLine="420" w:firstLineChars="200"/>
        <w:jc w:val="left"/>
        <w:rPr>
          <w:rFonts w:ascii="宋体" w:hAnsi="宋体"/>
          <w:kern w:val="0"/>
          <w:szCs w:val="21"/>
        </w:rPr>
      </w:pPr>
      <w:r>
        <w:rPr>
          <w:rFonts w:hint="eastAsia" w:ascii="宋体" w:hAnsi="宋体"/>
          <w:kern w:val="0"/>
          <w:szCs w:val="21"/>
        </w:rPr>
        <w:t>1.6.5 图纸和承包人文件的保管</w:t>
      </w:r>
    </w:p>
    <w:p w14:paraId="5DD396C9">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除专用合同条款另有约定外，承包人应在施工现场另外保存一套完整的图纸和承包人文件，供发包人、监理人及有关人员进行工程检查时使用。</w:t>
      </w:r>
    </w:p>
    <w:p w14:paraId="24099BBA">
      <w:pPr>
        <w:pStyle w:val="7"/>
        <w:spacing w:before="0" w:beforeAutospacing="0" w:after="0" w:afterAutospacing="0" w:line="360" w:lineRule="auto"/>
        <w:ind w:firstLine="420" w:firstLineChars="200"/>
        <w:rPr>
          <w:sz w:val="21"/>
          <w:szCs w:val="21"/>
        </w:rPr>
      </w:pPr>
      <w:bookmarkStart w:id="756" w:name="_Toc532377188"/>
      <w:bookmarkStart w:id="757" w:name="_Toc351203502"/>
      <w:r>
        <w:rPr>
          <w:rFonts w:hint="eastAsia"/>
          <w:sz w:val="21"/>
          <w:szCs w:val="21"/>
        </w:rPr>
        <w:t>1</w:t>
      </w:r>
      <w:bookmarkStart w:id="758" w:name="_Toc337558733"/>
      <w:bookmarkStart w:id="759" w:name="_Toc296503033"/>
      <w:bookmarkStart w:id="760" w:name="_Toc296346534"/>
      <w:r>
        <w:rPr>
          <w:rFonts w:hint="eastAsia"/>
          <w:sz w:val="21"/>
          <w:szCs w:val="21"/>
        </w:rPr>
        <w:t>.7联络</w:t>
      </w:r>
      <w:bookmarkEnd w:id="756"/>
      <w:bookmarkEnd w:id="757"/>
    </w:p>
    <w:bookmarkEnd w:id="758"/>
    <w:bookmarkEnd w:id="759"/>
    <w:bookmarkEnd w:id="760"/>
    <w:p w14:paraId="46C260F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1.7.1 与合同有关的通知、批准、证明、证书、指示、指令、要求、请求、同意、意见、确定和决定等，均应采用书面形式，并应在合同约定的期限内送达接收人和送达地点。</w:t>
      </w:r>
    </w:p>
    <w:p w14:paraId="5A1D5E6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1.7.2 发包人和承包人应在专用合同条款中约定各自的送达接收人和送达地点。任何一方合同当事人指定的接收人或送达地点发生变动的，应提前3天以书面形式通知对方。</w:t>
      </w:r>
    </w:p>
    <w:p w14:paraId="21EBE73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 发包人和承包人应当及时签收另一方送达至送达地点和指定接收人的来往信函。拒不签收的，由此增加的费用和（或）延误的工期由拒绝接收一方承担。</w:t>
      </w:r>
    </w:p>
    <w:p w14:paraId="0A0B07BA">
      <w:pPr>
        <w:pStyle w:val="7"/>
        <w:spacing w:before="0" w:beforeAutospacing="0" w:after="0" w:afterAutospacing="0" w:line="360" w:lineRule="auto"/>
        <w:ind w:firstLine="420" w:firstLineChars="200"/>
        <w:rPr>
          <w:sz w:val="21"/>
          <w:szCs w:val="21"/>
        </w:rPr>
      </w:pPr>
      <w:bookmarkStart w:id="761" w:name="_Toc532377189"/>
      <w:bookmarkStart w:id="762" w:name="_Toc351203503"/>
      <w:r>
        <w:rPr>
          <w:rFonts w:hint="eastAsia"/>
          <w:sz w:val="21"/>
          <w:szCs w:val="21"/>
        </w:rPr>
        <w:t>1</w:t>
      </w:r>
      <w:bookmarkStart w:id="763" w:name="_Toc296346536"/>
      <w:bookmarkStart w:id="764" w:name="_Toc337558734"/>
      <w:bookmarkStart w:id="765" w:name="_Toc296503035"/>
      <w:r>
        <w:rPr>
          <w:rFonts w:hint="eastAsia"/>
          <w:sz w:val="21"/>
          <w:szCs w:val="21"/>
        </w:rPr>
        <w:t>.8严禁贿赂</w:t>
      </w:r>
      <w:bookmarkEnd w:id="761"/>
      <w:bookmarkEnd w:id="762"/>
    </w:p>
    <w:bookmarkEnd w:id="763"/>
    <w:bookmarkEnd w:id="764"/>
    <w:bookmarkEnd w:id="765"/>
    <w:p w14:paraId="404A9A8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合同当事人不得以贿赂或变相贿赂的方式，谋取非法利益或损害对方权益。因一方合同当事人的贿赂造成对方损失的，应赔偿损失，并承担相应的法律责任。</w:t>
      </w:r>
    </w:p>
    <w:p w14:paraId="4E70175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1C0F5E9C">
      <w:pPr>
        <w:pStyle w:val="7"/>
        <w:spacing w:before="0" w:beforeAutospacing="0" w:after="0" w:afterAutospacing="0" w:line="360" w:lineRule="auto"/>
        <w:ind w:firstLine="420" w:firstLineChars="200"/>
        <w:rPr>
          <w:sz w:val="21"/>
          <w:szCs w:val="21"/>
        </w:rPr>
      </w:pPr>
      <w:bookmarkStart w:id="766" w:name="_Toc351203504"/>
      <w:bookmarkStart w:id="767" w:name="_Toc532377190"/>
      <w:r>
        <w:rPr>
          <w:rFonts w:hint="eastAsia"/>
          <w:sz w:val="21"/>
          <w:szCs w:val="21"/>
        </w:rPr>
        <w:t>1</w:t>
      </w:r>
      <w:bookmarkStart w:id="768" w:name="_Toc337558735"/>
      <w:bookmarkStart w:id="769" w:name="_Toc296503036"/>
      <w:bookmarkStart w:id="770" w:name="_Toc296346537"/>
      <w:r>
        <w:rPr>
          <w:rFonts w:hint="eastAsia"/>
          <w:sz w:val="21"/>
          <w:szCs w:val="21"/>
        </w:rPr>
        <w:t>.9化石、文物</w:t>
      </w:r>
      <w:bookmarkEnd w:id="766"/>
      <w:bookmarkEnd w:id="767"/>
    </w:p>
    <w:bookmarkEnd w:id="768"/>
    <w:bookmarkEnd w:id="769"/>
    <w:bookmarkEnd w:id="770"/>
    <w:p w14:paraId="25DD741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2D523DD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发包人、监理人和承包人应按有关政府行政管理部门要求采取妥善的保护措施，由此增加的费用和（或）延误的工期由发包人承担。</w:t>
      </w:r>
    </w:p>
    <w:p w14:paraId="3A223AF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承包人发现文物后不及时报告或隐瞒不报，致使文物丢失或损坏的，应赔偿损失，并承担相应的法律责任。</w:t>
      </w:r>
    </w:p>
    <w:p w14:paraId="0BAB288C">
      <w:pPr>
        <w:pStyle w:val="7"/>
        <w:spacing w:before="0" w:beforeAutospacing="0" w:after="0" w:afterAutospacing="0" w:line="360" w:lineRule="auto"/>
        <w:ind w:firstLine="420" w:firstLineChars="200"/>
        <w:rPr>
          <w:sz w:val="21"/>
          <w:szCs w:val="21"/>
        </w:rPr>
      </w:pPr>
      <w:bookmarkStart w:id="771" w:name="_Toc532377191"/>
      <w:bookmarkStart w:id="772" w:name="_Toc351203505"/>
      <w:r>
        <w:rPr>
          <w:rFonts w:hint="eastAsia"/>
          <w:sz w:val="21"/>
          <w:szCs w:val="21"/>
        </w:rPr>
        <w:t>1</w:t>
      </w:r>
      <w:bookmarkStart w:id="773" w:name="_Toc337558736"/>
      <w:r>
        <w:rPr>
          <w:rFonts w:hint="eastAsia"/>
          <w:sz w:val="21"/>
          <w:szCs w:val="21"/>
        </w:rPr>
        <w:t>.10交通运输</w:t>
      </w:r>
      <w:bookmarkEnd w:id="771"/>
      <w:bookmarkEnd w:id="772"/>
    </w:p>
    <w:bookmarkEnd w:id="773"/>
    <w:p w14:paraId="6E97DCC5">
      <w:pPr>
        <w:spacing w:line="360" w:lineRule="auto"/>
        <w:ind w:firstLine="420" w:firstLineChars="200"/>
        <w:jc w:val="left"/>
        <w:rPr>
          <w:rFonts w:ascii="宋体" w:hAnsi="宋体"/>
          <w:kern w:val="0"/>
          <w:szCs w:val="21"/>
        </w:rPr>
      </w:pPr>
      <w:r>
        <w:rPr>
          <w:rFonts w:hint="eastAsia" w:ascii="宋体" w:hAnsi="宋体"/>
          <w:kern w:val="0"/>
          <w:szCs w:val="21"/>
        </w:rPr>
        <w:t>1.10.1 出入现场的权利</w:t>
      </w:r>
    </w:p>
    <w:p w14:paraId="6A11B90A">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75D207DA">
      <w:pPr>
        <w:spacing w:line="360" w:lineRule="auto"/>
        <w:ind w:firstLine="420" w:firstLineChars="200"/>
        <w:jc w:val="left"/>
        <w:rPr>
          <w:rFonts w:ascii="宋体" w:hAnsi="宋体"/>
          <w:kern w:val="0"/>
          <w:szCs w:val="21"/>
        </w:rPr>
      </w:pPr>
      <w:r>
        <w:rPr>
          <w:rFonts w:hint="eastAsia" w:ascii="宋体" w:hAnsi="宋体"/>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2AE8E1D1">
      <w:pPr>
        <w:spacing w:line="360" w:lineRule="auto"/>
        <w:ind w:firstLine="420" w:firstLineChars="200"/>
        <w:jc w:val="left"/>
        <w:rPr>
          <w:rFonts w:ascii="宋体" w:hAnsi="宋体"/>
          <w:kern w:val="0"/>
          <w:szCs w:val="21"/>
        </w:rPr>
      </w:pPr>
      <w:r>
        <w:rPr>
          <w:rFonts w:hint="eastAsia" w:ascii="宋体" w:hAnsi="宋体"/>
          <w:kern w:val="0"/>
          <w:szCs w:val="21"/>
        </w:rPr>
        <w:t>1.10.2 场外交通</w:t>
      </w:r>
    </w:p>
    <w:p w14:paraId="58E867B3">
      <w:pPr>
        <w:spacing w:line="360" w:lineRule="auto"/>
        <w:ind w:firstLine="420" w:firstLineChars="200"/>
        <w:jc w:val="left"/>
        <w:rPr>
          <w:rFonts w:ascii="宋体" w:hAnsi="宋体"/>
          <w:kern w:val="0"/>
          <w:szCs w:val="21"/>
        </w:rPr>
      </w:pPr>
      <w:r>
        <w:rPr>
          <w:rFonts w:hint="eastAsia" w:ascii="宋体" w:hAnsi="宋体"/>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D52AA6A">
      <w:pPr>
        <w:spacing w:line="360" w:lineRule="auto"/>
        <w:ind w:firstLine="420" w:firstLineChars="200"/>
        <w:jc w:val="left"/>
        <w:rPr>
          <w:rFonts w:ascii="宋体" w:hAnsi="宋体"/>
          <w:kern w:val="0"/>
          <w:szCs w:val="21"/>
        </w:rPr>
      </w:pPr>
      <w:r>
        <w:rPr>
          <w:rFonts w:hint="eastAsia" w:ascii="宋体" w:hAnsi="宋体"/>
          <w:kern w:val="0"/>
          <w:szCs w:val="21"/>
        </w:rPr>
        <w:t>1.10.3场内交通</w:t>
      </w:r>
    </w:p>
    <w:p w14:paraId="687E5D8D">
      <w:pPr>
        <w:spacing w:line="360" w:lineRule="auto"/>
        <w:ind w:firstLine="420" w:firstLineChars="200"/>
        <w:jc w:val="left"/>
        <w:rPr>
          <w:rFonts w:ascii="宋体" w:hAnsi="宋体"/>
          <w:kern w:val="0"/>
          <w:szCs w:val="21"/>
        </w:rPr>
      </w:pPr>
      <w:r>
        <w:rPr>
          <w:rFonts w:hint="eastAsia" w:ascii="宋体" w:hAnsi="宋体"/>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C758347">
      <w:pPr>
        <w:spacing w:line="360" w:lineRule="auto"/>
        <w:ind w:firstLine="420" w:firstLineChars="200"/>
        <w:jc w:val="left"/>
        <w:rPr>
          <w:rFonts w:ascii="宋体" w:hAnsi="宋体"/>
          <w:kern w:val="0"/>
          <w:szCs w:val="21"/>
        </w:rPr>
      </w:pPr>
      <w:r>
        <w:rPr>
          <w:rFonts w:hint="eastAsia" w:ascii="宋体" w:hAnsi="宋体"/>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5334211">
      <w:pPr>
        <w:spacing w:line="360" w:lineRule="auto"/>
        <w:ind w:firstLine="420" w:firstLineChars="200"/>
        <w:jc w:val="left"/>
        <w:rPr>
          <w:rFonts w:ascii="宋体" w:hAnsi="宋体"/>
          <w:kern w:val="0"/>
          <w:szCs w:val="21"/>
        </w:rPr>
      </w:pPr>
      <w:r>
        <w:rPr>
          <w:rFonts w:hint="eastAsia" w:ascii="宋体" w:hAnsi="宋体"/>
          <w:kern w:val="0"/>
          <w:szCs w:val="21"/>
        </w:rPr>
        <w:t>场外交通和场内交通的边界由合同当事人在专用合同条款中约定。</w:t>
      </w:r>
    </w:p>
    <w:p w14:paraId="1C0FFB34">
      <w:pPr>
        <w:spacing w:line="360" w:lineRule="auto"/>
        <w:ind w:firstLine="420" w:firstLineChars="200"/>
        <w:jc w:val="left"/>
        <w:rPr>
          <w:rFonts w:ascii="宋体" w:hAnsi="宋体"/>
          <w:kern w:val="0"/>
          <w:szCs w:val="21"/>
        </w:rPr>
      </w:pPr>
      <w:r>
        <w:rPr>
          <w:rFonts w:hint="eastAsia" w:ascii="宋体" w:hAnsi="宋体"/>
          <w:kern w:val="0"/>
          <w:szCs w:val="21"/>
        </w:rPr>
        <w:t>1.10.4 超大件和超重件的运输</w:t>
      </w:r>
    </w:p>
    <w:p w14:paraId="6D394B58">
      <w:pPr>
        <w:spacing w:line="360" w:lineRule="auto"/>
        <w:ind w:firstLine="420" w:firstLineChars="200"/>
        <w:jc w:val="left"/>
        <w:rPr>
          <w:rFonts w:ascii="宋体" w:hAnsi="宋体"/>
          <w:kern w:val="0"/>
          <w:szCs w:val="21"/>
        </w:rPr>
      </w:pPr>
      <w:r>
        <w:rPr>
          <w:rFonts w:hint="eastAsia" w:ascii="宋体" w:hAnsi="宋体"/>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6D8E44D">
      <w:pPr>
        <w:spacing w:line="360" w:lineRule="auto"/>
        <w:ind w:firstLine="420" w:firstLineChars="200"/>
        <w:jc w:val="left"/>
        <w:rPr>
          <w:rFonts w:ascii="宋体" w:hAnsi="宋体"/>
          <w:kern w:val="0"/>
          <w:szCs w:val="21"/>
        </w:rPr>
      </w:pPr>
      <w:r>
        <w:rPr>
          <w:rFonts w:hint="eastAsia" w:ascii="宋体" w:hAnsi="宋体"/>
          <w:kern w:val="0"/>
          <w:szCs w:val="21"/>
        </w:rPr>
        <w:t>1.10.5 道路和桥梁的损坏责任</w:t>
      </w:r>
    </w:p>
    <w:p w14:paraId="592DFBFB">
      <w:pPr>
        <w:spacing w:line="360" w:lineRule="auto"/>
        <w:ind w:firstLine="420" w:firstLineChars="200"/>
        <w:jc w:val="left"/>
        <w:rPr>
          <w:rFonts w:ascii="宋体" w:hAnsi="宋体"/>
          <w:kern w:val="0"/>
          <w:szCs w:val="21"/>
        </w:rPr>
      </w:pPr>
      <w:r>
        <w:rPr>
          <w:rFonts w:hint="eastAsia" w:ascii="宋体" w:hAnsi="宋体"/>
          <w:kern w:val="0"/>
          <w:szCs w:val="21"/>
        </w:rPr>
        <w:t>因承包人运输造成施工场地内外公共道路和桥梁损坏的，由承包人承担修复损坏的全部费用和可能引起的赔偿。</w:t>
      </w:r>
    </w:p>
    <w:p w14:paraId="2B90DE67">
      <w:pPr>
        <w:spacing w:line="360" w:lineRule="auto"/>
        <w:ind w:firstLine="420" w:firstLineChars="200"/>
        <w:jc w:val="left"/>
        <w:rPr>
          <w:rFonts w:ascii="宋体" w:hAnsi="宋体"/>
          <w:kern w:val="0"/>
          <w:szCs w:val="21"/>
        </w:rPr>
      </w:pPr>
      <w:r>
        <w:rPr>
          <w:rFonts w:hint="eastAsia" w:ascii="宋体" w:hAnsi="宋体"/>
          <w:kern w:val="0"/>
          <w:szCs w:val="21"/>
        </w:rPr>
        <w:t>1.10.6 水路和航空运输</w:t>
      </w:r>
    </w:p>
    <w:p w14:paraId="47B91629">
      <w:pPr>
        <w:spacing w:line="360" w:lineRule="auto"/>
        <w:ind w:firstLine="420" w:firstLineChars="200"/>
        <w:jc w:val="left"/>
        <w:rPr>
          <w:rFonts w:ascii="宋体" w:hAnsi="宋体"/>
          <w:kern w:val="0"/>
          <w:szCs w:val="21"/>
        </w:rPr>
      </w:pPr>
      <w:r>
        <w:rPr>
          <w:rFonts w:hint="eastAsia" w:ascii="宋体" w:hAnsi="宋体"/>
          <w:kern w:val="0"/>
          <w:szCs w:val="21"/>
        </w:rPr>
        <w:t>本款前述各项的内容适用于水路运输和航空运输，其中“道路”一词的涵义包括河道、航线、船闸、机场、码头、堤防以及水路或航空运输中其他相似结构物；“车辆”一词的涵义包括船舶和飞机等。</w:t>
      </w:r>
    </w:p>
    <w:p w14:paraId="5A1DF3D5">
      <w:pPr>
        <w:pStyle w:val="7"/>
        <w:spacing w:before="0" w:beforeAutospacing="0" w:after="0" w:afterAutospacing="0" w:line="360" w:lineRule="auto"/>
        <w:ind w:firstLine="420" w:firstLineChars="200"/>
        <w:rPr>
          <w:sz w:val="21"/>
          <w:szCs w:val="21"/>
        </w:rPr>
      </w:pPr>
      <w:bookmarkStart w:id="774" w:name="_Toc351203506"/>
      <w:bookmarkStart w:id="775" w:name="_Toc532377192"/>
      <w:r>
        <w:rPr>
          <w:rFonts w:hint="eastAsia"/>
          <w:sz w:val="21"/>
          <w:szCs w:val="21"/>
        </w:rPr>
        <w:t>1</w:t>
      </w:r>
      <w:bookmarkStart w:id="776" w:name="_Toc337558737"/>
      <w:bookmarkStart w:id="777" w:name="_Toc296346538"/>
      <w:bookmarkStart w:id="778" w:name="_Toc296503037"/>
      <w:r>
        <w:rPr>
          <w:rFonts w:hint="eastAsia"/>
          <w:sz w:val="21"/>
          <w:szCs w:val="21"/>
        </w:rPr>
        <w:t>.11知识产权</w:t>
      </w:r>
      <w:bookmarkEnd w:id="774"/>
      <w:bookmarkEnd w:id="775"/>
      <w:bookmarkEnd w:id="776"/>
    </w:p>
    <w:bookmarkEnd w:id="777"/>
    <w:bookmarkEnd w:id="778"/>
    <w:p w14:paraId="2BAB6BB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67DD04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CF9558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23C4FD5D">
      <w:pPr>
        <w:spacing w:line="360" w:lineRule="auto"/>
        <w:ind w:firstLine="420" w:firstLineChars="200"/>
        <w:jc w:val="left"/>
        <w:rPr>
          <w:rFonts w:ascii="宋体" w:hAnsi="宋体"/>
          <w:kern w:val="0"/>
          <w:szCs w:val="21"/>
        </w:rPr>
      </w:pPr>
      <w:r>
        <w:rPr>
          <w:rFonts w:hint="eastAsia" w:ascii="宋体" w:hAnsi="宋体"/>
          <w:kern w:val="0"/>
          <w:szCs w:val="21"/>
        </w:rPr>
        <w:t>1.11.4 除专用合同条款另有约定外，承包人在合同签订前和签订时已确定采用的专利、专有技术、技术秘密的使用费已包含在签约合同价中。</w:t>
      </w:r>
    </w:p>
    <w:p w14:paraId="555EB3AD">
      <w:pPr>
        <w:pStyle w:val="7"/>
        <w:spacing w:before="0" w:beforeAutospacing="0" w:after="0" w:afterAutospacing="0" w:line="360" w:lineRule="auto"/>
        <w:ind w:firstLine="420" w:firstLineChars="200"/>
        <w:rPr>
          <w:sz w:val="21"/>
          <w:szCs w:val="21"/>
        </w:rPr>
      </w:pPr>
      <w:bookmarkStart w:id="779" w:name="_Toc532377193"/>
      <w:bookmarkStart w:id="780" w:name="_Toc351203507"/>
      <w:r>
        <w:rPr>
          <w:rFonts w:hint="eastAsia"/>
          <w:sz w:val="21"/>
          <w:szCs w:val="21"/>
        </w:rPr>
        <w:t>1</w:t>
      </w:r>
      <w:bookmarkStart w:id="781" w:name="_Toc337558738"/>
      <w:r>
        <w:rPr>
          <w:rFonts w:hint="eastAsia"/>
          <w:sz w:val="21"/>
          <w:szCs w:val="21"/>
        </w:rPr>
        <w:t>.12保密</w:t>
      </w:r>
      <w:bookmarkEnd w:id="779"/>
      <w:bookmarkEnd w:id="780"/>
    </w:p>
    <w:bookmarkEnd w:id="781"/>
    <w:p w14:paraId="6A37794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除法律规定或合同另有约定外，未经发包人同意，承包人不得将发包人提供的图纸、文件以及声明需要保密的资料信息等商业秘密泄露给第三方。</w:t>
      </w:r>
    </w:p>
    <w:p w14:paraId="22A62A4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除法律规定或合同另有约定外，未经承包人同意，发包人不得将承包人提供的技术秘密及声明需要保密的资料信息等商业秘密泄露给第三方。</w:t>
      </w:r>
    </w:p>
    <w:p w14:paraId="0AC25ADE">
      <w:pPr>
        <w:pStyle w:val="7"/>
        <w:spacing w:before="0" w:beforeAutospacing="0" w:after="0" w:afterAutospacing="0" w:line="360" w:lineRule="auto"/>
        <w:ind w:firstLine="420" w:firstLineChars="200"/>
        <w:rPr>
          <w:sz w:val="21"/>
          <w:szCs w:val="21"/>
        </w:rPr>
      </w:pPr>
      <w:bookmarkStart w:id="782" w:name="_Toc532377194"/>
      <w:bookmarkStart w:id="783" w:name="_Toc351203508"/>
      <w:r>
        <w:rPr>
          <w:rFonts w:hint="eastAsia"/>
          <w:sz w:val="21"/>
          <w:szCs w:val="21"/>
        </w:rPr>
        <w:t>1.13工程量清单错误的修正</w:t>
      </w:r>
      <w:bookmarkEnd w:id="782"/>
      <w:bookmarkEnd w:id="783"/>
    </w:p>
    <w:p w14:paraId="7F85A16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除专用合同条款另有约定外，发包人提供的工程量清单，应被认为是准确的和完整的。出现下列情形之一时，发包人应予以修正，并相应调整合同价格：</w:t>
      </w:r>
    </w:p>
    <w:p w14:paraId="00CE5D2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（1）工程量清单存在缺项、漏项的；</w:t>
      </w:r>
    </w:p>
    <w:p w14:paraId="5D6EBD8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（2）工程量清单偏差超出专用合同条款约定的工程量偏差范围的；</w:t>
      </w:r>
    </w:p>
    <w:p w14:paraId="538C144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（3）未按照国家现行计量规范强制性规定计量的。</w:t>
      </w:r>
    </w:p>
    <w:p w14:paraId="4105A753">
      <w:pPr>
        <w:pStyle w:val="6"/>
        <w:keepNext/>
        <w:keepLines/>
        <w:spacing w:before="156" w:beforeLines="50" w:beforeAutospacing="0" w:after="156" w:afterLines="50" w:afterAutospacing="0" w:line="360" w:lineRule="auto"/>
        <w:jc w:val="both"/>
        <w:rPr>
          <w:kern w:val="2"/>
          <w:sz w:val="21"/>
          <w:szCs w:val="21"/>
        </w:rPr>
      </w:pPr>
      <w:bookmarkStart w:id="784" w:name="_Toc532377195"/>
      <w:bookmarkStart w:id="785" w:name="_Toc532375588"/>
      <w:bookmarkStart w:id="786" w:name="_Toc351203509"/>
      <w:r>
        <w:rPr>
          <w:rFonts w:hint="eastAsia"/>
          <w:kern w:val="2"/>
          <w:sz w:val="21"/>
          <w:szCs w:val="21"/>
        </w:rPr>
        <w:t>2</w:t>
      </w:r>
      <w:bookmarkStart w:id="787" w:name="_Toc296346539"/>
      <w:bookmarkStart w:id="788" w:name="_Toc296503038"/>
      <w:bookmarkStart w:id="789" w:name="_Toc337558739"/>
      <w:bookmarkStart w:id="790" w:name="OLE_LINK2"/>
      <w:r>
        <w:rPr>
          <w:rFonts w:hint="eastAsia"/>
          <w:kern w:val="2"/>
          <w:sz w:val="21"/>
          <w:szCs w:val="21"/>
        </w:rPr>
        <w:t>. 发包人</w:t>
      </w:r>
      <w:bookmarkEnd w:id="784"/>
      <w:bookmarkEnd w:id="785"/>
      <w:bookmarkEnd w:id="786"/>
    </w:p>
    <w:bookmarkEnd w:id="787"/>
    <w:bookmarkEnd w:id="788"/>
    <w:bookmarkEnd w:id="789"/>
    <w:p w14:paraId="5A08768D">
      <w:pPr>
        <w:pStyle w:val="7"/>
        <w:spacing w:before="0" w:beforeAutospacing="0" w:after="0" w:afterAutospacing="0" w:line="360" w:lineRule="auto"/>
        <w:ind w:firstLine="420" w:firstLineChars="200"/>
        <w:rPr>
          <w:sz w:val="21"/>
          <w:szCs w:val="21"/>
        </w:rPr>
      </w:pPr>
      <w:bookmarkStart w:id="791" w:name="_Toc351203510"/>
      <w:bookmarkStart w:id="792" w:name="_Toc532377196"/>
      <w:r>
        <w:rPr>
          <w:rFonts w:hint="eastAsia"/>
          <w:sz w:val="21"/>
          <w:szCs w:val="21"/>
        </w:rPr>
        <w:t>2</w:t>
      </w:r>
      <w:bookmarkStart w:id="793" w:name="_Toc296346540"/>
      <w:bookmarkStart w:id="794" w:name="_Toc296503039"/>
      <w:bookmarkStart w:id="795" w:name="_Toc337558740"/>
      <w:r>
        <w:rPr>
          <w:rFonts w:hint="eastAsia"/>
          <w:sz w:val="21"/>
          <w:szCs w:val="21"/>
        </w:rPr>
        <w:t>.1 许可或批准</w:t>
      </w:r>
      <w:bookmarkEnd w:id="791"/>
      <w:bookmarkEnd w:id="792"/>
    </w:p>
    <w:p w14:paraId="4E93B07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7B534E7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因发包人原因未能及时办理完毕前述许可、批准或备案，由发包人承担由此增加的费用和（或）延误的工期，并支付承包人合理的利润。</w:t>
      </w:r>
    </w:p>
    <w:p w14:paraId="088BF1D4">
      <w:pPr>
        <w:pStyle w:val="7"/>
        <w:spacing w:before="0" w:beforeAutospacing="0" w:after="0" w:afterAutospacing="0" w:line="360" w:lineRule="auto"/>
        <w:ind w:firstLine="420" w:firstLineChars="200"/>
        <w:rPr>
          <w:sz w:val="21"/>
          <w:szCs w:val="21"/>
        </w:rPr>
      </w:pPr>
      <w:bookmarkStart w:id="796" w:name="_Toc532377197"/>
      <w:bookmarkStart w:id="797" w:name="_Toc351203511"/>
      <w:r>
        <w:rPr>
          <w:rFonts w:hint="eastAsia"/>
          <w:sz w:val="21"/>
          <w:szCs w:val="21"/>
        </w:rPr>
        <w:t>2.2 发包人代表</w:t>
      </w:r>
      <w:bookmarkEnd w:id="796"/>
      <w:bookmarkEnd w:id="797"/>
    </w:p>
    <w:p w14:paraId="47962AB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9A575A3">
      <w:pPr>
        <w:spacing w:line="360" w:lineRule="auto"/>
        <w:ind w:firstLine="420" w:firstLineChars="200"/>
        <w:jc w:val="left"/>
        <w:rPr>
          <w:rFonts w:ascii="宋体" w:hAnsi="宋体"/>
          <w:kern w:val="0"/>
          <w:szCs w:val="21"/>
        </w:rPr>
      </w:pPr>
      <w:r>
        <w:rPr>
          <w:rFonts w:hint="eastAsia" w:ascii="宋体" w:hAnsi="宋体"/>
          <w:kern w:val="0"/>
          <w:szCs w:val="21"/>
        </w:rPr>
        <w:t>发包人代表不能按照合同约定履行其职责及义务，并导致合同无法继续正常履行的，承包人可以要求发包人撤换发包人代表。</w:t>
      </w:r>
    </w:p>
    <w:p w14:paraId="36F27F90">
      <w:pPr>
        <w:spacing w:line="360" w:lineRule="auto"/>
        <w:ind w:firstLine="420" w:firstLineChars="200"/>
        <w:jc w:val="left"/>
        <w:rPr>
          <w:rFonts w:ascii="宋体" w:hAnsi="宋体"/>
          <w:kern w:val="0"/>
          <w:szCs w:val="21"/>
        </w:rPr>
      </w:pPr>
      <w:r>
        <w:rPr>
          <w:rFonts w:hint="eastAsia" w:ascii="宋体" w:hAnsi="宋体"/>
          <w:kern w:val="0"/>
          <w:szCs w:val="21"/>
        </w:rPr>
        <w:t>不属于法定必须监理的工程，监理人的职权可以由发包人代表或发包人指定的其他人员行使。</w:t>
      </w:r>
    </w:p>
    <w:p w14:paraId="686784E4">
      <w:pPr>
        <w:pStyle w:val="7"/>
        <w:spacing w:before="0" w:beforeAutospacing="0" w:after="0" w:afterAutospacing="0" w:line="360" w:lineRule="auto"/>
        <w:ind w:firstLine="420" w:firstLineChars="200"/>
        <w:rPr>
          <w:sz w:val="21"/>
          <w:szCs w:val="21"/>
        </w:rPr>
      </w:pPr>
      <w:bookmarkStart w:id="798" w:name="_Toc532377198"/>
      <w:bookmarkStart w:id="799" w:name="_Toc351203512"/>
      <w:r>
        <w:rPr>
          <w:rFonts w:hint="eastAsia"/>
          <w:sz w:val="21"/>
          <w:szCs w:val="21"/>
        </w:rPr>
        <w:t>2.3 发包人人员</w:t>
      </w:r>
      <w:bookmarkEnd w:id="798"/>
      <w:bookmarkEnd w:id="799"/>
    </w:p>
    <w:p w14:paraId="6E9AA35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发包人应要求在施工现场的发包人人员遵守法律及有关安全、质量、环境保护、文明施工等规定，并保障承包人免于承受因发包人人员未遵守上述要求给承包人造成的损失和责任。</w:t>
      </w:r>
    </w:p>
    <w:p w14:paraId="6E5FAF3C">
      <w:pPr>
        <w:spacing w:line="360" w:lineRule="auto"/>
        <w:ind w:firstLine="420" w:firstLineChars="200"/>
        <w:jc w:val="left"/>
        <w:rPr>
          <w:rFonts w:ascii="宋体" w:hAnsi="宋体"/>
          <w:kern w:val="0"/>
          <w:szCs w:val="21"/>
        </w:rPr>
      </w:pPr>
      <w:r>
        <w:rPr>
          <w:rFonts w:hint="eastAsia" w:ascii="宋体" w:hAnsi="宋体"/>
          <w:kern w:val="0"/>
          <w:szCs w:val="21"/>
        </w:rPr>
        <w:t>发包人人员包括发包人代表及其他由发包人派驻施工现场的人员。</w:t>
      </w:r>
      <w:bookmarkEnd w:id="793"/>
      <w:bookmarkEnd w:id="794"/>
      <w:bookmarkEnd w:id="795"/>
    </w:p>
    <w:p w14:paraId="340379D0">
      <w:pPr>
        <w:pStyle w:val="7"/>
        <w:spacing w:before="0" w:beforeAutospacing="0" w:after="0" w:afterAutospacing="0" w:line="360" w:lineRule="auto"/>
        <w:ind w:firstLine="420" w:firstLineChars="200"/>
        <w:rPr>
          <w:sz w:val="21"/>
          <w:szCs w:val="21"/>
        </w:rPr>
      </w:pPr>
      <w:bookmarkStart w:id="800" w:name="_Toc351203513"/>
      <w:bookmarkStart w:id="801" w:name="_Toc532377199"/>
      <w:r>
        <w:rPr>
          <w:rFonts w:hint="eastAsia"/>
          <w:sz w:val="21"/>
          <w:szCs w:val="21"/>
        </w:rPr>
        <w:t>2</w:t>
      </w:r>
      <w:bookmarkStart w:id="802" w:name="_Toc296503040"/>
      <w:bookmarkStart w:id="803" w:name="_Toc337558741"/>
      <w:bookmarkStart w:id="804" w:name="_Toc296346541"/>
      <w:r>
        <w:rPr>
          <w:rFonts w:hint="eastAsia"/>
          <w:sz w:val="21"/>
          <w:szCs w:val="21"/>
        </w:rPr>
        <w:t>.4 施工现场、施工条件和基础资料的提供</w:t>
      </w:r>
      <w:bookmarkEnd w:id="800"/>
      <w:bookmarkEnd w:id="801"/>
      <w:bookmarkEnd w:id="802"/>
      <w:bookmarkEnd w:id="803"/>
      <w:bookmarkEnd w:id="804"/>
    </w:p>
    <w:p w14:paraId="157D338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2.4.1 提供施工现场</w:t>
      </w:r>
    </w:p>
    <w:p w14:paraId="0D41C18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w:t>
      </w:r>
      <w:bookmarkEnd w:id="790"/>
      <w:r>
        <w:rPr>
          <w:rFonts w:hint="eastAsia" w:ascii="宋体" w:hAnsi="宋体"/>
          <w:kern w:val="0"/>
          <w:szCs w:val="21"/>
        </w:rPr>
        <w:t>专用合同条款另有约定外，发包人应最迟于开工日期7天前向承包人移交施工现场。</w:t>
      </w:r>
    </w:p>
    <w:p w14:paraId="4FCB743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2.4.2 提供施工条件</w:t>
      </w:r>
    </w:p>
    <w:p w14:paraId="0F0D77F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除专用合同条款另有约定外，发包人应负责提供施工所需要的条件，包括：</w:t>
      </w:r>
    </w:p>
    <w:p w14:paraId="7C88803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（1）将施工用水、电力、通讯线路等施工所必需的条件接至施工现场内；</w:t>
      </w:r>
    </w:p>
    <w:p w14:paraId="4ECD2E2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（2）保证向承包人提供正常施工所需要的进入施工现场的交通条件；</w:t>
      </w:r>
    </w:p>
    <w:p w14:paraId="64B2A66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（3）协调处理施工现场周围地下管线和邻近建筑物、构筑物、古树名木的保护工作，并承担相关费用；</w:t>
      </w:r>
    </w:p>
    <w:p w14:paraId="02CE3E7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（4）按照专用合同条款约定应提供的其他设施和条件。</w:t>
      </w:r>
    </w:p>
    <w:p w14:paraId="1D8C81E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2.4.3 提供基础资料</w:t>
      </w:r>
    </w:p>
    <w:p w14:paraId="4F3DE3A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DE3DB3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按照法律规定确需在开工后方能提供的基础资料，发包人应尽其努力及时地在相应工程施工前的合理期限内提供，合理期限应以不影响承包人的正常施工为限。</w:t>
      </w:r>
    </w:p>
    <w:p w14:paraId="051BA3B6">
      <w:pPr>
        <w:spacing w:line="360" w:lineRule="auto"/>
        <w:ind w:firstLine="420" w:firstLineChars="200"/>
        <w:jc w:val="left"/>
        <w:rPr>
          <w:rFonts w:ascii="宋体" w:hAnsi="宋体"/>
          <w:kern w:val="0"/>
          <w:szCs w:val="21"/>
        </w:rPr>
      </w:pPr>
      <w:r>
        <w:rPr>
          <w:rFonts w:hint="eastAsia" w:ascii="宋体" w:hAnsi="宋体"/>
          <w:kern w:val="0"/>
          <w:szCs w:val="21"/>
        </w:rPr>
        <w:t>2.4.4 逾期提供的责任</w:t>
      </w:r>
    </w:p>
    <w:p w14:paraId="29830D82">
      <w:pPr>
        <w:spacing w:line="360" w:lineRule="auto"/>
        <w:ind w:firstLine="420" w:firstLineChars="200"/>
        <w:jc w:val="left"/>
        <w:rPr>
          <w:rFonts w:ascii="宋体" w:hAnsi="宋体"/>
          <w:kern w:val="0"/>
          <w:szCs w:val="21"/>
        </w:rPr>
      </w:pPr>
      <w:r>
        <w:rPr>
          <w:rFonts w:hint="eastAsia" w:ascii="宋体" w:hAnsi="宋体"/>
          <w:kern w:val="0"/>
          <w:szCs w:val="21"/>
        </w:rPr>
        <w:t>因发包人原因未能按合同约定及时向承包人提供施工现场、施工条件、基础资料的，由发包人承担由此增加的费用和（或）延误的工期。</w:t>
      </w:r>
    </w:p>
    <w:p w14:paraId="0891ACAE">
      <w:pPr>
        <w:pStyle w:val="7"/>
        <w:spacing w:before="0" w:beforeAutospacing="0" w:after="0" w:afterAutospacing="0" w:line="360" w:lineRule="auto"/>
        <w:ind w:firstLine="420" w:firstLineChars="200"/>
        <w:rPr>
          <w:sz w:val="21"/>
          <w:szCs w:val="21"/>
        </w:rPr>
      </w:pPr>
      <w:bookmarkStart w:id="805" w:name="_Toc532377200"/>
      <w:bookmarkStart w:id="806" w:name="_Toc351203514"/>
      <w:r>
        <w:rPr>
          <w:rFonts w:hint="eastAsia"/>
          <w:sz w:val="21"/>
          <w:szCs w:val="21"/>
        </w:rPr>
        <w:t>2</w:t>
      </w:r>
      <w:bookmarkStart w:id="807" w:name="_Toc337558745"/>
      <w:bookmarkStart w:id="808" w:name="_Toc296503042"/>
      <w:bookmarkStart w:id="809" w:name="_Toc296346543"/>
      <w:r>
        <w:rPr>
          <w:rFonts w:hint="eastAsia"/>
          <w:sz w:val="21"/>
          <w:szCs w:val="21"/>
        </w:rPr>
        <w:t>.5 资</w:t>
      </w:r>
      <w:bookmarkEnd w:id="807"/>
      <w:bookmarkEnd w:id="808"/>
      <w:bookmarkEnd w:id="809"/>
      <w:r>
        <w:rPr>
          <w:rFonts w:hint="eastAsia"/>
          <w:sz w:val="21"/>
          <w:szCs w:val="21"/>
        </w:rPr>
        <w:t>金来源证明及支付担保</w:t>
      </w:r>
      <w:bookmarkEnd w:id="805"/>
      <w:bookmarkEnd w:id="806"/>
    </w:p>
    <w:p w14:paraId="1BBF4251">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除专用合同条款另有约定外，发包人应在收到承包人要求提供资金来源证明的书面通知后28天内，向承包人提供能够按照合同约定支付合同价款的相应资金来源证明。</w:t>
      </w:r>
    </w:p>
    <w:p w14:paraId="791C1D05">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586AB43F">
      <w:pPr>
        <w:pStyle w:val="7"/>
        <w:spacing w:before="0" w:beforeAutospacing="0" w:after="0" w:afterAutospacing="0" w:line="360" w:lineRule="auto"/>
        <w:ind w:firstLine="420" w:firstLineChars="200"/>
        <w:rPr>
          <w:sz w:val="21"/>
          <w:szCs w:val="21"/>
        </w:rPr>
      </w:pPr>
      <w:bookmarkStart w:id="810" w:name="_Toc351203515"/>
      <w:bookmarkStart w:id="811" w:name="_Toc532377201"/>
      <w:r>
        <w:rPr>
          <w:rFonts w:hint="eastAsia"/>
          <w:sz w:val="21"/>
          <w:szCs w:val="21"/>
        </w:rPr>
        <w:t>2.6 支付合同价款</w:t>
      </w:r>
      <w:bookmarkEnd w:id="810"/>
      <w:bookmarkEnd w:id="811"/>
    </w:p>
    <w:p w14:paraId="2F91070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发包人应按合同约定向承包人及时支付合同价款。</w:t>
      </w:r>
    </w:p>
    <w:p w14:paraId="0622150B">
      <w:pPr>
        <w:pStyle w:val="7"/>
        <w:spacing w:before="0" w:beforeAutospacing="0" w:after="0" w:afterAutospacing="0" w:line="360" w:lineRule="auto"/>
        <w:ind w:firstLine="420" w:firstLineChars="200"/>
        <w:rPr>
          <w:sz w:val="21"/>
          <w:szCs w:val="21"/>
        </w:rPr>
      </w:pPr>
      <w:bookmarkStart w:id="812" w:name="_Toc532377202"/>
      <w:bookmarkStart w:id="813" w:name="_Toc351203516"/>
      <w:r>
        <w:rPr>
          <w:rFonts w:hint="eastAsia"/>
          <w:sz w:val="21"/>
          <w:szCs w:val="21"/>
        </w:rPr>
        <w:t>2.7 组织竣工验收</w:t>
      </w:r>
      <w:bookmarkEnd w:id="812"/>
      <w:bookmarkEnd w:id="813"/>
    </w:p>
    <w:p w14:paraId="4D5F88B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发包人应按合同约定及时组织竣工验收。</w:t>
      </w:r>
    </w:p>
    <w:p w14:paraId="0B74AFE9">
      <w:pPr>
        <w:pStyle w:val="7"/>
        <w:spacing w:before="0" w:beforeAutospacing="0" w:after="0" w:afterAutospacing="0" w:line="360" w:lineRule="auto"/>
        <w:ind w:firstLine="420" w:firstLineChars="200"/>
        <w:rPr>
          <w:sz w:val="21"/>
          <w:szCs w:val="21"/>
        </w:rPr>
      </w:pPr>
      <w:bookmarkStart w:id="814" w:name="_Toc532377203"/>
      <w:bookmarkStart w:id="815" w:name="_Toc351203517"/>
      <w:r>
        <w:rPr>
          <w:rFonts w:hint="eastAsia"/>
          <w:sz w:val="21"/>
          <w:szCs w:val="21"/>
        </w:rPr>
        <w:t>2.8 现场统一管理协议</w:t>
      </w:r>
      <w:bookmarkEnd w:id="814"/>
      <w:bookmarkEnd w:id="815"/>
    </w:p>
    <w:p w14:paraId="151641B7">
      <w:pPr>
        <w:spacing w:line="360" w:lineRule="auto"/>
        <w:ind w:firstLine="420" w:firstLineChars="200"/>
        <w:jc w:val="left"/>
        <w:rPr>
          <w:rFonts w:ascii="宋体" w:hAnsi="宋体"/>
          <w:kern w:val="0"/>
          <w:szCs w:val="21"/>
        </w:rPr>
      </w:pPr>
      <w:r>
        <w:rPr>
          <w:rFonts w:hint="eastAsia" w:ascii="宋体" w:hAnsi="宋体"/>
          <w:kern w:val="0"/>
          <w:szCs w:val="21"/>
        </w:rPr>
        <w:t>发包人应与承包人、由发包人直接发包的专业工程的承包人签订施工现场统一管理协议，明确各方的权利义务。施工现场统一管理协议作为专用合同条款的附件。</w:t>
      </w:r>
    </w:p>
    <w:p w14:paraId="2900FF57">
      <w:pPr>
        <w:pStyle w:val="6"/>
        <w:keepNext/>
        <w:keepLines/>
        <w:spacing w:before="156" w:beforeLines="50" w:beforeAutospacing="0" w:after="156" w:afterLines="50" w:afterAutospacing="0" w:line="360" w:lineRule="auto"/>
        <w:jc w:val="both"/>
        <w:rPr>
          <w:bCs w:val="0"/>
          <w:kern w:val="2"/>
          <w:sz w:val="21"/>
          <w:szCs w:val="21"/>
        </w:rPr>
      </w:pPr>
      <w:bookmarkStart w:id="816" w:name="_Toc532375589"/>
      <w:bookmarkStart w:id="817" w:name="_Toc532377204"/>
      <w:bookmarkStart w:id="818" w:name="_Toc351203518"/>
      <w:r>
        <w:rPr>
          <w:rFonts w:hint="eastAsia"/>
          <w:kern w:val="2"/>
          <w:sz w:val="21"/>
          <w:szCs w:val="21"/>
        </w:rPr>
        <w:t>3</w:t>
      </w:r>
      <w:bookmarkStart w:id="819" w:name="_Toc337558746"/>
      <w:bookmarkStart w:id="820" w:name="_Toc296503045"/>
      <w:bookmarkStart w:id="821" w:name="_Toc296346546"/>
      <w:r>
        <w:rPr>
          <w:rFonts w:hint="eastAsia"/>
          <w:kern w:val="2"/>
          <w:sz w:val="21"/>
          <w:szCs w:val="21"/>
        </w:rPr>
        <w:t>. 承包人</w:t>
      </w:r>
      <w:bookmarkEnd w:id="816"/>
      <w:bookmarkEnd w:id="817"/>
      <w:bookmarkEnd w:id="818"/>
    </w:p>
    <w:bookmarkEnd w:id="819"/>
    <w:bookmarkEnd w:id="820"/>
    <w:bookmarkEnd w:id="821"/>
    <w:p w14:paraId="6D26ED9F">
      <w:pPr>
        <w:pStyle w:val="7"/>
        <w:spacing w:before="0" w:beforeAutospacing="0" w:after="0" w:afterAutospacing="0" w:line="360" w:lineRule="auto"/>
        <w:ind w:firstLine="420" w:firstLineChars="200"/>
        <w:rPr>
          <w:sz w:val="21"/>
          <w:szCs w:val="21"/>
        </w:rPr>
      </w:pPr>
      <w:bookmarkStart w:id="822" w:name="_Toc351203519"/>
      <w:bookmarkStart w:id="823" w:name="_Toc532377205"/>
      <w:r>
        <w:rPr>
          <w:rFonts w:hint="eastAsia"/>
          <w:sz w:val="21"/>
          <w:szCs w:val="21"/>
        </w:rPr>
        <w:t>3</w:t>
      </w:r>
      <w:bookmarkStart w:id="824" w:name="_Toc296346547"/>
      <w:bookmarkStart w:id="825" w:name="_Toc337558747"/>
      <w:bookmarkStart w:id="826" w:name="_Toc296503046"/>
      <w:r>
        <w:rPr>
          <w:rFonts w:hint="eastAsia"/>
          <w:sz w:val="21"/>
          <w:szCs w:val="21"/>
        </w:rPr>
        <w:t>.1 承包人的一般义务</w:t>
      </w:r>
      <w:bookmarkEnd w:id="822"/>
      <w:bookmarkEnd w:id="823"/>
    </w:p>
    <w:bookmarkEnd w:id="824"/>
    <w:bookmarkEnd w:id="825"/>
    <w:bookmarkEnd w:id="826"/>
    <w:p w14:paraId="03F5392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承包人在履行合同过程中应遵守法律和工程建设标准规范，并履行以下义务：</w:t>
      </w:r>
    </w:p>
    <w:p w14:paraId="1E4D9255">
      <w:pPr>
        <w:numPr>
          <w:ilvl w:val="0"/>
          <w:numId w:val="1"/>
        </w:num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办理法律规定应由承包人办理的许可和批准，并将办理结果书面报送发包人留存；</w:t>
      </w:r>
    </w:p>
    <w:p w14:paraId="733F9EC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（2）按法律规定和合同约定完成工程，并在保修期内承担保修义务；</w:t>
      </w:r>
    </w:p>
    <w:p w14:paraId="5F17363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（3）按法律规定和合同约定采取施工安全和环境保护措施，办理工伤保险，确保工程及人员、材料、设备和设施的安全；</w:t>
      </w:r>
    </w:p>
    <w:p w14:paraId="1613A3E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（4）按合同约定的工作内容和施工进度要求，编制施工组织设计和施工措施计划，并对所有施工作业和施工方法的完备性和安全可靠性负责；</w:t>
      </w:r>
    </w:p>
    <w:p w14:paraId="4876A38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D70AEB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（6）按照第6.3款〔环境保护〕约定负责施工场地及其周边环境与生态的保护工作；</w:t>
      </w:r>
    </w:p>
    <w:p w14:paraId="090200C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（7）按第6.1款〔安全文明施工〕约定采取施工安全措施，确保工程及其人员、材料、设备和设施的安全，防止因工程施工造成的人身伤害和财产损失；</w:t>
      </w:r>
    </w:p>
    <w:p w14:paraId="3975C37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（8）将发包人按合同约定支付的各项价款专用于合同工程，且应及时支付其雇用人员工资，并及时向分包人支付合同价款；</w:t>
      </w:r>
    </w:p>
    <w:p w14:paraId="7CED3D3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（9）按照法律规定和合同约定编制竣工资料，完成竣工资料立卷及归档，并按专用合同条款约定的竣工资料的套数、内容、时间等要求移交发包人；</w:t>
      </w:r>
    </w:p>
    <w:p w14:paraId="703087E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（10）应履行的其他义务。</w:t>
      </w:r>
    </w:p>
    <w:p w14:paraId="3805D939">
      <w:pPr>
        <w:pStyle w:val="7"/>
        <w:spacing w:before="0" w:beforeAutospacing="0" w:after="0" w:afterAutospacing="0" w:line="360" w:lineRule="auto"/>
        <w:ind w:firstLine="420" w:firstLineChars="200"/>
        <w:rPr>
          <w:sz w:val="21"/>
          <w:szCs w:val="21"/>
        </w:rPr>
      </w:pPr>
      <w:bookmarkStart w:id="827" w:name="_Toc351203520"/>
      <w:bookmarkStart w:id="828" w:name="_Toc532377206"/>
      <w:r>
        <w:rPr>
          <w:rFonts w:hint="eastAsia"/>
          <w:sz w:val="21"/>
          <w:szCs w:val="21"/>
        </w:rPr>
        <w:t>3</w:t>
      </w:r>
      <w:bookmarkStart w:id="829" w:name="_Toc337558748"/>
      <w:bookmarkStart w:id="830" w:name="_Toc296346548"/>
      <w:bookmarkStart w:id="831" w:name="_Toc296503047"/>
      <w:r>
        <w:rPr>
          <w:rFonts w:hint="eastAsia"/>
          <w:sz w:val="21"/>
          <w:szCs w:val="21"/>
        </w:rPr>
        <w:t xml:space="preserve">.2 </w:t>
      </w:r>
      <w:bookmarkEnd w:id="827"/>
      <w:r>
        <w:rPr>
          <w:rFonts w:hint="eastAsia"/>
          <w:sz w:val="21"/>
          <w:szCs w:val="21"/>
        </w:rPr>
        <w:t>项目经理</w:t>
      </w:r>
      <w:bookmarkEnd w:id="828"/>
    </w:p>
    <w:bookmarkEnd w:id="829"/>
    <w:bookmarkEnd w:id="830"/>
    <w:bookmarkEnd w:id="831"/>
    <w:p w14:paraId="2CA321E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0D2BF9B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A1CDF1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承包人违反上述约定的，应按照专用合同条款的约定，承担违约责任。</w:t>
      </w:r>
    </w:p>
    <w:p w14:paraId="1C1A16D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60C2F28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0D4CF3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6165A29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69C2D3CE">
      <w:pPr>
        <w:pStyle w:val="7"/>
        <w:spacing w:before="0" w:beforeAutospacing="0" w:after="0" w:afterAutospacing="0" w:line="360" w:lineRule="auto"/>
        <w:ind w:firstLine="420" w:firstLineChars="200"/>
        <w:rPr>
          <w:sz w:val="21"/>
          <w:szCs w:val="21"/>
        </w:rPr>
      </w:pPr>
      <w:bookmarkStart w:id="832" w:name="_Toc532377207"/>
      <w:bookmarkStart w:id="833" w:name="_Toc351203521"/>
      <w:r>
        <w:rPr>
          <w:rFonts w:hint="eastAsia"/>
          <w:sz w:val="21"/>
          <w:szCs w:val="21"/>
        </w:rPr>
        <w:t>3</w:t>
      </w:r>
      <w:bookmarkStart w:id="834" w:name="_Toc296503048"/>
      <w:bookmarkStart w:id="835" w:name="_Toc296346549"/>
      <w:bookmarkStart w:id="836" w:name="_Toc337558749"/>
      <w:r>
        <w:rPr>
          <w:rFonts w:hint="eastAsia"/>
          <w:sz w:val="21"/>
          <w:szCs w:val="21"/>
        </w:rPr>
        <w:t xml:space="preserve">.3 </w:t>
      </w:r>
      <w:bookmarkEnd w:id="834"/>
      <w:bookmarkEnd w:id="835"/>
      <w:r>
        <w:rPr>
          <w:rFonts w:hint="eastAsia"/>
          <w:sz w:val="21"/>
          <w:szCs w:val="21"/>
        </w:rPr>
        <w:t>承包人人员</w:t>
      </w:r>
      <w:bookmarkEnd w:id="832"/>
      <w:bookmarkEnd w:id="833"/>
    </w:p>
    <w:bookmarkEnd w:id="836"/>
    <w:p w14:paraId="406B7A6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1C033D1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7C9DEE9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特殊工种作业人员均应持有相应的资格证明，监理人可以随时检查。</w:t>
      </w:r>
    </w:p>
    <w:p w14:paraId="0915057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D8FC21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1C8068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3.3.5 承包人擅自更换主要施工管理人员，或前述人员未经监理人或发包人同意擅自离开施工现场的，应按照专用合同条款约定承担违约责任。</w:t>
      </w:r>
    </w:p>
    <w:p w14:paraId="0A9B54E2">
      <w:pPr>
        <w:pStyle w:val="7"/>
        <w:spacing w:before="0" w:beforeAutospacing="0" w:after="0" w:afterAutospacing="0" w:line="360" w:lineRule="auto"/>
        <w:ind w:firstLine="420" w:firstLineChars="200"/>
        <w:rPr>
          <w:sz w:val="21"/>
          <w:szCs w:val="21"/>
        </w:rPr>
      </w:pPr>
      <w:bookmarkStart w:id="837" w:name="_Toc351203522"/>
      <w:bookmarkStart w:id="838" w:name="_Toc532377208"/>
      <w:r>
        <w:rPr>
          <w:rFonts w:hint="eastAsia"/>
          <w:sz w:val="21"/>
          <w:szCs w:val="21"/>
        </w:rPr>
        <w:t>3</w:t>
      </w:r>
      <w:bookmarkStart w:id="839" w:name="_Toc296503050"/>
      <w:bookmarkStart w:id="840" w:name="_Toc296346551"/>
      <w:bookmarkStart w:id="841" w:name="_Toc337558750"/>
      <w:r>
        <w:rPr>
          <w:rFonts w:hint="eastAsia"/>
          <w:sz w:val="21"/>
          <w:szCs w:val="21"/>
        </w:rPr>
        <w:t>.4 承包人现场查勘</w:t>
      </w:r>
      <w:bookmarkEnd w:id="837"/>
      <w:bookmarkEnd w:id="838"/>
    </w:p>
    <w:bookmarkEnd w:id="839"/>
    <w:bookmarkEnd w:id="840"/>
    <w:bookmarkEnd w:id="841"/>
    <w:p w14:paraId="72A44DD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承包人应对基于发包人按照第2.4.3项〔提供基础资料〕提交的基础资料所做出的解释和推断负责，但因基础资料存在错误、遗漏导致承包人解释或推断失实的，由发包人承担责任。</w:t>
      </w:r>
    </w:p>
    <w:p w14:paraId="376C880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14CBAA20">
      <w:pPr>
        <w:pStyle w:val="7"/>
        <w:spacing w:before="0" w:beforeAutospacing="0" w:after="0" w:afterAutospacing="0" w:line="360" w:lineRule="auto"/>
        <w:ind w:firstLine="420" w:firstLineChars="200"/>
        <w:rPr>
          <w:sz w:val="21"/>
          <w:szCs w:val="21"/>
        </w:rPr>
      </w:pPr>
      <w:bookmarkStart w:id="842" w:name="_Toc351203523"/>
      <w:bookmarkStart w:id="843" w:name="_Toc532377209"/>
      <w:r>
        <w:rPr>
          <w:rFonts w:hint="eastAsia"/>
          <w:sz w:val="21"/>
          <w:szCs w:val="21"/>
        </w:rPr>
        <w:t>3</w:t>
      </w:r>
      <w:bookmarkStart w:id="844" w:name="_Toc337558751"/>
      <w:bookmarkStart w:id="845" w:name="_Toc296346552"/>
      <w:bookmarkStart w:id="846" w:name="_Toc296503051"/>
      <w:r>
        <w:rPr>
          <w:rFonts w:hint="eastAsia"/>
          <w:sz w:val="21"/>
          <w:szCs w:val="21"/>
        </w:rPr>
        <w:t>.5 分包</w:t>
      </w:r>
      <w:bookmarkEnd w:id="842"/>
      <w:bookmarkEnd w:id="843"/>
    </w:p>
    <w:bookmarkEnd w:id="844"/>
    <w:bookmarkEnd w:id="845"/>
    <w:bookmarkEnd w:id="846"/>
    <w:p w14:paraId="434B3A6C">
      <w:pPr>
        <w:spacing w:line="360" w:lineRule="auto"/>
        <w:ind w:firstLine="420" w:firstLineChars="200"/>
        <w:jc w:val="left"/>
        <w:rPr>
          <w:rFonts w:ascii="宋体" w:hAnsi="宋体"/>
          <w:kern w:val="0"/>
          <w:szCs w:val="21"/>
        </w:rPr>
      </w:pPr>
      <w:r>
        <w:rPr>
          <w:rFonts w:hint="eastAsia" w:ascii="宋体" w:hAnsi="宋体"/>
          <w:kern w:val="0"/>
          <w:szCs w:val="21"/>
        </w:rPr>
        <w:t>3.5.1 分包的一般约定</w:t>
      </w:r>
    </w:p>
    <w:p w14:paraId="2850DBDD">
      <w:pPr>
        <w:spacing w:line="360" w:lineRule="auto"/>
        <w:ind w:firstLine="420" w:firstLineChars="200"/>
        <w:jc w:val="left"/>
        <w:rPr>
          <w:rFonts w:ascii="宋体" w:hAnsi="宋体"/>
          <w:kern w:val="0"/>
          <w:szCs w:val="21"/>
        </w:rPr>
      </w:pPr>
      <w:r>
        <w:rPr>
          <w:rFonts w:hint="eastAsia" w:ascii="宋体" w:hAnsi="宋体"/>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643370CF">
      <w:pPr>
        <w:spacing w:line="360" w:lineRule="auto"/>
        <w:ind w:firstLine="420" w:firstLineChars="200"/>
        <w:jc w:val="left"/>
        <w:rPr>
          <w:rFonts w:ascii="宋体" w:hAnsi="宋体"/>
          <w:kern w:val="0"/>
          <w:szCs w:val="21"/>
        </w:rPr>
      </w:pPr>
      <w:r>
        <w:rPr>
          <w:rFonts w:hint="eastAsia" w:ascii="宋体" w:hAnsi="宋体"/>
          <w:kern w:val="0"/>
          <w:szCs w:val="21"/>
        </w:rPr>
        <w:t>承包人不得以劳务分包的名义转包或违法分包工程。</w:t>
      </w:r>
    </w:p>
    <w:p w14:paraId="20EA21D1">
      <w:pPr>
        <w:spacing w:line="360" w:lineRule="auto"/>
        <w:ind w:firstLine="420" w:firstLineChars="200"/>
        <w:jc w:val="left"/>
        <w:rPr>
          <w:rFonts w:ascii="宋体" w:hAnsi="宋体"/>
          <w:kern w:val="0"/>
          <w:szCs w:val="21"/>
        </w:rPr>
      </w:pPr>
      <w:r>
        <w:rPr>
          <w:rFonts w:hint="eastAsia" w:ascii="宋体" w:hAnsi="宋体"/>
          <w:kern w:val="0"/>
          <w:szCs w:val="21"/>
        </w:rPr>
        <w:t>3.5.2 分包的确定</w:t>
      </w:r>
    </w:p>
    <w:p w14:paraId="42B68A74">
      <w:pPr>
        <w:spacing w:line="360" w:lineRule="auto"/>
        <w:ind w:firstLine="420" w:firstLineChars="200"/>
        <w:jc w:val="left"/>
        <w:rPr>
          <w:rFonts w:ascii="宋体" w:hAnsi="宋体"/>
          <w:kern w:val="0"/>
          <w:szCs w:val="21"/>
        </w:rPr>
      </w:pPr>
      <w:r>
        <w:rPr>
          <w:rFonts w:hint="eastAsia" w:ascii="宋体" w:hAnsi="宋体"/>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1BBB3FD2">
      <w:pPr>
        <w:spacing w:line="360" w:lineRule="auto"/>
        <w:ind w:firstLine="420" w:firstLineChars="200"/>
        <w:jc w:val="left"/>
        <w:rPr>
          <w:rFonts w:ascii="宋体" w:hAnsi="宋体"/>
          <w:kern w:val="0"/>
          <w:szCs w:val="21"/>
        </w:rPr>
      </w:pPr>
      <w:r>
        <w:rPr>
          <w:rFonts w:hint="eastAsia" w:ascii="宋体" w:hAnsi="宋体"/>
          <w:kern w:val="0"/>
          <w:szCs w:val="21"/>
        </w:rPr>
        <w:t>3.5.3 分包管理</w:t>
      </w:r>
    </w:p>
    <w:p w14:paraId="18CC46F5">
      <w:pPr>
        <w:spacing w:line="360" w:lineRule="auto"/>
        <w:ind w:firstLine="420" w:firstLineChars="200"/>
        <w:jc w:val="left"/>
        <w:rPr>
          <w:rFonts w:ascii="宋体" w:hAnsi="宋体"/>
          <w:kern w:val="0"/>
          <w:szCs w:val="21"/>
        </w:rPr>
      </w:pPr>
      <w:r>
        <w:rPr>
          <w:rFonts w:hint="eastAsia" w:ascii="宋体" w:hAnsi="宋体"/>
          <w:kern w:val="0"/>
          <w:szCs w:val="21"/>
        </w:rPr>
        <w:t>承包人应向监理人提交分包人的主要施工管理人员表，并对分包人的施工人员进行实名制管理，包括但不限于进出场管理、登记造册以及各种证照的办理。</w:t>
      </w:r>
    </w:p>
    <w:p w14:paraId="224B14EF">
      <w:pPr>
        <w:spacing w:line="360" w:lineRule="auto"/>
        <w:ind w:firstLine="420" w:firstLineChars="200"/>
        <w:jc w:val="left"/>
        <w:rPr>
          <w:rFonts w:ascii="宋体" w:hAnsi="宋体"/>
          <w:kern w:val="0"/>
          <w:szCs w:val="21"/>
        </w:rPr>
      </w:pPr>
      <w:r>
        <w:rPr>
          <w:rFonts w:hint="eastAsia" w:ascii="宋体" w:hAnsi="宋体"/>
          <w:kern w:val="0"/>
          <w:szCs w:val="21"/>
        </w:rPr>
        <w:t>3.5.4 分包合同价款</w:t>
      </w:r>
    </w:p>
    <w:p w14:paraId="790D0731">
      <w:pPr>
        <w:spacing w:line="360" w:lineRule="auto"/>
        <w:ind w:firstLine="420" w:firstLineChars="200"/>
        <w:jc w:val="left"/>
        <w:rPr>
          <w:rFonts w:ascii="宋体" w:hAnsi="宋体"/>
          <w:kern w:val="0"/>
          <w:szCs w:val="21"/>
        </w:rPr>
      </w:pPr>
      <w:r>
        <w:rPr>
          <w:rFonts w:hint="eastAsia" w:ascii="宋体" w:hAnsi="宋体"/>
          <w:kern w:val="0"/>
          <w:szCs w:val="21"/>
        </w:rPr>
        <w:t>（1）除本项第（2）目约定的情况或专用合同条款另有约定外，分包合同价款由承包人与分包人结算，未经承包人同意，发包人不得向分包人支付分包工程价款；</w:t>
      </w:r>
    </w:p>
    <w:p w14:paraId="68559839">
      <w:pPr>
        <w:spacing w:line="360" w:lineRule="auto"/>
        <w:ind w:firstLine="420" w:firstLineChars="200"/>
        <w:jc w:val="left"/>
        <w:rPr>
          <w:rFonts w:ascii="宋体" w:hAnsi="宋体"/>
          <w:kern w:val="0"/>
          <w:szCs w:val="21"/>
        </w:rPr>
      </w:pPr>
      <w:r>
        <w:rPr>
          <w:rFonts w:hint="eastAsia" w:ascii="宋体" w:hAnsi="宋体"/>
          <w:kern w:val="0"/>
          <w:szCs w:val="21"/>
        </w:rPr>
        <w:t>（2）生效法律文书要求发包人向分包人支付分包合同价款的，发包人有权从应付承包人工程款中扣除该部分款项。</w:t>
      </w:r>
    </w:p>
    <w:p w14:paraId="113C17D3">
      <w:pPr>
        <w:spacing w:line="360" w:lineRule="auto"/>
        <w:ind w:firstLine="420" w:firstLineChars="200"/>
        <w:jc w:val="left"/>
        <w:rPr>
          <w:rFonts w:ascii="宋体" w:hAnsi="宋体"/>
          <w:kern w:val="0"/>
          <w:szCs w:val="21"/>
        </w:rPr>
      </w:pPr>
      <w:r>
        <w:rPr>
          <w:rFonts w:hint="eastAsia" w:ascii="宋体" w:hAnsi="宋体"/>
          <w:kern w:val="0"/>
          <w:szCs w:val="21"/>
        </w:rPr>
        <w:t>3.5.5 分包合同权益的转让</w:t>
      </w:r>
    </w:p>
    <w:p w14:paraId="7F665392">
      <w:pPr>
        <w:spacing w:line="360" w:lineRule="auto"/>
        <w:ind w:firstLine="420" w:firstLineChars="200"/>
        <w:jc w:val="left"/>
        <w:rPr>
          <w:rFonts w:ascii="宋体" w:hAnsi="宋体"/>
          <w:kern w:val="0"/>
          <w:szCs w:val="21"/>
        </w:rPr>
      </w:pPr>
      <w:r>
        <w:rPr>
          <w:rFonts w:hint="eastAsia" w:ascii="宋体" w:hAnsi="宋体"/>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47" w:name="_Toc351203524"/>
    </w:p>
    <w:p w14:paraId="042F24AB">
      <w:pPr>
        <w:pStyle w:val="7"/>
        <w:spacing w:before="0" w:beforeAutospacing="0" w:after="0" w:afterAutospacing="0" w:line="360" w:lineRule="auto"/>
        <w:ind w:firstLine="420" w:firstLineChars="200"/>
        <w:rPr>
          <w:sz w:val="21"/>
          <w:szCs w:val="21"/>
        </w:rPr>
      </w:pPr>
      <w:bookmarkStart w:id="848" w:name="_Toc532377210"/>
      <w:r>
        <w:rPr>
          <w:rFonts w:hint="eastAsia"/>
          <w:sz w:val="21"/>
          <w:szCs w:val="21"/>
        </w:rPr>
        <w:t>3.6 工程照管与成品、半成品保护</w:t>
      </w:r>
      <w:bookmarkEnd w:id="847"/>
      <w:bookmarkEnd w:id="848"/>
    </w:p>
    <w:p w14:paraId="5A7899B2">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（1）除专用合同条款另有约定外，自发包人向承包人移交施工现场之日起，承包人应负责照管工程及工程相关的材料、工程设备，直到颁发工程接收证书之日止。</w:t>
      </w:r>
    </w:p>
    <w:p w14:paraId="6776B2F2">
      <w:pPr>
        <w:spacing w:line="360" w:lineRule="auto"/>
        <w:ind w:firstLine="420" w:firstLineChars="200"/>
        <w:jc w:val="left"/>
        <w:rPr>
          <w:rFonts w:ascii="宋体" w:hAnsi="宋体"/>
          <w:kern w:val="0"/>
          <w:szCs w:val="21"/>
        </w:rPr>
      </w:pPr>
      <w:r>
        <w:rPr>
          <w:rFonts w:hint="eastAsia" w:ascii="宋体" w:hAnsi="宋体"/>
          <w:kern w:val="0"/>
          <w:szCs w:val="21"/>
        </w:rPr>
        <w:t>（2）在承包人负责照管期间，因承包人原因造成工程、材料、工程设备损坏的，由承包人负责修复或更换，并承担由此增加的费用和（或）延误的工期。</w:t>
      </w:r>
    </w:p>
    <w:p w14:paraId="5903A057">
      <w:pPr>
        <w:spacing w:line="360" w:lineRule="auto"/>
        <w:ind w:firstLine="420" w:firstLineChars="200"/>
        <w:jc w:val="left"/>
        <w:rPr>
          <w:rFonts w:ascii="宋体" w:hAnsi="宋体"/>
          <w:kern w:val="0"/>
          <w:szCs w:val="21"/>
        </w:rPr>
      </w:pPr>
      <w:r>
        <w:rPr>
          <w:rFonts w:hint="eastAsia" w:ascii="宋体" w:hAnsi="宋体"/>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1E9A37F5">
      <w:pPr>
        <w:pStyle w:val="7"/>
        <w:spacing w:before="0" w:beforeAutospacing="0" w:after="0" w:afterAutospacing="0" w:line="360" w:lineRule="auto"/>
        <w:ind w:firstLine="420" w:firstLineChars="200"/>
        <w:rPr>
          <w:sz w:val="21"/>
          <w:szCs w:val="21"/>
        </w:rPr>
      </w:pPr>
      <w:bookmarkStart w:id="849" w:name="_Toc351203525"/>
      <w:bookmarkStart w:id="850" w:name="_Toc532377211"/>
      <w:r>
        <w:rPr>
          <w:rFonts w:hint="eastAsia"/>
          <w:sz w:val="21"/>
          <w:szCs w:val="21"/>
        </w:rPr>
        <w:t>3</w:t>
      </w:r>
      <w:bookmarkStart w:id="851" w:name="_Toc296503052"/>
      <w:bookmarkStart w:id="852" w:name="_Toc337558752"/>
      <w:bookmarkStart w:id="853" w:name="_Toc296346553"/>
      <w:r>
        <w:rPr>
          <w:rFonts w:hint="eastAsia"/>
          <w:sz w:val="21"/>
          <w:szCs w:val="21"/>
        </w:rPr>
        <w:t>.7 履约担保</w:t>
      </w:r>
      <w:bookmarkEnd w:id="849"/>
      <w:bookmarkEnd w:id="850"/>
    </w:p>
    <w:bookmarkEnd w:id="851"/>
    <w:bookmarkEnd w:id="852"/>
    <w:bookmarkEnd w:id="853"/>
    <w:p w14:paraId="572A366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77080DD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因承包人原因导致工期延长的，继续提供履约担保所增加的费用由承包人承担；非因承包人原因导致工期延长的，继续提供履约担保所增加的费用由发包人承担。</w:t>
      </w:r>
    </w:p>
    <w:p w14:paraId="55CCAF9D">
      <w:pPr>
        <w:pStyle w:val="7"/>
        <w:spacing w:before="0" w:beforeAutospacing="0" w:after="0" w:afterAutospacing="0" w:line="360" w:lineRule="auto"/>
        <w:ind w:firstLine="420" w:firstLineChars="200"/>
        <w:rPr>
          <w:sz w:val="21"/>
          <w:szCs w:val="21"/>
        </w:rPr>
      </w:pPr>
      <w:bookmarkStart w:id="854" w:name="_Toc351203526"/>
      <w:bookmarkStart w:id="855" w:name="_Toc532377212"/>
      <w:r>
        <w:rPr>
          <w:rFonts w:hint="eastAsia"/>
          <w:sz w:val="21"/>
          <w:szCs w:val="21"/>
        </w:rPr>
        <w:t>3.8 联合体</w:t>
      </w:r>
      <w:bookmarkEnd w:id="854"/>
      <w:bookmarkEnd w:id="855"/>
    </w:p>
    <w:p w14:paraId="73A9AB4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3.8.1 联合体各方应共同与发包人签订合同协议书。联合体各方应为履行合同向发包人承担连带责任。</w:t>
      </w:r>
    </w:p>
    <w:p w14:paraId="0C3DE7D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3.8.2 </w:t>
      </w:r>
      <w:r>
        <w:rPr>
          <w:rFonts w:hint="eastAsia" w:ascii="宋体" w:hAnsi="宋体"/>
          <w:lang w:val="en-US" w:eastAsia="zh-CN"/>
        </w:rPr>
        <w:t>共同投标协议</w:t>
      </w:r>
      <w:r>
        <w:rPr>
          <w:rFonts w:hint="eastAsia" w:ascii="宋体" w:hAnsi="宋体"/>
          <w:kern w:val="0"/>
          <w:szCs w:val="21"/>
        </w:rPr>
        <w:t>经发包人确认后作为合同附件。在履行合同过程中，未经发包人同意，不得修改</w:t>
      </w:r>
      <w:r>
        <w:rPr>
          <w:rFonts w:hint="eastAsia" w:ascii="宋体" w:hAnsi="宋体"/>
          <w:lang w:val="en-US" w:eastAsia="zh-CN"/>
        </w:rPr>
        <w:t>共同投标协议</w:t>
      </w:r>
      <w:r>
        <w:rPr>
          <w:rFonts w:hint="eastAsia" w:ascii="宋体" w:hAnsi="宋体"/>
          <w:kern w:val="0"/>
          <w:szCs w:val="21"/>
        </w:rPr>
        <w:t>。</w:t>
      </w:r>
    </w:p>
    <w:p w14:paraId="39968B9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3.8.3 联合体牵头人负责与发包人和监理人联系，并接受指示，负责组织联合体各成员全面履行合同。</w:t>
      </w:r>
    </w:p>
    <w:p w14:paraId="57661C28">
      <w:pPr>
        <w:pStyle w:val="6"/>
        <w:keepNext/>
        <w:keepLines/>
        <w:spacing w:before="156" w:beforeLines="50" w:beforeAutospacing="0" w:after="156" w:afterLines="50" w:afterAutospacing="0" w:line="360" w:lineRule="auto"/>
        <w:jc w:val="both"/>
        <w:rPr>
          <w:bCs w:val="0"/>
          <w:kern w:val="2"/>
          <w:sz w:val="21"/>
          <w:szCs w:val="21"/>
        </w:rPr>
      </w:pPr>
      <w:bookmarkStart w:id="856" w:name="_Toc532375590"/>
      <w:bookmarkStart w:id="857" w:name="_Toc351203527"/>
      <w:bookmarkStart w:id="858" w:name="_Toc532377213"/>
      <w:r>
        <w:rPr>
          <w:rFonts w:hint="eastAsia"/>
          <w:kern w:val="2"/>
          <w:sz w:val="21"/>
          <w:szCs w:val="21"/>
        </w:rPr>
        <w:t>4</w:t>
      </w:r>
      <w:bookmarkStart w:id="859" w:name="_Toc296346554"/>
      <w:bookmarkStart w:id="860" w:name="_Toc296503053"/>
      <w:bookmarkStart w:id="861" w:name="_Toc337558753"/>
      <w:r>
        <w:rPr>
          <w:rFonts w:hint="eastAsia"/>
          <w:kern w:val="2"/>
          <w:sz w:val="21"/>
          <w:szCs w:val="21"/>
        </w:rPr>
        <w:t>. 监</w:t>
      </w:r>
      <w:bookmarkEnd w:id="859"/>
      <w:bookmarkEnd w:id="860"/>
      <w:r>
        <w:rPr>
          <w:rFonts w:hint="eastAsia"/>
          <w:kern w:val="2"/>
          <w:sz w:val="21"/>
          <w:szCs w:val="21"/>
        </w:rPr>
        <w:t>理人</w:t>
      </w:r>
      <w:bookmarkEnd w:id="856"/>
      <w:bookmarkEnd w:id="857"/>
      <w:bookmarkEnd w:id="858"/>
    </w:p>
    <w:bookmarkEnd w:id="861"/>
    <w:p w14:paraId="4860BBB0">
      <w:pPr>
        <w:pStyle w:val="7"/>
        <w:spacing w:before="0" w:beforeAutospacing="0" w:after="0" w:afterAutospacing="0" w:line="360" w:lineRule="auto"/>
        <w:ind w:firstLine="420" w:firstLineChars="200"/>
        <w:rPr>
          <w:sz w:val="21"/>
          <w:szCs w:val="21"/>
        </w:rPr>
      </w:pPr>
      <w:bookmarkStart w:id="862" w:name="_Toc351203528"/>
      <w:bookmarkStart w:id="863" w:name="_Toc532377214"/>
      <w:r>
        <w:rPr>
          <w:rFonts w:hint="eastAsia"/>
          <w:sz w:val="21"/>
          <w:szCs w:val="21"/>
        </w:rPr>
        <w:t>4</w:t>
      </w:r>
      <w:bookmarkStart w:id="864" w:name="_Toc337558754"/>
      <w:bookmarkStart w:id="865" w:name="_Toc296503054"/>
      <w:bookmarkStart w:id="866" w:name="_Toc296346555"/>
      <w:r>
        <w:rPr>
          <w:rFonts w:hint="eastAsia"/>
          <w:sz w:val="21"/>
          <w:szCs w:val="21"/>
        </w:rPr>
        <w:t>.1监理人的一般规定</w:t>
      </w:r>
      <w:bookmarkEnd w:id="862"/>
      <w:bookmarkEnd w:id="863"/>
    </w:p>
    <w:bookmarkEnd w:id="864"/>
    <w:bookmarkEnd w:id="865"/>
    <w:bookmarkEnd w:id="866"/>
    <w:p w14:paraId="1989397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DCC23B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除专用合同条款另有约定外，监理人在施工现场的办公场所、生活场所由承包人提供，所发生的费用由发包人承担。</w:t>
      </w:r>
    </w:p>
    <w:p w14:paraId="0B4ECB07">
      <w:pPr>
        <w:pStyle w:val="7"/>
        <w:spacing w:before="0" w:beforeAutospacing="0" w:after="0" w:afterAutospacing="0" w:line="360" w:lineRule="auto"/>
        <w:ind w:firstLine="420" w:firstLineChars="200"/>
        <w:rPr>
          <w:sz w:val="21"/>
          <w:szCs w:val="21"/>
        </w:rPr>
      </w:pPr>
      <w:bookmarkStart w:id="867" w:name="_Toc351203529"/>
      <w:bookmarkStart w:id="868" w:name="_Toc532377215"/>
      <w:r>
        <w:rPr>
          <w:rFonts w:hint="eastAsia"/>
          <w:sz w:val="21"/>
          <w:szCs w:val="21"/>
        </w:rPr>
        <w:t>4</w:t>
      </w:r>
      <w:bookmarkStart w:id="869" w:name="_Toc337558755"/>
      <w:r>
        <w:rPr>
          <w:rFonts w:hint="eastAsia"/>
          <w:sz w:val="21"/>
          <w:szCs w:val="21"/>
        </w:rPr>
        <w:t>.2监理人员</w:t>
      </w:r>
      <w:bookmarkEnd w:id="867"/>
      <w:bookmarkEnd w:id="868"/>
    </w:p>
    <w:bookmarkEnd w:id="869"/>
    <w:p w14:paraId="032AF8B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18A601A">
      <w:pPr>
        <w:pStyle w:val="7"/>
        <w:spacing w:before="0" w:beforeAutospacing="0" w:after="0" w:afterAutospacing="0" w:line="360" w:lineRule="auto"/>
        <w:ind w:firstLine="420" w:firstLineChars="200"/>
        <w:rPr>
          <w:sz w:val="21"/>
          <w:szCs w:val="21"/>
        </w:rPr>
      </w:pPr>
      <w:bookmarkStart w:id="870" w:name="_Toc351203530"/>
      <w:bookmarkStart w:id="871" w:name="_Toc532377216"/>
      <w:r>
        <w:rPr>
          <w:rFonts w:hint="eastAsia"/>
          <w:sz w:val="21"/>
          <w:szCs w:val="21"/>
        </w:rPr>
        <w:t>4</w:t>
      </w:r>
      <w:bookmarkStart w:id="872" w:name="_Toc296503055"/>
      <w:bookmarkStart w:id="873" w:name="_Toc296346556"/>
      <w:bookmarkStart w:id="874" w:name="_Toc337558756"/>
      <w:r>
        <w:rPr>
          <w:rFonts w:hint="eastAsia"/>
          <w:sz w:val="21"/>
          <w:szCs w:val="21"/>
        </w:rPr>
        <w:t>.3</w:t>
      </w:r>
      <w:bookmarkEnd w:id="872"/>
      <w:bookmarkEnd w:id="873"/>
      <w:r>
        <w:rPr>
          <w:rFonts w:hint="eastAsia"/>
          <w:sz w:val="21"/>
          <w:szCs w:val="21"/>
        </w:rPr>
        <w:t>监理人的指</w:t>
      </w:r>
      <w:bookmarkEnd w:id="874"/>
      <w:r>
        <w:rPr>
          <w:rFonts w:hint="eastAsia"/>
          <w:sz w:val="21"/>
          <w:szCs w:val="21"/>
        </w:rPr>
        <w:t>示</w:t>
      </w:r>
      <w:bookmarkEnd w:id="870"/>
      <w:bookmarkEnd w:id="871"/>
    </w:p>
    <w:p w14:paraId="4797CB8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37BF92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2BAAAD6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承包人对监理人发出的指示有疑问的，应向监理人提出书面异议，监理人应在48小时内对该指示予以确认、更改或撤销，监理人逾期未回复的，承包人有权拒绝执行上述指示。</w:t>
      </w:r>
    </w:p>
    <w:p w14:paraId="414AA0A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14:paraId="29E69431">
      <w:pPr>
        <w:pStyle w:val="7"/>
        <w:spacing w:before="0" w:beforeAutospacing="0" w:after="0" w:afterAutospacing="0" w:line="360" w:lineRule="auto"/>
        <w:ind w:firstLine="420" w:firstLineChars="200"/>
        <w:rPr>
          <w:sz w:val="21"/>
          <w:szCs w:val="21"/>
        </w:rPr>
      </w:pPr>
      <w:bookmarkStart w:id="875" w:name="_Toc532377217"/>
      <w:bookmarkStart w:id="876" w:name="_Toc351203531"/>
      <w:r>
        <w:rPr>
          <w:rFonts w:hint="eastAsia"/>
          <w:sz w:val="21"/>
          <w:szCs w:val="21"/>
        </w:rPr>
        <w:t>4</w:t>
      </w:r>
      <w:bookmarkStart w:id="877" w:name="_Toc337558757"/>
      <w:bookmarkStart w:id="878" w:name="_Toc296346558"/>
      <w:bookmarkStart w:id="879" w:name="_Toc296503057"/>
      <w:r>
        <w:rPr>
          <w:rFonts w:hint="eastAsia"/>
          <w:sz w:val="21"/>
          <w:szCs w:val="21"/>
        </w:rPr>
        <w:t>.4 商定或确定</w:t>
      </w:r>
      <w:bookmarkEnd w:id="875"/>
      <w:bookmarkEnd w:id="876"/>
    </w:p>
    <w:bookmarkEnd w:id="877"/>
    <w:bookmarkEnd w:id="878"/>
    <w:bookmarkEnd w:id="879"/>
    <w:p w14:paraId="5504D48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合同当事人进行商定或确定时，总监理工程师应当会同合同当事人尽量通过协商达成一致，不能达成一致的，由总监理工程师按照合同约定审慎做出公正的确定。</w:t>
      </w:r>
    </w:p>
    <w:p w14:paraId="119B3CD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06B4424C">
      <w:pPr>
        <w:pStyle w:val="6"/>
        <w:keepNext/>
        <w:keepLines/>
        <w:spacing w:before="156" w:beforeLines="50" w:beforeAutospacing="0" w:after="156" w:afterLines="50" w:afterAutospacing="0" w:line="360" w:lineRule="auto"/>
        <w:jc w:val="both"/>
        <w:rPr>
          <w:bCs w:val="0"/>
          <w:kern w:val="2"/>
          <w:sz w:val="21"/>
          <w:szCs w:val="21"/>
        </w:rPr>
      </w:pPr>
      <w:bookmarkStart w:id="880" w:name="_Toc532377218"/>
      <w:bookmarkStart w:id="881" w:name="_Toc351203532"/>
      <w:bookmarkStart w:id="882" w:name="_Toc532375591"/>
      <w:r>
        <w:rPr>
          <w:rFonts w:hint="eastAsia"/>
          <w:kern w:val="2"/>
          <w:sz w:val="21"/>
          <w:szCs w:val="21"/>
        </w:rPr>
        <w:t>5</w:t>
      </w:r>
      <w:bookmarkStart w:id="883" w:name="_Toc337558758"/>
      <w:r>
        <w:rPr>
          <w:rFonts w:hint="eastAsia"/>
          <w:kern w:val="2"/>
          <w:sz w:val="21"/>
          <w:szCs w:val="21"/>
        </w:rPr>
        <w:t>. 工程质量</w:t>
      </w:r>
      <w:bookmarkEnd w:id="880"/>
      <w:bookmarkEnd w:id="881"/>
      <w:bookmarkEnd w:id="882"/>
    </w:p>
    <w:bookmarkEnd w:id="883"/>
    <w:p w14:paraId="00200702">
      <w:pPr>
        <w:pStyle w:val="7"/>
        <w:spacing w:before="0" w:beforeAutospacing="0" w:after="0" w:afterAutospacing="0" w:line="360" w:lineRule="auto"/>
        <w:ind w:firstLine="420" w:firstLineChars="200"/>
        <w:rPr>
          <w:sz w:val="21"/>
          <w:szCs w:val="21"/>
        </w:rPr>
      </w:pPr>
      <w:bookmarkStart w:id="884" w:name="_Toc351203533"/>
      <w:bookmarkStart w:id="885" w:name="_Toc532377219"/>
      <w:r>
        <w:rPr>
          <w:rFonts w:hint="eastAsia"/>
          <w:sz w:val="21"/>
          <w:szCs w:val="21"/>
        </w:rPr>
        <w:t>5</w:t>
      </w:r>
      <w:bookmarkStart w:id="886" w:name="_Toc337558759"/>
      <w:r>
        <w:rPr>
          <w:rFonts w:hint="eastAsia"/>
          <w:sz w:val="21"/>
          <w:szCs w:val="21"/>
        </w:rPr>
        <w:t>.1质量要求</w:t>
      </w:r>
      <w:bookmarkEnd w:id="884"/>
      <w:bookmarkEnd w:id="885"/>
    </w:p>
    <w:bookmarkEnd w:id="886"/>
    <w:p w14:paraId="7E381E0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5.1.1 工程质量标准必须符合现行国家有关工程施工质量验收规范和标准的要求。有关工程质量的特殊标准或要求由合同当事人在专用合同条款中约定。</w:t>
      </w:r>
    </w:p>
    <w:p w14:paraId="1B6B2E5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5.1.2 因发包人原因造成工程质量未达到合同约定标准的，由发包人承担由此增加的费用和（或）延误的工期，并支付承包人合理的利润。</w:t>
      </w:r>
    </w:p>
    <w:p w14:paraId="0964204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5.1.3 因承包人原因造成工程质量未达到合同约定标准的，发包人有权要求承包人返工直至工程质量达到合同约定的标准为止，并由承包人承担由此增加的费用和（或）延误的工期。</w:t>
      </w:r>
    </w:p>
    <w:p w14:paraId="73B3B519">
      <w:pPr>
        <w:pStyle w:val="7"/>
        <w:spacing w:before="0" w:beforeAutospacing="0" w:after="0" w:afterAutospacing="0" w:line="360" w:lineRule="auto"/>
        <w:ind w:firstLine="420" w:firstLineChars="200"/>
        <w:rPr>
          <w:sz w:val="21"/>
          <w:szCs w:val="21"/>
        </w:rPr>
      </w:pPr>
      <w:bookmarkStart w:id="887" w:name="_Toc532377220"/>
      <w:bookmarkStart w:id="888" w:name="_Toc351203534"/>
      <w:r>
        <w:rPr>
          <w:rFonts w:hint="eastAsia"/>
          <w:sz w:val="21"/>
          <w:szCs w:val="21"/>
        </w:rPr>
        <w:t>5</w:t>
      </w:r>
      <w:bookmarkStart w:id="889" w:name="_Toc337558760"/>
      <w:r>
        <w:rPr>
          <w:rFonts w:hint="eastAsia"/>
          <w:sz w:val="21"/>
          <w:szCs w:val="21"/>
        </w:rPr>
        <w:t>.2质量保证措施</w:t>
      </w:r>
      <w:bookmarkEnd w:id="887"/>
      <w:bookmarkEnd w:id="888"/>
    </w:p>
    <w:bookmarkEnd w:id="889"/>
    <w:p w14:paraId="67FFCE5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5.2.1 发包人的质量管理</w:t>
      </w:r>
    </w:p>
    <w:p w14:paraId="3C402FD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发包人应按照法律规定及合同约定完成与工程质量有关的各项工作。</w:t>
      </w:r>
    </w:p>
    <w:p w14:paraId="368AA80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5.2.2 承包人的质量管理</w:t>
      </w:r>
    </w:p>
    <w:p w14:paraId="1BC54E6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0FCDA62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承包人应对施工人员进行质量教育和技术培训，定期考核施工人员的劳动技能，严格执行施工规范和操作规程。</w:t>
      </w:r>
    </w:p>
    <w:p w14:paraId="1DAF7EA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205FE0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5.2.3 监理人的质量检查和检验</w:t>
      </w:r>
    </w:p>
    <w:p w14:paraId="40C32C6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CEE957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1329FDF">
      <w:pPr>
        <w:pStyle w:val="7"/>
        <w:spacing w:before="0" w:beforeAutospacing="0" w:after="0" w:afterAutospacing="0" w:line="360" w:lineRule="auto"/>
        <w:ind w:firstLine="420" w:firstLineChars="200"/>
        <w:rPr>
          <w:sz w:val="21"/>
          <w:szCs w:val="21"/>
        </w:rPr>
      </w:pPr>
      <w:bookmarkStart w:id="890" w:name="_Toc351203535"/>
      <w:bookmarkStart w:id="891" w:name="_Toc532377221"/>
      <w:r>
        <w:rPr>
          <w:rFonts w:hint="eastAsia"/>
          <w:sz w:val="21"/>
          <w:szCs w:val="21"/>
        </w:rPr>
        <w:t>5</w:t>
      </w:r>
      <w:bookmarkStart w:id="892" w:name="_Toc337558761"/>
      <w:r>
        <w:rPr>
          <w:rFonts w:hint="eastAsia"/>
          <w:sz w:val="21"/>
          <w:szCs w:val="21"/>
        </w:rPr>
        <w:t>.3 隐蔽工程检查</w:t>
      </w:r>
      <w:bookmarkEnd w:id="890"/>
      <w:bookmarkEnd w:id="891"/>
    </w:p>
    <w:bookmarkEnd w:id="892"/>
    <w:p w14:paraId="0641EC97">
      <w:pPr>
        <w:spacing w:line="360" w:lineRule="auto"/>
        <w:ind w:firstLine="420" w:firstLineChars="200"/>
        <w:jc w:val="left"/>
        <w:rPr>
          <w:rFonts w:ascii="宋体" w:hAnsi="宋体"/>
          <w:kern w:val="0"/>
          <w:szCs w:val="21"/>
        </w:rPr>
      </w:pPr>
      <w:r>
        <w:rPr>
          <w:rFonts w:hint="eastAsia" w:ascii="宋体" w:hAnsi="宋体"/>
          <w:kern w:val="0"/>
          <w:szCs w:val="21"/>
        </w:rPr>
        <w:t>5.3.1承包人自检</w:t>
      </w:r>
    </w:p>
    <w:p w14:paraId="426B7470">
      <w:pPr>
        <w:spacing w:line="360" w:lineRule="auto"/>
        <w:ind w:firstLine="420" w:firstLineChars="200"/>
        <w:jc w:val="left"/>
        <w:rPr>
          <w:rFonts w:ascii="宋体" w:hAnsi="宋体"/>
          <w:kern w:val="0"/>
          <w:szCs w:val="21"/>
        </w:rPr>
      </w:pPr>
      <w:r>
        <w:rPr>
          <w:rFonts w:hint="eastAsia" w:ascii="宋体" w:hAnsi="宋体"/>
          <w:kern w:val="0"/>
          <w:szCs w:val="21"/>
        </w:rPr>
        <w:t>承包人应当对工程隐蔽部位进行自检，并经自检确认是否具备覆盖条件。</w:t>
      </w:r>
    </w:p>
    <w:p w14:paraId="76383887">
      <w:pPr>
        <w:spacing w:line="360" w:lineRule="auto"/>
        <w:ind w:firstLine="420" w:firstLineChars="200"/>
        <w:jc w:val="left"/>
        <w:rPr>
          <w:rFonts w:ascii="宋体" w:hAnsi="宋体"/>
          <w:kern w:val="0"/>
          <w:szCs w:val="21"/>
        </w:rPr>
      </w:pPr>
      <w:r>
        <w:rPr>
          <w:rFonts w:hint="eastAsia" w:ascii="宋体" w:hAnsi="宋体"/>
          <w:kern w:val="0"/>
          <w:szCs w:val="21"/>
        </w:rPr>
        <w:t>5.3.2检查程序</w:t>
      </w:r>
    </w:p>
    <w:p w14:paraId="63EE6F71">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32C546D1">
      <w:pPr>
        <w:spacing w:line="360" w:lineRule="auto"/>
        <w:ind w:firstLine="420" w:firstLineChars="200"/>
        <w:jc w:val="left"/>
        <w:rPr>
          <w:rFonts w:ascii="宋体" w:hAnsi="宋体"/>
          <w:kern w:val="0"/>
          <w:szCs w:val="21"/>
        </w:rPr>
      </w:pPr>
      <w:r>
        <w:rPr>
          <w:rFonts w:hint="eastAsia" w:ascii="宋体" w:hAnsi="宋体"/>
          <w:kern w:val="0"/>
          <w:szCs w:val="21"/>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2624341C">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74A18671">
      <w:pPr>
        <w:spacing w:line="360" w:lineRule="auto"/>
        <w:ind w:firstLine="420" w:firstLineChars="200"/>
        <w:jc w:val="left"/>
        <w:rPr>
          <w:rFonts w:ascii="宋体" w:hAnsi="宋体"/>
          <w:kern w:val="0"/>
          <w:szCs w:val="21"/>
        </w:rPr>
      </w:pPr>
      <w:r>
        <w:rPr>
          <w:rFonts w:hint="eastAsia" w:ascii="宋体" w:hAnsi="宋体"/>
          <w:kern w:val="0"/>
          <w:szCs w:val="21"/>
        </w:rPr>
        <w:t>5.3.3 重新检查</w:t>
      </w:r>
    </w:p>
    <w:p w14:paraId="3E935067">
      <w:pPr>
        <w:spacing w:line="360" w:lineRule="auto"/>
        <w:ind w:firstLine="420" w:firstLineChars="200"/>
        <w:jc w:val="left"/>
        <w:rPr>
          <w:rFonts w:ascii="宋体" w:hAnsi="宋体"/>
          <w:kern w:val="0"/>
          <w:szCs w:val="21"/>
        </w:rPr>
      </w:pPr>
      <w:r>
        <w:rPr>
          <w:rFonts w:hint="eastAsia" w:ascii="宋体" w:hAnsi="宋体"/>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18465BC">
      <w:pPr>
        <w:spacing w:line="360" w:lineRule="auto"/>
        <w:ind w:firstLine="420" w:firstLineChars="200"/>
        <w:jc w:val="left"/>
        <w:rPr>
          <w:rFonts w:ascii="宋体" w:hAnsi="宋体"/>
          <w:kern w:val="0"/>
          <w:szCs w:val="21"/>
        </w:rPr>
      </w:pPr>
      <w:r>
        <w:rPr>
          <w:rFonts w:hint="eastAsia" w:ascii="宋体" w:hAnsi="宋体"/>
          <w:kern w:val="0"/>
          <w:szCs w:val="21"/>
        </w:rPr>
        <w:t>5.3.4 承包人私自覆盖</w:t>
      </w:r>
    </w:p>
    <w:p w14:paraId="7DC1695E">
      <w:pPr>
        <w:spacing w:line="360" w:lineRule="auto"/>
        <w:ind w:firstLine="420" w:firstLineChars="200"/>
        <w:jc w:val="left"/>
        <w:rPr>
          <w:rFonts w:ascii="宋体" w:hAnsi="宋体"/>
          <w:kern w:val="0"/>
          <w:szCs w:val="21"/>
        </w:rPr>
      </w:pPr>
      <w:r>
        <w:rPr>
          <w:rFonts w:hint="eastAsia" w:ascii="宋体" w:hAnsi="宋体"/>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14:paraId="2C1E17EF">
      <w:pPr>
        <w:pStyle w:val="7"/>
        <w:spacing w:before="0" w:beforeAutospacing="0" w:after="0" w:afterAutospacing="0" w:line="360" w:lineRule="auto"/>
        <w:ind w:firstLine="420" w:firstLineChars="200"/>
        <w:rPr>
          <w:sz w:val="21"/>
          <w:szCs w:val="21"/>
        </w:rPr>
      </w:pPr>
      <w:bookmarkStart w:id="893" w:name="_Toc532377222"/>
      <w:r>
        <w:rPr>
          <w:rFonts w:hint="eastAsia"/>
          <w:sz w:val="21"/>
          <w:szCs w:val="21"/>
        </w:rPr>
        <w:t>5.4不合格工程的处理</w:t>
      </w:r>
      <w:bookmarkEnd w:id="893"/>
    </w:p>
    <w:p w14:paraId="3159EE23">
      <w:pPr>
        <w:spacing w:line="360" w:lineRule="auto"/>
        <w:ind w:firstLine="420" w:firstLineChars="200"/>
        <w:jc w:val="left"/>
        <w:rPr>
          <w:rFonts w:ascii="宋体" w:hAnsi="宋体"/>
          <w:kern w:val="0"/>
          <w:szCs w:val="21"/>
        </w:rPr>
      </w:pPr>
      <w:r>
        <w:rPr>
          <w:rFonts w:hint="eastAsia" w:ascii="宋体" w:hAnsi="宋体"/>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61829698">
      <w:pPr>
        <w:spacing w:line="360" w:lineRule="auto"/>
        <w:ind w:firstLine="420" w:firstLineChars="200"/>
        <w:jc w:val="left"/>
        <w:rPr>
          <w:rFonts w:ascii="宋体" w:hAnsi="宋体"/>
          <w:kern w:val="0"/>
          <w:szCs w:val="21"/>
        </w:rPr>
      </w:pPr>
      <w:r>
        <w:rPr>
          <w:rFonts w:hint="eastAsia" w:ascii="宋体" w:hAnsi="宋体"/>
          <w:kern w:val="0"/>
          <w:szCs w:val="21"/>
        </w:rPr>
        <w:t>5.4.2 因发包人原因造成工程不合格的，由此增加的费用和（或）延误的工期由发包人承担，并支付承包人合理的利润。</w:t>
      </w:r>
    </w:p>
    <w:p w14:paraId="1F6A846E">
      <w:pPr>
        <w:pStyle w:val="7"/>
        <w:spacing w:before="0" w:beforeAutospacing="0" w:after="0" w:afterAutospacing="0" w:line="360" w:lineRule="auto"/>
        <w:ind w:firstLine="420" w:firstLineChars="200"/>
        <w:rPr>
          <w:sz w:val="21"/>
          <w:szCs w:val="21"/>
        </w:rPr>
      </w:pPr>
      <w:bookmarkStart w:id="894" w:name="_Toc351203537"/>
      <w:bookmarkStart w:id="895" w:name="_Toc532377223"/>
      <w:r>
        <w:rPr>
          <w:rFonts w:hint="eastAsia"/>
          <w:sz w:val="21"/>
          <w:szCs w:val="21"/>
        </w:rPr>
        <w:t>5.5 质量争议检测</w:t>
      </w:r>
      <w:bookmarkEnd w:id="894"/>
      <w:bookmarkEnd w:id="895"/>
    </w:p>
    <w:p w14:paraId="367A0F8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合同当事人对工程质量有争议的，由双方协商确定的工程质量检测机构鉴定，由此产生的费用及因此造成的损失，由责任方承担。</w:t>
      </w:r>
    </w:p>
    <w:p w14:paraId="23B58C7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合同当事人均有责任的，由双方根据其责任分别承担。合同当事人无法达成一致的，按照第4.4款〔商定或确定〕执行。</w:t>
      </w:r>
    </w:p>
    <w:p w14:paraId="406CFAFD">
      <w:pPr>
        <w:pStyle w:val="6"/>
        <w:keepNext/>
        <w:keepLines/>
        <w:spacing w:before="156" w:beforeLines="50" w:beforeAutospacing="0" w:after="156" w:afterLines="50" w:afterAutospacing="0" w:line="360" w:lineRule="auto"/>
        <w:jc w:val="both"/>
        <w:rPr>
          <w:bCs w:val="0"/>
          <w:kern w:val="2"/>
          <w:sz w:val="21"/>
          <w:szCs w:val="21"/>
        </w:rPr>
      </w:pPr>
      <w:bookmarkStart w:id="896" w:name="_Toc351203538"/>
      <w:bookmarkStart w:id="897" w:name="_Toc532377224"/>
      <w:bookmarkStart w:id="898" w:name="_Toc532375592"/>
      <w:r>
        <w:rPr>
          <w:rFonts w:hint="eastAsia"/>
          <w:kern w:val="2"/>
          <w:sz w:val="21"/>
          <w:szCs w:val="21"/>
        </w:rPr>
        <w:t>6</w:t>
      </w:r>
      <w:bookmarkStart w:id="899" w:name="_Toc337558763"/>
      <w:r>
        <w:rPr>
          <w:rFonts w:hint="eastAsia"/>
          <w:kern w:val="2"/>
          <w:sz w:val="21"/>
          <w:szCs w:val="21"/>
        </w:rPr>
        <w:t>. 安全文明施工与环境保护</w:t>
      </w:r>
      <w:bookmarkEnd w:id="896"/>
      <w:bookmarkEnd w:id="897"/>
      <w:bookmarkEnd w:id="898"/>
    </w:p>
    <w:bookmarkEnd w:id="899"/>
    <w:p w14:paraId="0C5EB9BE">
      <w:pPr>
        <w:pStyle w:val="7"/>
        <w:spacing w:before="0" w:beforeAutospacing="0" w:after="0" w:afterAutospacing="0" w:line="360" w:lineRule="auto"/>
        <w:ind w:firstLine="420" w:firstLineChars="200"/>
        <w:rPr>
          <w:sz w:val="21"/>
          <w:szCs w:val="21"/>
        </w:rPr>
      </w:pPr>
      <w:bookmarkStart w:id="900" w:name="_Toc532377225"/>
      <w:bookmarkStart w:id="901" w:name="_Toc351203539"/>
      <w:r>
        <w:rPr>
          <w:rFonts w:hint="eastAsia"/>
          <w:sz w:val="21"/>
          <w:szCs w:val="21"/>
        </w:rPr>
        <w:t>6</w:t>
      </w:r>
      <w:bookmarkStart w:id="902" w:name="_Toc337558764"/>
      <w:r>
        <w:rPr>
          <w:rFonts w:hint="eastAsia"/>
          <w:sz w:val="21"/>
          <w:szCs w:val="21"/>
        </w:rPr>
        <w:t>.1安全文明施工</w:t>
      </w:r>
      <w:bookmarkEnd w:id="900"/>
      <w:bookmarkEnd w:id="901"/>
    </w:p>
    <w:bookmarkEnd w:id="902"/>
    <w:p w14:paraId="5A03513B">
      <w:pPr>
        <w:spacing w:line="360" w:lineRule="auto"/>
        <w:ind w:firstLine="420" w:firstLineChars="200"/>
        <w:jc w:val="left"/>
        <w:rPr>
          <w:rFonts w:ascii="宋体" w:hAnsi="宋体"/>
          <w:kern w:val="0"/>
          <w:szCs w:val="21"/>
        </w:rPr>
      </w:pPr>
      <w:r>
        <w:rPr>
          <w:rFonts w:hint="eastAsia" w:ascii="宋体" w:hAnsi="宋体"/>
          <w:kern w:val="0"/>
          <w:szCs w:val="21"/>
        </w:rPr>
        <w:t>6.1.1安全生产要求</w:t>
      </w:r>
    </w:p>
    <w:p w14:paraId="055C98D2">
      <w:pPr>
        <w:spacing w:line="360" w:lineRule="auto"/>
        <w:ind w:firstLine="420" w:firstLineChars="200"/>
        <w:jc w:val="left"/>
        <w:rPr>
          <w:rFonts w:ascii="宋体" w:hAnsi="宋体"/>
          <w:kern w:val="0"/>
          <w:szCs w:val="21"/>
        </w:rPr>
      </w:pPr>
      <w:r>
        <w:rPr>
          <w:rFonts w:hint="eastAsia" w:ascii="宋体" w:hAnsi="宋体"/>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9F4AC70">
      <w:pPr>
        <w:spacing w:line="360" w:lineRule="auto"/>
        <w:ind w:firstLine="420" w:firstLineChars="200"/>
        <w:jc w:val="left"/>
        <w:rPr>
          <w:rFonts w:ascii="宋体" w:hAnsi="宋体"/>
          <w:kern w:val="0"/>
          <w:szCs w:val="21"/>
        </w:rPr>
      </w:pPr>
      <w:r>
        <w:rPr>
          <w:rFonts w:hint="eastAsia" w:ascii="宋体" w:hAnsi="宋体"/>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444FDD4B">
      <w:pPr>
        <w:spacing w:line="360" w:lineRule="auto"/>
        <w:ind w:firstLine="420" w:firstLineChars="200"/>
        <w:jc w:val="left"/>
        <w:rPr>
          <w:rFonts w:ascii="宋体" w:hAnsi="宋体"/>
          <w:kern w:val="0"/>
          <w:szCs w:val="21"/>
        </w:rPr>
      </w:pPr>
      <w:r>
        <w:rPr>
          <w:rFonts w:hint="eastAsia" w:ascii="宋体" w:hAnsi="宋体"/>
          <w:kern w:val="0"/>
          <w:szCs w:val="21"/>
        </w:rPr>
        <w:t>因安全生产需要暂停施工的，按照第7.8款〔暂停施工〕的约定执行。</w:t>
      </w:r>
    </w:p>
    <w:p w14:paraId="37D3F962">
      <w:pPr>
        <w:spacing w:line="360" w:lineRule="auto"/>
        <w:ind w:firstLine="420" w:firstLineChars="200"/>
        <w:jc w:val="left"/>
        <w:rPr>
          <w:rFonts w:ascii="宋体" w:hAnsi="宋体"/>
          <w:kern w:val="0"/>
          <w:szCs w:val="21"/>
        </w:rPr>
      </w:pPr>
      <w:r>
        <w:rPr>
          <w:rFonts w:hint="eastAsia" w:ascii="宋体" w:hAnsi="宋体"/>
          <w:kern w:val="0"/>
          <w:szCs w:val="21"/>
        </w:rPr>
        <w:t>6.1.2 安全生产保证措施</w:t>
      </w:r>
    </w:p>
    <w:p w14:paraId="46B1385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1205AF93">
      <w:pPr>
        <w:spacing w:line="360" w:lineRule="auto"/>
        <w:ind w:firstLine="420" w:firstLineChars="200"/>
        <w:jc w:val="left"/>
        <w:rPr>
          <w:rFonts w:ascii="宋体" w:hAnsi="宋体"/>
          <w:kern w:val="0"/>
          <w:szCs w:val="21"/>
        </w:rPr>
      </w:pPr>
      <w:r>
        <w:rPr>
          <w:rFonts w:hint="eastAsia" w:ascii="宋体" w:hAnsi="宋体"/>
          <w:kern w:val="0"/>
          <w:szCs w:val="21"/>
        </w:rPr>
        <w:t>6.1.3特别安全生产事项</w:t>
      </w:r>
    </w:p>
    <w:p w14:paraId="3E7B9061">
      <w:pPr>
        <w:spacing w:line="360" w:lineRule="auto"/>
        <w:ind w:firstLine="420" w:firstLineChars="200"/>
        <w:jc w:val="left"/>
        <w:rPr>
          <w:rFonts w:ascii="宋体" w:hAnsi="宋体"/>
          <w:kern w:val="0"/>
          <w:szCs w:val="21"/>
        </w:rPr>
      </w:pPr>
      <w:r>
        <w:rPr>
          <w:rFonts w:hint="eastAsia" w:ascii="宋体" w:hAnsi="宋体"/>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67F8019">
      <w:pPr>
        <w:spacing w:line="360" w:lineRule="auto"/>
        <w:ind w:firstLine="420" w:firstLineChars="200"/>
        <w:jc w:val="left"/>
        <w:rPr>
          <w:rFonts w:ascii="宋体" w:hAnsi="宋体"/>
          <w:kern w:val="0"/>
          <w:szCs w:val="21"/>
        </w:rPr>
      </w:pPr>
      <w:r>
        <w:rPr>
          <w:rFonts w:hint="eastAsia" w:ascii="宋体" w:hAnsi="宋体"/>
          <w:kern w:val="0"/>
          <w:szCs w:val="21"/>
        </w:rPr>
        <w:t xml:space="preserve">承包人在动力设备、输电线路、地下管道、密封防震车间、易燃易爆地段以及临街交通要道附近施工时，施工开始前应向发包人和监理人提出安全防护措施，经发包人认可后实施。 </w:t>
      </w:r>
    </w:p>
    <w:p w14:paraId="6879AA7A">
      <w:pPr>
        <w:spacing w:line="360" w:lineRule="auto"/>
        <w:ind w:firstLine="420" w:firstLineChars="200"/>
        <w:jc w:val="left"/>
        <w:rPr>
          <w:rFonts w:ascii="宋体" w:hAnsi="宋体"/>
          <w:kern w:val="0"/>
          <w:szCs w:val="21"/>
        </w:rPr>
      </w:pPr>
      <w:r>
        <w:rPr>
          <w:rFonts w:hint="eastAsia" w:ascii="宋体" w:hAnsi="宋体"/>
          <w:kern w:val="0"/>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232F0035">
      <w:pPr>
        <w:spacing w:line="360" w:lineRule="auto"/>
        <w:ind w:firstLine="420" w:firstLineChars="200"/>
        <w:jc w:val="left"/>
        <w:rPr>
          <w:rFonts w:ascii="宋体" w:hAnsi="宋体"/>
          <w:kern w:val="0"/>
          <w:szCs w:val="21"/>
        </w:rPr>
      </w:pPr>
      <w:r>
        <w:rPr>
          <w:rFonts w:hint="eastAsia" w:ascii="宋体" w:hAnsi="宋体"/>
          <w:kern w:val="0"/>
          <w:szCs w:val="21"/>
        </w:rPr>
        <w:t>需单独编制危险性较大分部分项专项工程施工方案的，及要求进行专家论证的超过一定规模的危险性较大的分部分项工程，承包人应及时编制和组织论证。</w:t>
      </w:r>
    </w:p>
    <w:p w14:paraId="606E22B7">
      <w:pPr>
        <w:spacing w:line="360" w:lineRule="auto"/>
        <w:ind w:firstLine="420" w:firstLineChars="200"/>
        <w:jc w:val="left"/>
        <w:rPr>
          <w:rFonts w:ascii="宋体" w:hAnsi="宋体"/>
          <w:kern w:val="0"/>
          <w:szCs w:val="21"/>
        </w:rPr>
      </w:pPr>
      <w:r>
        <w:rPr>
          <w:rFonts w:hint="eastAsia" w:ascii="宋体" w:hAnsi="宋体"/>
          <w:kern w:val="0"/>
          <w:szCs w:val="21"/>
        </w:rPr>
        <w:t>6.1.4 治安保卫</w:t>
      </w:r>
    </w:p>
    <w:p w14:paraId="43E40F63">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除专用合同条款另有约定外，发包人应与当地公安部门协商，在现场建立治安管理机构或联防组织，统一管理施工场地的治安保卫事项，履行合同工程的治安保卫职责。</w:t>
      </w:r>
    </w:p>
    <w:p w14:paraId="04F9AECB">
      <w:pPr>
        <w:spacing w:line="360" w:lineRule="auto"/>
        <w:ind w:firstLine="420" w:firstLineChars="200"/>
        <w:jc w:val="left"/>
        <w:rPr>
          <w:rFonts w:ascii="宋体" w:hAnsi="宋体"/>
          <w:kern w:val="0"/>
          <w:szCs w:val="21"/>
        </w:rPr>
      </w:pPr>
      <w:r>
        <w:rPr>
          <w:rFonts w:hint="eastAsia" w:ascii="宋体" w:hAnsi="宋体"/>
          <w:kern w:val="0"/>
          <w:szCs w:val="21"/>
        </w:rPr>
        <w:t>发包人和承包人除应协助现场治安管理机构或联防组织维护施工场地的社会治安外，还应做好包括生活区在内的各自管辖区的治安保卫工作。</w:t>
      </w:r>
    </w:p>
    <w:p w14:paraId="1488F88C">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32D61FA0">
      <w:pPr>
        <w:spacing w:line="360" w:lineRule="auto"/>
        <w:ind w:firstLine="420" w:firstLineChars="200"/>
        <w:jc w:val="left"/>
        <w:rPr>
          <w:rFonts w:ascii="宋体" w:hAnsi="宋体"/>
          <w:kern w:val="0"/>
          <w:szCs w:val="21"/>
        </w:rPr>
      </w:pPr>
      <w:r>
        <w:rPr>
          <w:rFonts w:hint="eastAsia" w:ascii="宋体" w:hAnsi="宋体"/>
          <w:kern w:val="0"/>
          <w:szCs w:val="21"/>
        </w:rPr>
        <w:t>6.1.5 文明施工</w:t>
      </w:r>
    </w:p>
    <w:p w14:paraId="17DAD72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3801CB2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F153DCB">
      <w:pPr>
        <w:spacing w:line="360" w:lineRule="auto"/>
        <w:ind w:firstLine="420" w:firstLineChars="200"/>
        <w:jc w:val="left"/>
        <w:rPr>
          <w:rFonts w:ascii="宋体" w:hAnsi="宋体"/>
          <w:kern w:val="0"/>
          <w:szCs w:val="21"/>
        </w:rPr>
      </w:pPr>
      <w:r>
        <w:rPr>
          <w:rFonts w:hint="eastAsia" w:ascii="宋体" w:hAnsi="宋体"/>
          <w:kern w:val="0"/>
          <w:szCs w:val="21"/>
        </w:rPr>
        <w:t>6.1.6 安全文明施工费</w:t>
      </w:r>
    </w:p>
    <w:p w14:paraId="650C56D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安全文明施工费由发包人承担，发包人不得以任何形式扣减该部分费用。因基准日期后合同所适用的法律或政府有关规定发生变化，增加的安全文明施工费由发包人承担。</w:t>
      </w:r>
    </w:p>
    <w:p w14:paraId="5BE3BF9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3B779DD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5466A8B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0D6D868A">
      <w:pPr>
        <w:spacing w:line="360" w:lineRule="auto"/>
        <w:ind w:firstLine="420" w:firstLineChars="200"/>
        <w:jc w:val="left"/>
        <w:rPr>
          <w:rFonts w:ascii="宋体" w:hAnsi="宋体"/>
          <w:kern w:val="0"/>
          <w:szCs w:val="21"/>
        </w:rPr>
      </w:pPr>
      <w:r>
        <w:rPr>
          <w:rFonts w:hint="eastAsia" w:ascii="宋体" w:hAnsi="宋体"/>
          <w:kern w:val="0"/>
          <w:szCs w:val="21"/>
        </w:rPr>
        <w:t>6.1.7 紧急情况处理</w:t>
      </w:r>
    </w:p>
    <w:p w14:paraId="075E4A44">
      <w:pPr>
        <w:spacing w:line="360" w:lineRule="auto"/>
        <w:ind w:firstLine="420" w:firstLineChars="200"/>
        <w:jc w:val="left"/>
        <w:rPr>
          <w:rFonts w:ascii="宋体" w:hAnsi="宋体"/>
          <w:kern w:val="0"/>
          <w:szCs w:val="21"/>
        </w:rPr>
      </w:pPr>
      <w:r>
        <w:rPr>
          <w:rFonts w:hint="eastAsia" w:ascii="宋体" w:hAnsi="宋体"/>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ED3920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6.1.8 事故处理</w:t>
      </w:r>
    </w:p>
    <w:p w14:paraId="574A7FC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911657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 安全生产责任</w:t>
      </w:r>
    </w:p>
    <w:p w14:paraId="696417B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6.1.9.1 发包人的安全责任</w:t>
      </w:r>
    </w:p>
    <w:p w14:paraId="31C31988">
      <w:pPr>
        <w:spacing w:line="360" w:lineRule="auto"/>
        <w:ind w:firstLine="420" w:firstLineChars="200"/>
        <w:jc w:val="left"/>
        <w:rPr>
          <w:rFonts w:ascii="宋体" w:hAnsi="宋体"/>
          <w:kern w:val="0"/>
          <w:szCs w:val="21"/>
        </w:rPr>
      </w:pPr>
      <w:r>
        <w:rPr>
          <w:rFonts w:hint="eastAsia" w:ascii="宋体" w:hAnsi="宋体"/>
          <w:kern w:val="0"/>
          <w:szCs w:val="21"/>
        </w:rPr>
        <w:t>发包人应负责赔偿以下各种情况造成的损失：</w:t>
      </w:r>
    </w:p>
    <w:p w14:paraId="7C53B273">
      <w:pPr>
        <w:spacing w:line="360" w:lineRule="auto"/>
        <w:ind w:firstLine="420" w:firstLineChars="200"/>
        <w:jc w:val="left"/>
        <w:rPr>
          <w:rFonts w:ascii="宋体" w:hAnsi="宋体"/>
          <w:kern w:val="0"/>
          <w:szCs w:val="21"/>
        </w:rPr>
      </w:pPr>
      <w:r>
        <w:rPr>
          <w:rFonts w:hint="eastAsia" w:ascii="宋体" w:hAnsi="宋体"/>
          <w:kern w:val="0"/>
          <w:szCs w:val="21"/>
        </w:rPr>
        <w:t>（1）工程或工程的任何部分对土地的占用所造成的第三者财产损失；</w:t>
      </w:r>
    </w:p>
    <w:p w14:paraId="785DF9EC">
      <w:pPr>
        <w:spacing w:line="360" w:lineRule="auto"/>
        <w:ind w:firstLine="420" w:firstLineChars="200"/>
        <w:jc w:val="left"/>
        <w:rPr>
          <w:rFonts w:ascii="宋体" w:hAnsi="宋体"/>
          <w:kern w:val="0"/>
          <w:szCs w:val="21"/>
        </w:rPr>
      </w:pPr>
      <w:r>
        <w:rPr>
          <w:rFonts w:hint="eastAsia" w:ascii="宋体" w:hAnsi="宋体"/>
          <w:kern w:val="0"/>
          <w:szCs w:val="21"/>
        </w:rPr>
        <w:t>（2）由于发包人原因在施工场地及其毗邻地带造成的第三者人身伤亡和财产损失；</w:t>
      </w:r>
    </w:p>
    <w:p w14:paraId="49694F4E">
      <w:pPr>
        <w:spacing w:line="360" w:lineRule="auto"/>
        <w:ind w:firstLine="420" w:firstLineChars="200"/>
        <w:jc w:val="left"/>
        <w:rPr>
          <w:rFonts w:ascii="宋体" w:hAnsi="宋体"/>
          <w:kern w:val="0"/>
          <w:szCs w:val="21"/>
        </w:rPr>
      </w:pPr>
      <w:r>
        <w:rPr>
          <w:rFonts w:hint="eastAsia" w:ascii="宋体" w:hAnsi="宋体"/>
          <w:kern w:val="0"/>
          <w:szCs w:val="21"/>
        </w:rPr>
        <w:t>（3）由于发包人原因对承包人、监理人造成的人员人身伤亡和财产损失；</w:t>
      </w:r>
    </w:p>
    <w:p w14:paraId="18A7920A">
      <w:pPr>
        <w:spacing w:line="360" w:lineRule="auto"/>
        <w:ind w:firstLine="420" w:firstLineChars="200"/>
        <w:jc w:val="left"/>
        <w:rPr>
          <w:rFonts w:ascii="宋体" w:hAnsi="宋体"/>
          <w:kern w:val="0"/>
          <w:szCs w:val="21"/>
        </w:rPr>
      </w:pPr>
      <w:r>
        <w:rPr>
          <w:rFonts w:hint="eastAsia" w:ascii="宋体" w:hAnsi="宋体"/>
          <w:kern w:val="0"/>
          <w:szCs w:val="21"/>
        </w:rPr>
        <w:t>（4）由于发包人原因造成的发包人自身人员的人身伤害以及财产损失。</w:t>
      </w:r>
    </w:p>
    <w:p w14:paraId="4E70E7A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6.1.9.2 承包人的安全责任</w:t>
      </w:r>
    </w:p>
    <w:p w14:paraId="49092D38">
      <w:pPr>
        <w:spacing w:line="360" w:lineRule="auto"/>
        <w:ind w:firstLine="420" w:firstLineChars="200"/>
        <w:jc w:val="left"/>
        <w:rPr>
          <w:rFonts w:ascii="宋体" w:hAnsi="宋体"/>
          <w:kern w:val="0"/>
          <w:szCs w:val="21"/>
        </w:rPr>
      </w:pPr>
      <w:r>
        <w:rPr>
          <w:rFonts w:hint="eastAsia" w:ascii="宋体" w:hAnsi="宋体"/>
          <w:kern w:val="0"/>
          <w:szCs w:val="21"/>
        </w:rPr>
        <w:t>由于承包人原因在施工场地内及其毗邻地带造成的发包人、监理人以及第三者人员伤亡和财产损失，由承包人负责赔偿。</w:t>
      </w:r>
    </w:p>
    <w:p w14:paraId="7FA857A6">
      <w:pPr>
        <w:pStyle w:val="7"/>
        <w:spacing w:before="0" w:beforeAutospacing="0" w:after="0" w:afterAutospacing="0" w:line="360" w:lineRule="auto"/>
        <w:ind w:firstLine="420" w:firstLineChars="200"/>
        <w:rPr>
          <w:sz w:val="21"/>
          <w:szCs w:val="21"/>
        </w:rPr>
      </w:pPr>
      <w:bookmarkStart w:id="903" w:name="_Toc351203540"/>
      <w:bookmarkStart w:id="904" w:name="_Toc532377226"/>
      <w:r>
        <w:rPr>
          <w:rFonts w:hint="eastAsia"/>
          <w:sz w:val="21"/>
          <w:szCs w:val="21"/>
        </w:rPr>
        <w:t>6</w:t>
      </w:r>
      <w:bookmarkStart w:id="905" w:name="_Toc337558765"/>
      <w:r>
        <w:rPr>
          <w:rFonts w:hint="eastAsia"/>
          <w:sz w:val="21"/>
          <w:szCs w:val="21"/>
        </w:rPr>
        <w:t>.2 职业健康</w:t>
      </w:r>
      <w:bookmarkEnd w:id="903"/>
      <w:bookmarkEnd w:id="904"/>
    </w:p>
    <w:bookmarkEnd w:id="905"/>
    <w:p w14:paraId="4050013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6.2.1 劳动保护</w:t>
      </w:r>
    </w:p>
    <w:p w14:paraId="20AE5B5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7AE87C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AFF7CF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14:paraId="62A456B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6.2.2 生活条件</w:t>
      </w:r>
    </w:p>
    <w:p w14:paraId="6172778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447BA9F8">
      <w:pPr>
        <w:pStyle w:val="7"/>
        <w:spacing w:before="0" w:beforeAutospacing="0" w:after="0" w:afterAutospacing="0" w:line="360" w:lineRule="auto"/>
        <w:ind w:firstLine="420" w:firstLineChars="200"/>
        <w:rPr>
          <w:sz w:val="21"/>
          <w:szCs w:val="21"/>
        </w:rPr>
      </w:pPr>
      <w:bookmarkStart w:id="906" w:name="_Toc532377227"/>
      <w:bookmarkStart w:id="907" w:name="_Toc351203541"/>
      <w:r>
        <w:rPr>
          <w:rFonts w:hint="eastAsia"/>
          <w:sz w:val="21"/>
          <w:szCs w:val="21"/>
        </w:rPr>
        <w:t>6</w:t>
      </w:r>
      <w:bookmarkStart w:id="908" w:name="_Toc337558766"/>
      <w:r>
        <w:rPr>
          <w:rFonts w:hint="eastAsia"/>
          <w:sz w:val="21"/>
          <w:szCs w:val="21"/>
        </w:rPr>
        <w:t>.3 环境保护</w:t>
      </w:r>
      <w:bookmarkEnd w:id="906"/>
      <w:bookmarkEnd w:id="907"/>
    </w:p>
    <w:bookmarkEnd w:id="908"/>
    <w:p w14:paraId="7C4225C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5B74F7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承包人应当承担因其原因引起的环境污染侵权损害赔偿责任，因上述环境污染引起纠纷而导致暂停施工的，由此增加的费用和（或）延误的工期由承包人承担。</w:t>
      </w:r>
    </w:p>
    <w:p w14:paraId="46F0CA1F">
      <w:pPr>
        <w:pStyle w:val="6"/>
        <w:keepNext/>
        <w:keepLines/>
        <w:spacing w:before="156" w:beforeLines="50" w:beforeAutospacing="0" w:after="156" w:afterLines="50" w:afterAutospacing="0" w:line="360" w:lineRule="auto"/>
        <w:jc w:val="both"/>
        <w:rPr>
          <w:bCs w:val="0"/>
          <w:kern w:val="2"/>
          <w:sz w:val="21"/>
          <w:szCs w:val="21"/>
        </w:rPr>
      </w:pPr>
      <w:bookmarkStart w:id="909" w:name="_Toc532375593"/>
      <w:bookmarkStart w:id="910" w:name="_Toc532377228"/>
      <w:bookmarkStart w:id="911" w:name="_Toc351203542"/>
      <w:r>
        <w:rPr>
          <w:rFonts w:hint="eastAsia"/>
          <w:kern w:val="2"/>
          <w:sz w:val="21"/>
          <w:szCs w:val="21"/>
        </w:rPr>
        <w:t>7</w:t>
      </w:r>
      <w:bookmarkStart w:id="912" w:name="_Toc337558767"/>
      <w:r>
        <w:rPr>
          <w:rFonts w:hint="eastAsia"/>
          <w:kern w:val="2"/>
          <w:sz w:val="21"/>
          <w:szCs w:val="21"/>
        </w:rPr>
        <w:t>. 工期和进度</w:t>
      </w:r>
      <w:bookmarkEnd w:id="909"/>
      <w:bookmarkEnd w:id="910"/>
      <w:bookmarkEnd w:id="911"/>
    </w:p>
    <w:bookmarkEnd w:id="912"/>
    <w:p w14:paraId="45EF29B3">
      <w:pPr>
        <w:pStyle w:val="7"/>
        <w:spacing w:before="0" w:beforeAutospacing="0" w:after="0" w:afterAutospacing="0" w:line="360" w:lineRule="auto"/>
        <w:ind w:firstLine="420" w:firstLineChars="200"/>
        <w:rPr>
          <w:sz w:val="21"/>
          <w:szCs w:val="21"/>
        </w:rPr>
      </w:pPr>
      <w:bookmarkStart w:id="913" w:name="_Toc532377229"/>
      <w:bookmarkStart w:id="914" w:name="_Toc351203543"/>
      <w:r>
        <w:rPr>
          <w:rFonts w:hint="eastAsia"/>
          <w:sz w:val="21"/>
          <w:szCs w:val="21"/>
        </w:rPr>
        <w:t>7</w:t>
      </w:r>
      <w:bookmarkStart w:id="915" w:name="_Toc337558768"/>
      <w:bookmarkStart w:id="916" w:name="_Toc296503066"/>
      <w:bookmarkStart w:id="917" w:name="_Toc296346567"/>
      <w:r>
        <w:rPr>
          <w:rFonts w:hint="eastAsia"/>
          <w:sz w:val="21"/>
          <w:szCs w:val="21"/>
        </w:rPr>
        <w:t>.1施工组织设计</w:t>
      </w:r>
      <w:bookmarkEnd w:id="913"/>
      <w:bookmarkEnd w:id="914"/>
    </w:p>
    <w:bookmarkEnd w:id="915"/>
    <w:p w14:paraId="4C38E78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7.1.1 施工组织设计的内容</w:t>
      </w:r>
    </w:p>
    <w:p w14:paraId="4B5EB50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施工组织设计应包含以下内容：</w:t>
      </w:r>
    </w:p>
    <w:p w14:paraId="6614658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（1）施工方案； </w:t>
      </w:r>
    </w:p>
    <w:p w14:paraId="6FA8F50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（2）施工现场平面布置图；</w:t>
      </w:r>
    </w:p>
    <w:p w14:paraId="3618B92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（3）施工进度计划和保证措施； </w:t>
      </w:r>
    </w:p>
    <w:p w14:paraId="4147120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（4）劳动力及材料供应计划；</w:t>
      </w:r>
    </w:p>
    <w:p w14:paraId="1639DCC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（5）施工机械设备的选用；</w:t>
      </w:r>
    </w:p>
    <w:p w14:paraId="26D223D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（6）质量保证体系及措施；</w:t>
      </w:r>
    </w:p>
    <w:p w14:paraId="500A971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（7）安全生产、文明施工措施；</w:t>
      </w:r>
    </w:p>
    <w:p w14:paraId="6CBE992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（8）环境保护、成本控制措施；</w:t>
      </w:r>
    </w:p>
    <w:p w14:paraId="529E58C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（9）合同当事人约定的其他内容。</w:t>
      </w:r>
    </w:p>
    <w:p w14:paraId="1F0589A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7.1.2 施工组织设计的提交和修改</w:t>
      </w:r>
    </w:p>
    <w:p w14:paraId="21B3667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7A21DA6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施工进度计划的编制和修改按照第7.2款〔施工进度计划〕执行。</w:t>
      </w:r>
    </w:p>
    <w:p w14:paraId="652871A0">
      <w:pPr>
        <w:pStyle w:val="7"/>
        <w:spacing w:before="0" w:beforeAutospacing="0" w:after="0" w:afterAutospacing="0" w:line="360" w:lineRule="auto"/>
        <w:ind w:firstLine="420" w:firstLineChars="200"/>
        <w:rPr>
          <w:sz w:val="21"/>
          <w:szCs w:val="21"/>
        </w:rPr>
      </w:pPr>
      <w:bookmarkStart w:id="918" w:name="_Toc532377230"/>
      <w:bookmarkStart w:id="919" w:name="_Toc351203544"/>
      <w:r>
        <w:rPr>
          <w:rFonts w:hint="eastAsia"/>
          <w:sz w:val="21"/>
          <w:szCs w:val="21"/>
        </w:rPr>
        <w:t>7</w:t>
      </w:r>
      <w:bookmarkStart w:id="920" w:name="_Toc337558769"/>
      <w:r>
        <w:rPr>
          <w:rFonts w:hint="eastAsia"/>
          <w:sz w:val="21"/>
          <w:szCs w:val="21"/>
        </w:rPr>
        <w:t>.2 施工进度计划</w:t>
      </w:r>
      <w:bookmarkEnd w:id="918"/>
      <w:bookmarkEnd w:id="919"/>
    </w:p>
    <w:bookmarkEnd w:id="920"/>
    <w:p w14:paraId="1C9D92A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7.2.1 施工进度计划的编制</w:t>
      </w:r>
    </w:p>
    <w:p w14:paraId="01C87A5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1942A0D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7.2.2 施工进度计划的修订</w:t>
      </w:r>
    </w:p>
    <w:p w14:paraId="46EA90D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C863947">
      <w:pPr>
        <w:pStyle w:val="7"/>
        <w:spacing w:before="0" w:beforeAutospacing="0" w:after="0" w:afterAutospacing="0" w:line="360" w:lineRule="auto"/>
        <w:ind w:firstLine="420" w:firstLineChars="200"/>
        <w:rPr>
          <w:sz w:val="21"/>
          <w:szCs w:val="21"/>
        </w:rPr>
      </w:pPr>
      <w:bookmarkStart w:id="921" w:name="_Toc351203545"/>
      <w:bookmarkStart w:id="922" w:name="_Toc532377231"/>
      <w:r>
        <w:rPr>
          <w:rFonts w:hint="eastAsia"/>
          <w:sz w:val="21"/>
          <w:szCs w:val="21"/>
        </w:rPr>
        <w:t>7</w:t>
      </w:r>
      <w:bookmarkStart w:id="923" w:name="_Toc337558770"/>
      <w:r>
        <w:rPr>
          <w:rFonts w:hint="eastAsia"/>
          <w:sz w:val="21"/>
          <w:szCs w:val="21"/>
        </w:rPr>
        <w:t>.3 开工</w:t>
      </w:r>
      <w:bookmarkEnd w:id="921"/>
      <w:bookmarkEnd w:id="922"/>
    </w:p>
    <w:p w14:paraId="22841BD7">
      <w:pPr>
        <w:spacing w:line="360" w:lineRule="auto"/>
        <w:ind w:firstLine="420" w:firstLineChars="200"/>
        <w:jc w:val="left"/>
        <w:rPr>
          <w:rFonts w:ascii="宋体" w:hAnsi="宋体"/>
          <w:kern w:val="0"/>
          <w:szCs w:val="21"/>
        </w:rPr>
      </w:pPr>
      <w:r>
        <w:rPr>
          <w:rFonts w:hint="eastAsia" w:ascii="宋体" w:hAnsi="宋体"/>
          <w:kern w:val="0"/>
          <w:szCs w:val="21"/>
        </w:rPr>
        <w:t>7.3.1 开工准备</w:t>
      </w:r>
    </w:p>
    <w:p w14:paraId="09A0BA61">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3F9FEDE">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除专用合同条款另有约定外，合同当事人应按约定完成开工准备工作。</w:t>
      </w:r>
    </w:p>
    <w:p w14:paraId="3B46251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7.3.2 开工通知</w:t>
      </w:r>
    </w:p>
    <w:bookmarkEnd w:id="923"/>
    <w:p w14:paraId="493065B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09E1FDE6">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1EB2452F">
      <w:pPr>
        <w:pStyle w:val="7"/>
        <w:spacing w:before="0" w:beforeAutospacing="0" w:after="0" w:afterAutospacing="0" w:line="360" w:lineRule="auto"/>
        <w:ind w:firstLine="420" w:firstLineChars="200"/>
        <w:rPr>
          <w:sz w:val="21"/>
          <w:szCs w:val="21"/>
        </w:rPr>
      </w:pPr>
      <w:bookmarkStart w:id="924" w:name="_Toc351203546"/>
      <w:bookmarkStart w:id="925" w:name="_Toc532377232"/>
      <w:r>
        <w:rPr>
          <w:rFonts w:hint="eastAsia"/>
          <w:sz w:val="21"/>
          <w:szCs w:val="21"/>
        </w:rPr>
        <w:t>7.4测量放线</w:t>
      </w:r>
      <w:bookmarkEnd w:id="924"/>
      <w:bookmarkEnd w:id="925"/>
    </w:p>
    <w:p w14:paraId="32B4256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379E873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2D910EE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1C57DF0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施工过程中对施工现场内水准点等测量标志物的保护工作由承包人负责。</w:t>
      </w:r>
      <w:bookmarkStart w:id="926" w:name="_Toc351203547"/>
    </w:p>
    <w:p w14:paraId="7811FE05">
      <w:pPr>
        <w:pStyle w:val="7"/>
        <w:spacing w:before="0" w:beforeAutospacing="0" w:after="0" w:afterAutospacing="0" w:line="360" w:lineRule="auto"/>
        <w:ind w:firstLine="420" w:firstLineChars="200"/>
        <w:rPr>
          <w:sz w:val="21"/>
          <w:szCs w:val="21"/>
        </w:rPr>
      </w:pPr>
      <w:bookmarkStart w:id="927" w:name="_Toc532377233"/>
      <w:r>
        <w:rPr>
          <w:rFonts w:hint="eastAsia"/>
          <w:sz w:val="21"/>
          <w:szCs w:val="21"/>
        </w:rPr>
        <w:t>7</w:t>
      </w:r>
      <w:bookmarkEnd w:id="916"/>
      <w:bookmarkEnd w:id="917"/>
      <w:bookmarkStart w:id="928" w:name="_Toc337558772"/>
      <w:bookmarkStart w:id="929" w:name="_Toc296346574"/>
      <w:bookmarkStart w:id="930" w:name="_Toc296503073"/>
      <w:r>
        <w:rPr>
          <w:rFonts w:hint="eastAsia"/>
          <w:sz w:val="21"/>
          <w:szCs w:val="21"/>
        </w:rPr>
        <w:t>.5 工期延误</w:t>
      </w:r>
      <w:bookmarkEnd w:id="926"/>
      <w:bookmarkEnd w:id="927"/>
    </w:p>
    <w:bookmarkEnd w:id="928"/>
    <w:bookmarkEnd w:id="929"/>
    <w:bookmarkEnd w:id="930"/>
    <w:p w14:paraId="18B58CC2">
      <w:pPr>
        <w:spacing w:line="360" w:lineRule="auto"/>
        <w:ind w:firstLine="420" w:firstLineChars="200"/>
        <w:jc w:val="left"/>
        <w:rPr>
          <w:rFonts w:ascii="宋体" w:hAnsi="宋体"/>
          <w:kern w:val="0"/>
          <w:szCs w:val="21"/>
        </w:rPr>
      </w:pPr>
      <w:r>
        <w:rPr>
          <w:rFonts w:hint="eastAsia" w:ascii="宋体" w:hAnsi="宋体"/>
          <w:kern w:val="0"/>
          <w:szCs w:val="21"/>
        </w:rPr>
        <w:t>7.5.1 因发包人原因导致工期延误</w:t>
      </w:r>
    </w:p>
    <w:p w14:paraId="3B8B6EA6">
      <w:pPr>
        <w:spacing w:line="360" w:lineRule="auto"/>
        <w:ind w:firstLine="420" w:firstLineChars="200"/>
        <w:jc w:val="left"/>
        <w:rPr>
          <w:rFonts w:ascii="宋体" w:hAnsi="宋体"/>
          <w:kern w:val="0"/>
          <w:szCs w:val="21"/>
        </w:rPr>
      </w:pPr>
      <w:r>
        <w:rPr>
          <w:rFonts w:hint="eastAsia" w:ascii="宋体" w:hAnsi="宋体"/>
          <w:kern w:val="0"/>
          <w:szCs w:val="21"/>
        </w:rPr>
        <w:t xml:space="preserve">在合同履行过程中，因下列情况导致工期延误和（或）费用增加的，由发包人承担由此延误的工期和（或）增加的费用，且发包人应支付承包人合理的利润： </w:t>
      </w:r>
    </w:p>
    <w:p w14:paraId="66EEC45F">
      <w:pPr>
        <w:spacing w:line="360" w:lineRule="auto"/>
        <w:ind w:firstLine="420" w:firstLineChars="200"/>
        <w:jc w:val="left"/>
        <w:rPr>
          <w:rFonts w:ascii="宋体" w:hAnsi="宋体"/>
          <w:kern w:val="0"/>
          <w:szCs w:val="21"/>
        </w:rPr>
      </w:pPr>
      <w:r>
        <w:rPr>
          <w:rFonts w:hint="eastAsia" w:ascii="宋体" w:hAnsi="宋体"/>
          <w:kern w:val="0"/>
          <w:szCs w:val="21"/>
        </w:rPr>
        <w:t>（1）发包人未能按合同约定提供图纸或所提供图纸不符合合同约定的；</w:t>
      </w:r>
    </w:p>
    <w:p w14:paraId="192E1B44">
      <w:pPr>
        <w:spacing w:line="360" w:lineRule="auto"/>
        <w:ind w:firstLine="420" w:firstLineChars="200"/>
        <w:jc w:val="left"/>
        <w:rPr>
          <w:rFonts w:ascii="宋体" w:hAnsi="宋体"/>
          <w:kern w:val="0"/>
          <w:szCs w:val="21"/>
        </w:rPr>
      </w:pPr>
      <w:r>
        <w:rPr>
          <w:rFonts w:hint="eastAsia" w:ascii="宋体" w:hAnsi="宋体"/>
          <w:kern w:val="0"/>
          <w:szCs w:val="21"/>
        </w:rPr>
        <w:t>（2）发包人未能按合同约定提供施工现场、施工条件、基础资料、许可、批准等开工条件的；</w:t>
      </w:r>
    </w:p>
    <w:p w14:paraId="070516AE">
      <w:pPr>
        <w:spacing w:line="360" w:lineRule="auto"/>
        <w:ind w:firstLine="420" w:firstLineChars="200"/>
        <w:jc w:val="left"/>
        <w:rPr>
          <w:rFonts w:ascii="宋体" w:hAnsi="宋体"/>
          <w:kern w:val="0"/>
          <w:szCs w:val="21"/>
        </w:rPr>
      </w:pPr>
      <w:r>
        <w:rPr>
          <w:rFonts w:hint="eastAsia" w:ascii="宋体" w:hAnsi="宋体"/>
          <w:kern w:val="0"/>
          <w:szCs w:val="21"/>
        </w:rPr>
        <w:t>（3）发包人提供的测量基准点、基准线和水准点及其书面资料存在错误或疏漏的；</w:t>
      </w:r>
    </w:p>
    <w:p w14:paraId="5E310A34">
      <w:pPr>
        <w:spacing w:line="360" w:lineRule="auto"/>
        <w:ind w:firstLine="420" w:firstLineChars="200"/>
        <w:jc w:val="left"/>
        <w:rPr>
          <w:rFonts w:ascii="宋体" w:hAnsi="宋体"/>
          <w:kern w:val="0"/>
          <w:szCs w:val="21"/>
        </w:rPr>
      </w:pPr>
      <w:r>
        <w:rPr>
          <w:rFonts w:hint="eastAsia" w:ascii="宋体" w:hAnsi="宋体"/>
          <w:kern w:val="0"/>
          <w:szCs w:val="21"/>
        </w:rPr>
        <w:t>（4）发包人未能在计划开工日期之日起7天内同意下达开工通知的；</w:t>
      </w:r>
    </w:p>
    <w:p w14:paraId="4974F1E9">
      <w:pPr>
        <w:spacing w:line="360" w:lineRule="auto"/>
        <w:ind w:firstLine="420" w:firstLineChars="200"/>
        <w:jc w:val="left"/>
        <w:rPr>
          <w:rFonts w:ascii="宋体" w:hAnsi="宋体"/>
          <w:kern w:val="0"/>
          <w:szCs w:val="21"/>
        </w:rPr>
      </w:pPr>
      <w:r>
        <w:rPr>
          <w:rFonts w:hint="eastAsia" w:ascii="宋体" w:hAnsi="宋体"/>
          <w:kern w:val="0"/>
          <w:szCs w:val="21"/>
        </w:rPr>
        <w:t>（5）发包人未能按合同约定日期支付工程预付款、进度款或竣工结算款的；</w:t>
      </w:r>
    </w:p>
    <w:p w14:paraId="5305D26C">
      <w:pPr>
        <w:spacing w:line="360" w:lineRule="auto"/>
        <w:ind w:firstLine="420" w:firstLineChars="200"/>
        <w:jc w:val="left"/>
        <w:rPr>
          <w:rFonts w:ascii="宋体" w:hAnsi="宋体"/>
          <w:kern w:val="0"/>
          <w:szCs w:val="21"/>
        </w:rPr>
      </w:pPr>
      <w:r>
        <w:rPr>
          <w:rFonts w:hint="eastAsia" w:ascii="宋体" w:hAnsi="宋体"/>
          <w:kern w:val="0"/>
          <w:szCs w:val="21"/>
        </w:rPr>
        <w:t>（6）监理人未按合同约定发出指示、批准等文件的；</w:t>
      </w:r>
    </w:p>
    <w:p w14:paraId="0C3DE35C">
      <w:pPr>
        <w:spacing w:line="360" w:lineRule="auto"/>
        <w:ind w:firstLine="420" w:firstLineChars="200"/>
        <w:jc w:val="left"/>
        <w:rPr>
          <w:rFonts w:ascii="宋体" w:hAnsi="宋体"/>
          <w:kern w:val="0"/>
          <w:szCs w:val="21"/>
        </w:rPr>
      </w:pPr>
      <w:r>
        <w:rPr>
          <w:rFonts w:hint="eastAsia" w:ascii="宋体" w:hAnsi="宋体"/>
          <w:kern w:val="0"/>
          <w:szCs w:val="21"/>
        </w:rPr>
        <w:t>（7）专用合同条款中约定的其他情形。</w:t>
      </w:r>
    </w:p>
    <w:p w14:paraId="4B2BA886">
      <w:pPr>
        <w:spacing w:line="360" w:lineRule="auto"/>
        <w:ind w:firstLine="420" w:firstLineChars="200"/>
        <w:jc w:val="left"/>
        <w:rPr>
          <w:rFonts w:ascii="宋体" w:hAnsi="宋体"/>
          <w:kern w:val="0"/>
          <w:szCs w:val="21"/>
        </w:rPr>
      </w:pPr>
      <w:r>
        <w:rPr>
          <w:rFonts w:hint="eastAsia" w:ascii="宋体" w:hAnsi="宋体"/>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66C3619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7.5.2 因承包人原因导致工期延误</w:t>
      </w:r>
    </w:p>
    <w:p w14:paraId="51FF1446">
      <w:pPr>
        <w:autoSpaceDE w:val="0"/>
        <w:autoSpaceDN w:val="0"/>
        <w:spacing w:line="360" w:lineRule="auto"/>
        <w:ind w:firstLine="420" w:firstLineChars="200"/>
        <w:jc w:val="left"/>
        <w:rPr>
          <w:rFonts w:ascii="宋体" w:hAnsi="宋体"/>
          <w:kern w:val="0"/>
          <w:szCs w:val="21"/>
        </w:rPr>
      </w:pPr>
      <w:bookmarkStart w:id="931" w:name="_Toc296503076"/>
      <w:bookmarkStart w:id="932" w:name="_Toc296346577"/>
      <w:r>
        <w:rPr>
          <w:rFonts w:hint="eastAsia" w:ascii="宋体" w:hAnsi="宋体"/>
          <w:kern w:val="0"/>
          <w:szCs w:val="21"/>
        </w:rPr>
        <w:t>因</w:t>
      </w:r>
      <w:bookmarkEnd w:id="931"/>
      <w:bookmarkEnd w:id="932"/>
      <w:r>
        <w:rPr>
          <w:rFonts w:hint="eastAsia" w:ascii="宋体" w:hAnsi="宋体"/>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1BE80BF1">
      <w:pPr>
        <w:pStyle w:val="7"/>
        <w:spacing w:before="0" w:beforeAutospacing="0" w:after="0" w:afterAutospacing="0" w:line="360" w:lineRule="auto"/>
        <w:ind w:firstLine="420" w:firstLineChars="200"/>
        <w:rPr>
          <w:sz w:val="21"/>
          <w:szCs w:val="21"/>
        </w:rPr>
      </w:pPr>
      <w:bookmarkStart w:id="933" w:name="_Toc351203548"/>
      <w:bookmarkStart w:id="934" w:name="_Toc532377234"/>
      <w:r>
        <w:rPr>
          <w:rFonts w:hint="eastAsia"/>
          <w:sz w:val="21"/>
          <w:szCs w:val="21"/>
        </w:rPr>
        <w:t>7</w:t>
      </w:r>
      <w:bookmarkStart w:id="935" w:name="_Toc296503074"/>
      <w:bookmarkStart w:id="936" w:name="_Toc337558773"/>
      <w:bookmarkStart w:id="937" w:name="_Toc296346575"/>
      <w:bookmarkStart w:id="938" w:name="_Toc296503077"/>
      <w:bookmarkStart w:id="939" w:name="_Toc296346578"/>
      <w:r>
        <w:rPr>
          <w:rFonts w:hint="eastAsia"/>
          <w:sz w:val="21"/>
          <w:szCs w:val="21"/>
        </w:rPr>
        <w:t>.6 不利物质条件</w:t>
      </w:r>
      <w:bookmarkEnd w:id="933"/>
      <w:bookmarkEnd w:id="934"/>
    </w:p>
    <w:bookmarkEnd w:id="935"/>
    <w:bookmarkEnd w:id="936"/>
    <w:bookmarkEnd w:id="937"/>
    <w:p w14:paraId="5694B8E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5FC0001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2BD60509">
      <w:pPr>
        <w:pStyle w:val="7"/>
        <w:spacing w:before="0" w:beforeAutospacing="0" w:after="0" w:afterAutospacing="0" w:line="360" w:lineRule="auto"/>
        <w:ind w:firstLine="420" w:firstLineChars="200"/>
        <w:rPr>
          <w:sz w:val="21"/>
          <w:szCs w:val="21"/>
        </w:rPr>
      </w:pPr>
      <w:bookmarkStart w:id="940" w:name="_Toc532377235"/>
      <w:bookmarkStart w:id="941" w:name="_Toc351203549"/>
      <w:r>
        <w:rPr>
          <w:rFonts w:hint="eastAsia"/>
          <w:sz w:val="21"/>
          <w:szCs w:val="21"/>
        </w:rPr>
        <w:t>7</w:t>
      </w:r>
      <w:bookmarkStart w:id="942" w:name="_Toc296503075"/>
      <w:bookmarkStart w:id="943" w:name="_Toc296346576"/>
      <w:bookmarkStart w:id="944" w:name="_Toc337558774"/>
      <w:r>
        <w:rPr>
          <w:rFonts w:hint="eastAsia"/>
          <w:sz w:val="21"/>
          <w:szCs w:val="21"/>
        </w:rPr>
        <w:t>.7 异常恶劣的气候条件</w:t>
      </w:r>
      <w:bookmarkEnd w:id="940"/>
      <w:bookmarkEnd w:id="941"/>
    </w:p>
    <w:bookmarkEnd w:id="942"/>
    <w:bookmarkEnd w:id="943"/>
    <w:bookmarkEnd w:id="944"/>
    <w:p w14:paraId="45966BE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507ABB6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945" w:name="_Toc351203550"/>
    </w:p>
    <w:p w14:paraId="4509474D">
      <w:pPr>
        <w:pStyle w:val="7"/>
        <w:spacing w:before="0" w:beforeAutospacing="0" w:after="0" w:afterAutospacing="0" w:line="360" w:lineRule="auto"/>
        <w:ind w:firstLine="420" w:firstLineChars="200"/>
        <w:rPr>
          <w:sz w:val="21"/>
          <w:szCs w:val="21"/>
        </w:rPr>
      </w:pPr>
      <w:bookmarkStart w:id="946" w:name="_Toc532377236"/>
      <w:r>
        <w:rPr>
          <w:rFonts w:hint="eastAsia"/>
          <w:sz w:val="21"/>
          <w:szCs w:val="21"/>
        </w:rPr>
        <w:t>7</w:t>
      </w:r>
      <w:bookmarkStart w:id="947" w:name="_Toc337558775"/>
      <w:r>
        <w:rPr>
          <w:rFonts w:hint="eastAsia"/>
          <w:sz w:val="21"/>
          <w:szCs w:val="21"/>
        </w:rPr>
        <w:t>.8 暂停施工</w:t>
      </w:r>
      <w:bookmarkEnd w:id="945"/>
      <w:bookmarkEnd w:id="946"/>
    </w:p>
    <w:bookmarkEnd w:id="938"/>
    <w:bookmarkEnd w:id="939"/>
    <w:bookmarkEnd w:id="947"/>
    <w:p w14:paraId="1D34B6A1">
      <w:pPr>
        <w:spacing w:line="360" w:lineRule="auto"/>
        <w:ind w:firstLine="420" w:firstLineChars="200"/>
        <w:jc w:val="left"/>
        <w:rPr>
          <w:rFonts w:ascii="宋体" w:hAnsi="宋体"/>
          <w:kern w:val="0"/>
          <w:szCs w:val="21"/>
        </w:rPr>
      </w:pPr>
      <w:r>
        <w:rPr>
          <w:rFonts w:hint="eastAsia" w:ascii="宋体" w:hAnsi="宋体"/>
          <w:kern w:val="0"/>
          <w:szCs w:val="21"/>
        </w:rPr>
        <w:t>7.8.1发包人原因引起的暂停施工</w:t>
      </w:r>
    </w:p>
    <w:p w14:paraId="1E901E8C">
      <w:pPr>
        <w:spacing w:line="360" w:lineRule="auto"/>
        <w:ind w:firstLine="420" w:firstLineChars="200"/>
        <w:jc w:val="left"/>
        <w:rPr>
          <w:rFonts w:ascii="宋体" w:hAnsi="宋体"/>
          <w:kern w:val="0"/>
          <w:szCs w:val="21"/>
        </w:rPr>
      </w:pPr>
      <w:r>
        <w:rPr>
          <w:rFonts w:hint="eastAsia" w:ascii="宋体" w:hAnsi="宋体"/>
          <w:kern w:val="0"/>
          <w:szCs w:val="21"/>
        </w:rPr>
        <w:t>因发包人原因引起暂停施工的，监理人经发包人同意后，应及时下达暂停施工指示。情况紧急且监理人未及时下达暂停施工指示的，按照第7.8.4项〔紧急情况下的暂停施工〕执行。</w:t>
      </w:r>
    </w:p>
    <w:p w14:paraId="6228EB0C">
      <w:pPr>
        <w:spacing w:line="360" w:lineRule="auto"/>
        <w:ind w:firstLine="420" w:firstLineChars="200"/>
        <w:jc w:val="left"/>
        <w:rPr>
          <w:rFonts w:ascii="宋体" w:hAnsi="宋体"/>
          <w:kern w:val="0"/>
          <w:szCs w:val="21"/>
        </w:rPr>
      </w:pPr>
      <w:r>
        <w:rPr>
          <w:rFonts w:hint="eastAsia" w:ascii="宋体" w:hAnsi="宋体"/>
          <w:kern w:val="0"/>
          <w:szCs w:val="21"/>
        </w:rPr>
        <w:t>因发包人原因引起的暂停施工，发包人应承担由此增加的费用和（或）延误的工期，并支付承包人合理的利润。</w:t>
      </w:r>
    </w:p>
    <w:p w14:paraId="3E5DC85E">
      <w:pPr>
        <w:spacing w:line="360" w:lineRule="auto"/>
        <w:ind w:firstLine="420" w:firstLineChars="200"/>
        <w:jc w:val="left"/>
        <w:rPr>
          <w:rFonts w:ascii="宋体" w:hAnsi="宋体"/>
          <w:kern w:val="0"/>
          <w:szCs w:val="21"/>
        </w:rPr>
      </w:pPr>
      <w:r>
        <w:rPr>
          <w:rFonts w:hint="eastAsia" w:ascii="宋体" w:hAnsi="宋体"/>
          <w:kern w:val="0"/>
          <w:szCs w:val="21"/>
        </w:rPr>
        <w:t>7.8.2 承包人原因引起的暂停施工</w:t>
      </w:r>
    </w:p>
    <w:p w14:paraId="50800D68">
      <w:pPr>
        <w:spacing w:line="360" w:lineRule="auto"/>
        <w:ind w:firstLine="420" w:firstLineChars="200"/>
        <w:jc w:val="left"/>
        <w:rPr>
          <w:rFonts w:ascii="宋体" w:hAnsi="宋体"/>
          <w:kern w:val="0"/>
          <w:szCs w:val="21"/>
        </w:rPr>
      </w:pPr>
      <w:r>
        <w:rPr>
          <w:rFonts w:hint="eastAsia" w:ascii="宋体" w:hAnsi="宋体"/>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3B76FDBF">
      <w:pPr>
        <w:spacing w:line="360" w:lineRule="auto"/>
        <w:ind w:firstLine="420" w:firstLineChars="200"/>
        <w:jc w:val="left"/>
        <w:rPr>
          <w:rFonts w:ascii="宋体" w:hAnsi="宋体"/>
          <w:kern w:val="0"/>
          <w:szCs w:val="21"/>
        </w:rPr>
      </w:pPr>
      <w:r>
        <w:rPr>
          <w:rFonts w:hint="eastAsia" w:ascii="宋体" w:hAnsi="宋体"/>
          <w:kern w:val="0"/>
          <w:szCs w:val="21"/>
        </w:rPr>
        <w:t>7.8.3 指示暂停施工</w:t>
      </w:r>
    </w:p>
    <w:p w14:paraId="29D2556B">
      <w:pPr>
        <w:spacing w:line="360" w:lineRule="auto"/>
        <w:ind w:firstLine="420" w:firstLineChars="200"/>
        <w:jc w:val="left"/>
        <w:rPr>
          <w:rFonts w:ascii="宋体" w:hAnsi="宋体"/>
          <w:kern w:val="0"/>
          <w:szCs w:val="21"/>
        </w:rPr>
      </w:pPr>
      <w:r>
        <w:rPr>
          <w:rFonts w:hint="eastAsia" w:ascii="宋体" w:hAnsi="宋体"/>
          <w:kern w:val="0"/>
          <w:szCs w:val="21"/>
        </w:rPr>
        <w:t>监理人认为有必要时，并经发包人批准后，可向承包人作出暂停施工的指示，承包人应按监理人指示暂停施工。</w:t>
      </w:r>
    </w:p>
    <w:p w14:paraId="1A94381E">
      <w:pPr>
        <w:spacing w:line="360" w:lineRule="auto"/>
        <w:ind w:firstLine="420" w:firstLineChars="200"/>
        <w:jc w:val="left"/>
        <w:rPr>
          <w:rFonts w:ascii="宋体" w:hAnsi="宋体"/>
          <w:kern w:val="0"/>
          <w:szCs w:val="21"/>
        </w:rPr>
      </w:pPr>
      <w:r>
        <w:rPr>
          <w:rFonts w:hint="eastAsia" w:ascii="宋体" w:hAnsi="宋体"/>
          <w:kern w:val="0"/>
          <w:szCs w:val="21"/>
        </w:rPr>
        <w:t>7.8.4 紧急情况下的暂停施工</w:t>
      </w:r>
    </w:p>
    <w:p w14:paraId="7A03D4FA">
      <w:pPr>
        <w:spacing w:line="360" w:lineRule="auto"/>
        <w:ind w:firstLine="420" w:firstLineChars="200"/>
        <w:jc w:val="left"/>
        <w:rPr>
          <w:rFonts w:ascii="宋体" w:hAnsi="宋体"/>
          <w:kern w:val="0"/>
          <w:szCs w:val="21"/>
        </w:rPr>
      </w:pPr>
      <w:r>
        <w:rPr>
          <w:rFonts w:hint="eastAsia" w:ascii="宋体" w:hAnsi="宋体"/>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6D709242">
      <w:pPr>
        <w:spacing w:line="360" w:lineRule="auto"/>
        <w:ind w:firstLine="420" w:firstLineChars="200"/>
        <w:jc w:val="left"/>
        <w:rPr>
          <w:rFonts w:ascii="宋体" w:hAnsi="宋体"/>
          <w:kern w:val="0"/>
          <w:szCs w:val="21"/>
        </w:rPr>
      </w:pPr>
      <w:r>
        <w:rPr>
          <w:rFonts w:hint="eastAsia" w:ascii="宋体" w:hAnsi="宋体"/>
          <w:kern w:val="0"/>
          <w:szCs w:val="21"/>
        </w:rPr>
        <w:t>7.8.5 暂停施工后的复工</w:t>
      </w:r>
    </w:p>
    <w:p w14:paraId="6302078F">
      <w:pPr>
        <w:spacing w:line="360" w:lineRule="auto"/>
        <w:ind w:firstLine="420" w:firstLineChars="200"/>
        <w:jc w:val="left"/>
        <w:rPr>
          <w:rFonts w:ascii="宋体" w:hAnsi="宋体"/>
          <w:kern w:val="0"/>
          <w:szCs w:val="21"/>
        </w:rPr>
      </w:pPr>
      <w:r>
        <w:rPr>
          <w:rFonts w:hint="eastAsia" w:ascii="宋体" w:hAnsi="宋体"/>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6C58A739">
      <w:pPr>
        <w:spacing w:line="360" w:lineRule="auto"/>
        <w:ind w:firstLine="420" w:firstLineChars="200"/>
        <w:jc w:val="left"/>
        <w:rPr>
          <w:rFonts w:ascii="宋体" w:hAnsi="宋体"/>
          <w:kern w:val="0"/>
          <w:szCs w:val="21"/>
        </w:rPr>
      </w:pPr>
      <w:r>
        <w:rPr>
          <w:rFonts w:hint="eastAsia" w:ascii="宋体" w:hAnsi="宋体"/>
          <w:kern w:val="0"/>
          <w:szCs w:val="21"/>
        </w:rPr>
        <w:t>承包人无故拖延和拒绝复工的，承包人承担由此增加的费用和（或）延误的工期；因发包人原因无法按时复工的，按照第7.5.1项〔因发包人原因导致工期延误〕约定办理。</w:t>
      </w:r>
    </w:p>
    <w:p w14:paraId="2769513C">
      <w:pPr>
        <w:spacing w:line="360" w:lineRule="auto"/>
        <w:ind w:firstLine="420" w:firstLineChars="200"/>
        <w:jc w:val="left"/>
        <w:rPr>
          <w:rFonts w:ascii="宋体" w:hAnsi="宋体"/>
          <w:kern w:val="0"/>
          <w:szCs w:val="21"/>
        </w:rPr>
      </w:pPr>
      <w:r>
        <w:rPr>
          <w:rFonts w:hint="eastAsia" w:ascii="宋体" w:hAnsi="宋体"/>
          <w:kern w:val="0"/>
          <w:szCs w:val="21"/>
        </w:rPr>
        <w:t>7.8.6 暂停施工持续56天以上</w:t>
      </w:r>
    </w:p>
    <w:p w14:paraId="30F11FE4">
      <w:pPr>
        <w:spacing w:line="360" w:lineRule="auto"/>
        <w:ind w:firstLine="420" w:firstLineChars="200"/>
        <w:jc w:val="left"/>
        <w:rPr>
          <w:rFonts w:ascii="宋体" w:hAnsi="宋体"/>
          <w:kern w:val="0"/>
          <w:szCs w:val="21"/>
        </w:rPr>
      </w:pPr>
      <w:r>
        <w:rPr>
          <w:rFonts w:hint="eastAsia" w:ascii="宋体" w:hAnsi="宋体"/>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4F283711">
      <w:pPr>
        <w:spacing w:line="360" w:lineRule="auto"/>
        <w:ind w:firstLine="420" w:firstLineChars="200"/>
        <w:jc w:val="left"/>
        <w:rPr>
          <w:rFonts w:ascii="宋体" w:hAnsi="宋体"/>
          <w:kern w:val="0"/>
          <w:szCs w:val="21"/>
        </w:rPr>
      </w:pPr>
      <w:r>
        <w:rPr>
          <w:rFonts w:hint="eastAsia" w:ascii="宋体" w:hAnsi="宋体"/>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7DCACE21">
      <w:pPr>
        <w:spacing w:line="360" w:lineRule="auto"/>
        <w:ind w:firstLine="420" w:firstLineChars="200"/>
        <w:jc w:val="left"/>
        <w:rPr>
          <w:rFonts w:ascii="宋体" w:hAnsi="宋体"/>
          <w:kern w:val="0"/>
          <w:szCs w:val="21"/>
        </w:rPr>
      </w:pPr>
      <w:r>
        <w:rPr>
          <w:rFonts w:hint="eastAsia" w:ascii="宋体" w:hAnsi="宋体"/>
          <w:kern w:val="0"/>
          <w:szCs w:val="21"/>
        </w:rPr>
        <w:t>7.8.7 暂停施工期间的工程照管</w:t>
      </w:r>
    </w:p>
    <w:p w14:paraId="220AF336">
      <w:pPr>
        <w:spacing w:line="360" w:lineRule="auto"/>
        <w:ind w:firstLine="420" w:firstLineChars="200"/>
        <w:jc w:val="left"/>
        <w:rPr>
          <w:rFonts w:ascii="宋体" w:hAnsi="宋体"/>
          <w:kern w:val="0"/>
          <w:szCs w:val="21"/>
        </w:rPr>
      </w:pPr>
      <w:r>
        <w:rPr>
          <w:rFonts w:hint="eastAsia" w:ascii="宋体" w:hAnsi="宋体"/>
          <w:kern w:val="0"/>
          <w:szCs w:val="21"/>
        </w:rPr>
        <w:t>暂停施工期间，承包人应负责妥善照管工程并提供安全保障，由此增加的费用由责任方承担。</w:t>
      </w:r>
    </w:p>
    <w:p w14:paraId="7546DEE6">
      <w:pPr>
        <w:spacing w:line="360" w:lineRule="auto"/>
        <w:ind w:firstLine="420" w:firstLineChars="200"/>
        <w:jc w:val="left"/>
        <w:rPr>
          <w:rFonts w:ascii="宋体" w:hAnsi="宋体"/>
          <w:kern w:val="0"/>
          <w:szCs w:val="21"/>
        </w:rPr>
      </w:pPr>
      <w:r>
        <w:rPr>
          <w:rFonts w:hint="eastAsia" w:ascii="宋体" w:hAnsi="宋体"/>
          <w:kern w:val="0"/>
          <w:szCs w:val="21"/>
        </w:rPr>
        <w:t>7.8.8 暂停施工的措施</w:t>
      </w:r>
    </w:p>
    <w:p w14:paraId="730EAEE8">
      <w:pPr>
        <w:spacing w:line="360" w:lineRule="auto"/>
        <w:ind w:firstLine="420" w:firstLineChars="200"/>
        <w:jc w:val="left"/>
        <w:rPr>
          <w:rFonts w:ascii="宋体" w:hAnsi="宋体"/>
          <w:kern w:val="0"/>
          <w:szCs w:val="21"/>
        </w:rPr>
      </w:pPr>
      <w:r>
        <w:rPr>
          <w:rFonts w:hint="eastAsia" w:ascii="宋体" w:hAnsi="宋体"/>
          <w:kern w:val="0"/>
          <w:szCs w:val="21"/>
        </w:rPr>
        <w:t>暂停施工期间，发包人和承包人均应采取必要的措施确保工程质量及安全，防止因暂停施工扩大损失。</w:t>
      </w:r>
    </w:p>
    <w:p w14:paraId="4A37BD3A">
      <w:pPr>
        <w:pStyle w:val="7"/>
        <w:spacing w:before="0" w:beforeAutospacing="0" w:after="0" w:afterAutospacing="0" w:line="360" w:lineRule="auto"/>
        <w:ind w:firstLine="420" w:firstLineChars="200"/>
        <w:rPr>
          <w:sz w:val="21"/>
          <w:szCs w:val="21"/>
        </w:rPr>
      </w:pPr>
      <w:bookmarkStart w:id="948" w:name="_Toc532377237"/>
      <w:bookmarkStart w:id="949" w:name="_Toc351203551"/>
      <w:r>
        <w:rPr>
          <w:rFonts w:hint="eastAsia"/>
          <w:sz w:val="21"/>
          <w:szCs w:val="21"/>
        </w:rPr>
        <w:t>7.9提前竣工</w:t>
      </w:r>
      <w:bookmarkEnd w:id="948"/>
      <w:bookmarkEnd w:id="949"/>
    </w:p>
    <w:p w14:paraId="08275BC4">
      <w:pPr>
        <w:spacing w:line="360" w:lineRule="auto"/>
        <w:ind w:firstLine="420" w:firstLineChars="200"/>
        <w:jc w:val="left"/>
        <w:rPr>
          <w:rFonts w:ascii="宋体" w:hAnsi="宋体"/>
          <w:kern w:val="0"/>
          <w:szCs w:val="21"/>
        </w:rPr>
      </w:pPr>
      <w:r>
        <w:rPr>
          <w:rFonts w:hint="eastAsia" w:ascii="宋体" w:hAnsi="宋体"/>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46308200">
      <w:pPr>
        <w:spacing w:line="360" w:lineRule="auto"/>
        <w:ind w:firstLine="420" w:firstLineChars="200"/>
        <w:jc w:val="left"/>
        <w:rPr>
          <w:rFonts w:ascii="宋体" w:hAnsi="宋体"/>
          <w:kern w:val="0"/>
          <w:szCs w:val="21"/>
        </w:rPr>
      </w:pPr>
      <w:r>
        <w:rPr>
          <w:rFonts w:hint="eastAsia" w:ascii="宋体" w:hAnsi="宋体"/>
          <w:kern w:val="0"/>
          <w:szCs w:val="21"/>
        </w:rPr>
        <w:t>7.9.2 发包人要求承包人提前竣工，或承包人提出提前竣工的建议能够给发包人带来效益的，合同当事人可以在专用合同条款中约定提前竣工的奖励。</w:t>
      </w:r>
    </w:p>
    <w:p w14:paraId="64563DDA">
      <w:pPr>
        <w:pStyle w:val="6"/>
        <w:keepNext/>
        <w:keepLines/>
        <w:spacing w:before="156" w:beforeLines="50" w:beforeAutospacing="0" w:after="156" w:afterLines="50" w:afterAutospacing="0" w:line="360" w:lineRule="auto"/>
        <w:jc w:val="both"/>
        <w:rPr>
          <w:bCs w:val="0"/>
          <w:kern w:val="2"/>
          <w:sz w:val="21"/>
          <w:szCs w:val="21"/>
        </w:rPr>
      </w:pPr>
      <w:bookmarkStart w:id="950" w:name="_Toc532377238"/>
      <w:bookmarkStart w:id="951" w:name="_Toc532375594"/>
      <w:bookmarkStart w:id="952" w:name="_Toc351203552"/>
      <w:r>
        <w:rPr>
          <w:rFonts w:hint="eastAsia"/>
          <w:kern w:val="2"/>
          <w:sz w:val="21"/>
          <w:szCs w:val="21"/>
        </w:rPr>
        <w:t>8</w:t>
      </w:r>
      <w:bookmarkStart w:id="953" w:name="_Toc296503058"/>
      <w:bookmarkStart w:id="954" w:name="_Toc296346559"/>
      <w:bookmarkStart w:id="955" w:name="_Toc337558776"/>
      <w:r>
        <w:rPr>
          <w:rFonts w:hint="eastAsia"/>
          <w:kern w:val="2"/>
          <w:sz w:val="21"/>
          <w:szCs w:val="21"/>
        </w:rPr>
        <w:t>. 材料与设备</w:t>
      </w:r>
      <w:bookmarkEnd w:id="950"/>
      <w:bookmarkEnd w:id="951"/>
      <w:bookmarkEnd w:id="952"/>
    </w:p>
    <w:bookmarkEnd w:id="953"/>
    <w:bookmarkEnd w:id="954"/>
    <w:bookmarkEnd w:id="955"/>
    <w:p w14:paraId="427E97EF">
      <w:pPr>
        <w:pStyle w:val="7"/>
        <w:spacing w:before="0" w:beforeAutospacing="0" w:after="0" w:afterAutospacing="0" w:line="360" w:lineRule="auto"/>
        <w:ind w:firstLine="420" w:firstLineChars="200"/>
        <w:rPr>
          <w:sz w:val="21"/>
          <w:szCs w:val="21"/>
        </w:rPr>
      </w:pPr>
      <w:bookmarkStart w:id="956" w:name="_Toc351203553"/>
      <w:bookmarkStart w:id="957" w:name="_Toc532377239"/>
      <w:r>
        <w:rPr>
          <w:rFonts w:hint="eastAsia"/>
          <w:sz w:val="21"/>
          <w:szCs w:val="21"/>
        </w:rPr>
        <w:t>8</w:t>
      </w:r>
      <w:bookmarkStart w:id="958" w:name="_Toc337558777"/>
      <w:bookmarkStart w:id="959" w:name="_Toc296346560"/>
      <w:bookmarkStart w:id="960" w:name="_Toc296503059"/>
      <w:bookmarkStart w:id="961" w:name="_Toc468936960"/>
      <w:r>
        <w:rPr>
          <w:rFonts w:hint="eastAsia"/>
          <w:sz w:val="21"/>
          <w:szCs w:val="21"/>
        </w:rPr>
        <w:t>.1发包人供应材料与工程设备</w:t>
      </w:r>
      <w:bookmarkEnd w:id="956"/>
      <w:bookmarkEnd w:id="957"/>
    </w:p>
    <w:bookmarkEnd w:id="958"/>
    <w:bookmarkEnd w:id="959"/>
    <w:bookmarkEnd w:id="960"/>
    <w:p w14:paraId="507E1C2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发包人自行供应材料、工程设备的，应在签订合同时在专用合同条款的附件《发包人供应材料设备一览表》中明确材料、工程设备的品种、规格、型号、数量、单价、质量等级和送达地点。</w:t>
      </w:r>
    </w:p>
    <w:p w14:paraId="76146EF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7ED8CFD">
      <w:pPr>
        <w:pStyle w:val="7"/>
        <w:spacing w:before="0" w:beforeAutospacing="0" w:after="0" w:afterAutospacing="0" w:line="360" w:lineRule="auto"/>
        <w:ind w:firstLine="420" w:firstLineChars="200"/>
        <w:rPr>
          <w:sz w:val="21"/>
          <w:szCs w:val="21"/>
        </w:rPr>
      </w:pPr>
      <w:bookmarkStart w:id="962" w:name="_Toc532377240"/>
      <w:r>
        <w:rPr>
          <w:rFonts w:hint="eastAsia"/>
          <w:sz w:val="21"/>
          <w:szCs w:val="21"/>
        </w:rPr>
        <w:t>8.2承包人采购材料与工程设备</w:t>
      </w:r>
      <w:bookmarkEnd w:id="962"/>
    </w:p>
    <w:p w14:paraId="3AF0997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6B3CEE4">
      <w:pPr>
        <w:pStyle w:val="7"/>
        <w:spacing w:before="0" w:beforeAutospacing="0" w:after="0" w:afterAutospacing="0" w:line="360" w:lineRule="auto"/>
        <w:ind w:firstLine="420" w:firstLineChars="200"/>
        <w:rPr>
          <w:sz w:val="21"/>
          <w:szCs w:val="21"/>
        </w:rPr>
      </w:pPr>
      <w:bookmarkStart w:id="963" w:name="_Toc351203555"/>
      <w:bookmarkStart w:id="964" w:name="_Toc532377241"/>
      <w:r>
        <w:rPr>
          <w:rFonts w:hint="eastAsia"/>
          <w:sz w:val="21"/>
          <w:szCs w:val="21"/>
        </w:rPr>
        <w:t>8</w:t>
      </w:r>
      <w:bookmarkStart w:id="965" w:name="_Toc296346562"/>
      <w:bookmarkStart w:id="966" w:name="_Toc337558779"/>
      <w:bookmarkStart w:id="967" w:name="_Toc296503061"/>
      <w:r>
        <w:rPr>
          <w:rFonts w:hint="eastAsia"/>
          <w:sz w:val="21"/>
          <w:szCs w:val="21"/>
        </w:rPr>
        <w:t>.3材料与工程设备的接收与拒收</w:t>
      </w:r>
      <w:bookmarkEnd w:id="963"/>
      <w:bookmarkEnd w:id="964"/>
    </w:p>
    <w:bookmarkEnd w:id="965"/>
    <w:bookmarkEnd w:id="966"/>
    <w:bookmarkEnd w:id="967"/>
    <w:p w14:paraId="6AE8AA6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525D21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发包人提供的材料和工程设备的规格、数量或质量不符合合同约定的，或因发包人原因导致交货日期延误或交货地点变更等情况的，按照第16.1款〔发包人违约〕约定办理。</w:t>
      </w:r>
    </w:p>
    <w:p w14:paraId="7698911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8.3.2 承包人采购的材料和工程设备，应保证产品质量合格，承包人应在材料和工程设备到货前24小时通知监理人检验。承</w:t>
      </w:r>
      <w:bookmarkStart w:id="968" w:name="_Toc250655469"/>
      <w:r>
        <w:rPr>
          <w:rFonts w:hint="eastAsia" w:ascii="宋体" w:hAnsi="宋体"/>
          <w:kern w:val="0"/>
          <w:szCs w:val="21"/>
        </w:rPr>
        <w:t>包人进行永久设备、材料的制造和生产的，应符合相关质量标准，并向监理人提交材料的样本以及有关资料，并应在使用该材料或工程设备之前获得监理人同意。</w:t>
      </w:r>
    </w:p>
    <w:bookmarkEnd w:id="968"/>
    <w:p w14:paraId="2D3274F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6C645680">
      <w:pPr>
        <w:pStyle w:val="7"/>
        <w:spacing w:before="0" w:beforeAutospacing="0" w:after="0" w:afterAutospacing="0" w:line="360" w:lineRule="auto"/>
        <w:ind w:firstLine="420" w:firstLineChars="200"/>
        <w:rPr>
          <w:sz w:val="21"/>
          <w:szCs w:val="21"/>
        </w:rPr>
      </w:pPr>
      <w:bookmarkStart w:id="969" w:name="_Toc351203556"/>
      <w:bookmarkStart w:id="970" w:name="_Toc532377242"/>
      <w:r>
        <w:rPr>
          <w:rFonts w:hint="eastAsia"/>
          <w:sz w:val="21"/>
          <w:szCs w:val="21"/>
        </w:rPr>
        <w:t>8</w:t>
      </w:r>
      <w:bookmarkStart w:id="971" w:name="_Toc296503062"/>
      <w:bookmarkStart w:id="972" w:name="_Toc337558780"/>
      <w:bookmarkStart w:id="973" w:name="_Toc296346563"/>
      <w:r>
        <w:rPr>
          <w:rFonts w:hint="eastAsia"/>
          <w:sz w:val="21"/>
          <w:szCs w:val="21"/>
        </w:rPr>
        <w:t>.4材料与工程设备的保管与使用</w:t>
      </w:r>
      <w:bookmarkEnd w:id="969"/>
      <w:bookmarkEnd w:id="970"/>
    </w:p>
    <w:bookmarkEnd w:id="971"/>
    <w:bookmarkEnd w:id="972"/>
    <w:bookmarkEnd w:id="973"/>
    <w:p w14:paraId="7CDA065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8.4.1 发包人供应材料与工程设备的保管与使用</w:t>
      </w:r>
    </w:p>
    <w:p w14:paraId="22B5FA3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292690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发包人供应的材料和工程设备使用前，由承包人负责检验，检验费用由发包人承担，不合格的不得使用。</w:t>
      </w:r>
    </w:p>
    <w:p w14:paraId="08B9891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8.4.2 承包人采购材料与工程设备的保管与使用</w:t>
      </w:r>
    </w:p>
    <w:p w14:paraId="4998065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5CA40E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发包人或监理人发现承包人使用不符合设计或有关标准要求的材料和工程设备时，有权要求承包人进行修复、拆除或重新采购，由此增加的费用和（或）延误的工期，由承包人承担。</w:t>
      </w:r>
    </w:p>
    <w:p w14:paraId="7C1412C7">
      <w:pPr>
        <w:pStyle w:val="7"/>
        <w:spacing w:before="0" w:beforeAutospacing="0" w:after="0" w:afterAutospacing="0" w:line="360" w:lineRule="auto"/>
        <w:ind w:firstLine="420" w:firstLineChars="200"/>
        <w:rPr>
          <w:sz w:val="21"/>
          <w:szCs w:val="21"/>
        </w:rPr>
      </w:pPr>
      <w:bookmarkStart w:id="974" w:name="_Toc532377243"/>
      <w:bookmarkStart w:id="975" w:name="_Toc351203557"/>
      <w:r>
        <w:rPr>
          <w:rFonts w:hint="eastAsia"/>
          <w:sz w:val="21"/>
          <w:szCs w:val="21"/>
        </w:rPr>
        <w:t>8.5禁止使用不合格的材料和工程设备</w:t>
      </w:r>
      <w:bookmarkEnd w:id="974"/>
      <w:bookmarkEnd w:id="975"/>
    </w:p>
    <w:p w14:paraId="27F0C73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8.5.1 监理人有权拒绝承包人提供的不合格材料或工程设备，并要求承包人立即进行更换。监理人应在更换后再次进行检查和检验，由此增加的费用和（或）延误的工期由承包人承担。</w:t>
      </w:r>
    </w:p>
    <w:p w14:paraId="7F3B260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8.5.2 监理人发现承包人使用了不合格的材料和工程设备，承包人应按照监理人的指示立即改正，并禁止在工程中继续使用不合格的材料和工程设备。</w:t>
      </w:r>
    </w:p>
    <w:p w14:paraId="50E329C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8.5.3 发包人提供的材料或工程设备不符合合同要求的，承包人有权拒绝，并可要求发包人更换，由此增加的费用和（或）延误的工期由发包人承担，并支付承包人合理的利润。</w:t>
      </w:r>
    </w:p>
    <w:p w14:paraId="09C94CAB">
      <w:pPr>
        <w:pStyle w:val="7"/>
        <w:spacing w:before="0" w:beforeAutospacing="0" w:after="0" w:afterAutospacing="0" w:line="360" w:lineRule="auto"/>
        <w:ind w:firstLine="420" w:firstLineChars="200"/>
        <w:rPr>
          <w:sz w:val="21"/>
          <w:szCs w:val="21"/>
        </w:rPr>
      </w:pPr>
      <w:bookmarkStart w:id="976" w:name="_Toc532377244"/>
      <w:bookmarkStart w:id="977" w:name="_Toc351203558"/>
      <w:r>
        <w:rPr>
          <w:rFonts w:hint="eastAsia"/>
          <w:sz w:val="21"/>
          <w:szCs w:val="21"/>
        </w:rPr>
        <w:t>8.6 样品</w:t>
      </w:r>
      <w:bookmarkEnd w:id="976"/>
      <w:bookmarkEnd w:id="977"/>
    </w:p>
    <w:p w14:paraId="02CA287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8.6.1</w:t>
      </w:r>
      <w:r>
        <w:rPr>
          <w:rFonts w:hint="eastAsia" w:ascii="宋体" w:hAnsi="宋体"/>
          <w:kern w:val="0"/>
          <w:szCs w:val="21"/>
        </w:rPr>
        <w:tab/>
      </w:r>
      <w:r>
        <w:rPr>
          <w:rFonts w:hint="eastAsia" w:ascii="宋体" w:hAnsi="宋体"/>
          <w:kern w:val="0"/>
          <w:szCs w:val="21"/>
        </w:rPr>
        <w:t>样品的报送与封存</w:t>
      </w:r>
    </w:p>
    <w:p w14:paraId="3DCB5C3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需要承包人报送样品的材料或工程设备，样品的种类、名称、规格、数量等要求均应在专用合同条款中约定。样品的报送程序如下：</w:t>
      </w:r>
    </w:p>
    <w:p w14:paraId="3EC68C7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7B007AB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02022A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（3）经发包人和监理人审批确认的样品应按约定的方法封样，封存的样品作为检验工程相关部分的标准之一。承包人在施工过程中不得使用与样品不符的材料或工程设备。</w:t>
      </w:r>
    </w:p>
    <w:p w14:paraId="6FCAB3C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4F7DE1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8.6.2 样品的保管</w:t>
      </w:r>
    </w:p>
    <w:p w14:paraId="5F8EEA5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经批准的样品应由监理人负责封存于现场，承包人应在现场为保存样品提供适当和固定的场所并保持适当和良好的存储环境条件。</w:t>
      </w:r>
    </w:p>
    <w:p w14:paraId="78C22BA4">
      <w:pPr>
        <w:pStyle w:val="7"/>
        <w:spacing w:before="0" w:beforeAutospacing="0" w:after="0" w:afterAutospacing="0" w:line="360" w:lineRule="auto"/>
        <w:ind w:firstLine="420" w:firstLineChars="200"/>
        <w:rPr>
          <w:sz w:val="21"/>
          <w:szCs w:val="21"/>
        </w:rPr>
      </w:pPr>
      <w:bookmarkStart w:id="978" w:name="_Toc351203559"/>
      <w:bookmarkStart w:id="979" w:name="_Toc532377245"/>
      <w:r>
        <w:rPr>
          <w:rFonts w:hint="eastAsia"/>
          <w:sz w:val="21"/>
          <w:szCs w:val="21"/>
        </w:rPr>
        <w:t>8.7材料与工程设备的替代</w:t>
      </w:r>
      <w:bookmarkEnd w:id="978"/>
      <w:bookmarkEnd w:id="979"/>
    </w:p>
    <w:p w14:paraId="2E47A6A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8.7.1 出现下列情况需要使用替代材料和工程设备的，承包人应按照第8.7.2项约定的程序执行：</w:t>
      </w:r>
    </w:p>
    <w:p w14:paraId="3D55091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（1）基准日期后生效的法律规定禁止使用的；</w:t>
      </w:r>
    </w:p>
    <w:p w14:paraId="1EB6D89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（2）发包人要求使用替代品的；</w:t>
      </w:r>
    </w:p>
    <w:p w14:paraId="354043A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（3）因其他原因必须使用替代品的。</w:t>
      </w:r>
    </w:p>
    <w:p w14:paraId="22984A7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8.7.2 承包人应在使用替代材料和工程设备28天前书面通知监理人，并附下列文件：</w:t>
      </w:r>
    </w:p>
    <w:p w14:paraId="5B63BE8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（1）被替代的材料和工程设备的名称、数量、规格、型号、品牌、性能、价格及其他相关资料；</w:t>
      </w:r>
    </w:p>
    <w:p w14:paraId="2056A16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（2）替代品的名称、数量、规格、型号、品牌、性能、价格及其他相关资料；</w:t>
      </w:r>
    </w:p>
    <w:p w14:paraId="1244A3B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（3）替代品与被替代产品之间的差异以及使用替代品可能对工程产生的影响；</w:t>
      </w:r>
    </w:p>
    <w:p w14:paraId="28112D6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（4）替代品与被替代产品的价格差异；</w:t>
      </w:r>
    </w:p>
    <w:p w14:paraId="5BD75A4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（5）使用替代品的理由和原因说明；</w:t>
      </w:r>
    </w:p>
    <w:p w14:paraId="6A8D341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（6）监理人要求的其他文件。</w:t>
      </w:r>
    </w:p>
    <w:p w14:paraId="2920D48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监理人应在收到通知后14天内向承包人发出经发包人签认的书面指示；监理人逾期发出书面指示的，视为发包人和监理人同意使用替代品。</w:t>
      </w:r>
    </w:p>
    <w:p w14:paraId="0673B40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31EEC452">
      <w:pPr>
        <w:pStyle w:val="7"/>
        <w:spacing w:before="0" w:beforeAutospacing="0" w:after="0" w:afterAutospacing="0" w:line="360" w:lineRule="auto"/>
        <w:ind w:firstLine="420" w:firstLineChars="200"/>
        <w:rPr>
          <w:sz w:val="21"/>
          <w:szCs w:val="21"/>
        </w:rPr>
      </w:pPr>
      <w:bookmarkStart w:id="980" w:name="_Toc532377246"/>
      <w:bookmarkStart w:id="981" w:name="_Toc351203560"/>
      <w:r>
        <w:rPr>
          <w:rFonts w:hint="eastAsia"/>
          <w:sz w:val="21"/>
          <w:szCs w:val="21"/>
        </w:rPr>
        <w:t>8.8施工设备和临时设施</w:t>
      </w:r>
      <w:bookmarkEnd w:id="980"/>
      <w:bookmarkEnd w:id="981"/>
    </w:p>
    <w:p w14:paraId="3658BEE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8.8.1 承包人提供的施工设备和临时设施</w:t>
      </w:r>
    </w:p>
    <w:p w14:paraId="5E4DBF9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14:paraId="319394D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除专用合同条款另有约定外，承包人应自行承担修建临时设施的费用，需要临时占地的，应由发包人办理申请手续并承担相应费用。</w:t>
      </w:r>
    </w:p>
    <w:p w14:paraId="4B1DE37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8.8.2发包人提供的施工设备和临时设施</w:t>
      </w:r>
    </w:p>
    <w:p w14:paraId="7550470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发包人提供的施工设备或临时设施在专用合同条款中约定。</w:t>
      </w:r>
    </w:p>
    <w:p w14:paraId="4F3F932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8.8.3要求承包人增加或更换施工设备</w:t>
      </w:r>
    </w:p>
    <w:p w14:paraId="12D7606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承包人使用的施工设备不能满足合同进度计划和（或）质量要求时，监理人有权要求承包人增加或更换施工设备，承包人应及时增加或更换，由此增加的费用和（或）延误的工期由承包人承担。</w:t>
      </w:r>
    </w:p>
    <w:p w14:paraId="5905BDF4">
      <w:pPr>
        <w:pStyle w:val="7"/>
        <w:spacing w:before="0" w:beforeAutospacing="0" w:after="0" w:afterAutospacing="0" w:line="360" w:lineRule="auto"/>
        <w:ind w:firstLine="420" w:firstLineChars="200"/>
        <w:rPr>
          <w:sz w:val="21"/>
          <w:szCs w:val="21"/>
        </w:rPr>
      </w:pPr>
      <w:bookmarkStart w:id="982" w:name="_Toc351203561"/>
      <w:bookmarkStart w:id="983" w:name="_Toc532377247"/>
      <w:r>
        <w:rPr>
          <w:rFonts w:hint="eastAsia"/>
          <w:sz w:val="21"/>
          <w:szCs w:val="21"/>
        </w:rPr>
        <w:t>8</w:t>
      </w:r>
      <w:bookmarkStart w:id="984" w:name="_Toc337558781"/>
      <w:bookmarkStart w:id="985" w:name="_Toc296503063"/>
      <w:bookmarkStart w:id="986" w:name="_Toc296346564"/>
      <w:r>
        <w:rPr>
          <w:rFonts w:hint="eastAsia"/>
          <w:sz w:val="21"/>
          <w:szCs w:val="21"/>
        </w:rPr>
        <w:t>.9材料与设备专用</w:t>
      </w:r>
      <w:bookmarkEnd w:id="982"/>
      <w:r>
        <w:rPr>
          <w:rFonts w:hint="eastAsia"/>
          <w:sz w:val="21"/>
          <w:szCs w:val="21"/>
        </w:rPr>
        <w:t>要求</w:t>
      </w:r>
      <w:bookmarkEnd w:id="983"/>
    </w:p>
    <w:bookmarkEnd w:id="984"/>
    <w:bookmarkEnd w:id="985"/>
    <w:bookmarkEnd w:id="986"/>
    <w:p w14:paraId="19BD53D3">
      <w:pPr>
        <w:spacing w:line="360" w:lineRule="auto"/>
        <w:ind w:firstLine="420" w:firstLineChars="200"/>
        <w:jc w:val="left"/>
        <w:rPr>
          <w:rFonts w:ascii="宋体" w:hAnsi="宋体"/>
          <w:kern w:val="0"/>
          <w:szCs w:val="21"/>
        </w:rPr>
      </w:pPr>
      <w:r>
        <w:rPr>
          <w:rFonts w:hint="eastAsia" w:ascii="宋体" w:hAnsi="宋体"/>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961"/>
      <w:r>
        <w:rPr>
          <w:rFonts w:hint="eastAsia" w:ascii="宋体" w:hAnsi="宋体"/>
          <w:kern w:val="0"/>
          <w:szCs w:val="21"/>
        </w:rPr>
        <w:t>经发包人批准，承包人可以根据施工进度计划撤走闲置的施工设备和其他物品。</w:t>
      </w:r>
    </w:p>
    <w:p w14:paraId="1B498FE7">
      <w:pPr>
        <w:pStyle w:val="6"/>
        <w:keepNext/>
        <w:keepLines/>
        <w:spacing w:before="156" w:beforeLines="50" w:beforeAutospacing="0" w:after="156" w:afterLines="50" w:afterAutospacing="0" w:line="360" w:lineRule="auto"/>
        <w:jc w:val="both"/>
        <w:rPr>
          <w:bCs w:val="0"/>
          <w:kern w:val="2"/>
          <w:sz w:val="21"/>
          <w:szCs w:val="21"/>
        </w:rPr>
      </w:pPr>
      <w:bookmarkStart w:id="987" w:name="_Toc532377248"/>
      <w:bookmarkStart w:id="988" w:name="_Toc351203562"/>
      <w:bookmarkStart w:id="989" w:name="_Toc532375595"/>
      <w:r>
        <w:rPr>
          <w:rFonts w:hint="eastAsia"/>
          <w:kern w:val="2"/>
          <w:sz w:val="21"/>
          <w:szCs w:val="21"/>
        </w:rPr>
        <w:t>9</w:t>
      </w:r>
      <w:bookmarkStart w:id="990" w:name="_Toc337558782"/>
      <w:bookmarkStart w:id="991" w:name="_Toc296503083"/>
      <w:bookmarkStart w:id="992" w:name="_Toc296346584"/>
      <w:r>
        <w:rPr>
          <w:rFonts w:hint="eastAsia"/>
          <w:kern w:val="2"/>
          <w:sz w:val="21"/>
          <w:szCs w:val="21"/>
        </w:rPr>
        <w:t>. 试验与检验</w:t>
      </w:r>
      <w:bookmarkEnd w:id="987"/>
      <w:bookmarkEnd w:id="988"/>
      <w:bookmarkEnd w:id="989"/>
    </w:p>
    <w:bookmarkEnd w:id="990"/>
    <w:p w14:paraId="6E822967">
      <w:pPr>
        <w:pStyle w:val="7"/>
        <w:spacing w:before="0" w:beforeAutospacing="0" w:after="0" w:afterAutospacing="0" w:line="360" w:lineRule="auto"/>
        <w:ind w:firstLine="420" w:firstLineChars="200"/>
        <w:rPr>
          <w:sz w:val="21"/>
          <w:szCs w:val="21"/>
        </w:rPr>
      </w:pPr>
      <w:bookmarkStart w:id="993" w:name="_Toc351203563"/>
      <w:bookmarkStart w:id="994" w:name="_Toc532377249"/>
      <w:r>
        <w:rPr>
          <w:rFonts w:hint="eastAsia"/>
          <w:sz w:val="21"/>
          <w:szCs w:val="21"/>
        </w:rPr>
        <w:t>9</w:t>
      </w:r>
      <w:bookmarkStart w:id="995" w:name="_Toc337558783"/>
      <w:r>
        <w:rPr>
          <w:rFonts w:hint="eastAsia"/>
          <w:sz w:val="21"/>
          <w:szCs w:val="21"/>
        </w:rPr>
        <w:t>.1试验设备与试验人员</w:t>
      </w:r>
      <w:bookmarkEnd w:id="993"/>
      <w:bookmarkEnd w:id="994"/>
    </w:p>
    <w:bookmarkEnd w:id="995"/>
    <w:p w14:paraId="6965CA38">
      <w:pPr>
        <w:spacing w:line="360" w:lineRule="auto"/>
        <w:ind w:firstLine="420" w:firstLineChars="200"/>
        <w:jc w:val="left"/>
        <w:rPr>
          <w:rFonts w:ascii="宋体" w:hAnsi="宋体"/>
          <w:kern w:val="0"/>
          <w:szCs w:val="21"/>
        </w:rPr>
      </w:pPr>
      <w:r>
        <w:rPr>
          <w:rFonts w:hint="eastAsia" w:ascii="宋体" w:hAnsi="宋体"/>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129CFD9">
      <w:pPr>
        <w:spacing w:line="360" w:lineRule="auto"/>
        <w:ind w:firstLine="420" w:firstLineChars="200"/>
        <w:jc w:val="left"/>
        <w:rPr>
          <w:rFonts w:ascii="宋体" w:hAnsi="宋体"/>
          <w:kern w:val="0"/>
          <w:szCs w:val="21"/>
        </w:rPr>
      </w:pPr>
      <w:r>
        <w:rPr>
          <w:rFonts w:hint="eastAsia" w:ascii="宋体" w:hAnsi="宋体"/>
          <w:kern w:val="0"/>
          <w:szCs w:val="21"/>
        </w:rPr>
        <w:t>9.1.2 承包人应按专用合同条款的约定提供试验设备、取样装置、试验场所和试验条件，并向监理人提交相应进场计划表。</w:t>
      </w:r>
    </w:p>
    <w:p w14:paraId="2D846C7D">
      <w:pPr>
        <w:spacing w:line="360" w:lineRule="auto"/>
        <w:ind w:firstLine="420" w:firstLineChars="200"/>
        <w:jc w:val="left"/>
        <w:rPr>
          <w:rFonts w:ascii="宋体" w:hAnsi="宋体"/>
          <w:kern w:val="0"/>
          <w:szCs w:val="21"/>
        </w:rPr>
      </w:pPr>
      <w:r>
        <w:rPr>
          <w:rFonts w:hint="eastAsia" w:ascii="宋体" w:hAnsi="宋体"/>
          <w:kern w:val="0"/>
          <w:szCs w:val="21"/>
        </w:rPr>
        <w:t>承包人配置的试验设备要符合相应试验规程的要求并经过具有资质的检测单位检测，且在正式使用该试验设备前，需要经过监理人与承包人共同校定。</w:t>
      </w:r>
    </w:p>
    <w:p w14:paraId="5C6BDCFC">
      <w:pPr>
        <w:spacing w:line="360" w:lineRule="auto"/>
        <w:ind w:firstLine="420" w:firstLineChars="200"/>
        <w:jc w:val="left"/>
        <w:rPr>
          <w:rFonts w:ascii="宋体" w:hAnsi="宋体"/>
          <w:kern w:val="0"/>
          <w:szCs w:val="21"/>
        </w:rPr>
      </w:pPr>
      <w:r>
        <w:rPr>
          <w:rFonts w:hint="eastAsia" w:ascii="宋体" w:hAnsi="宋体"/>
          <w:kern w:val="0"/>
          <w:szCs w:val="21"/>
        </w:rPr>
        <w:t>9.1.3 承包人应向监理人提交试验人员的名单及其岗位、资格等证明资料，试验人员必须能够熟练进行相应的检测试验，承包人对试验人员的试验程序和试验结果的正确性负责。</w:t>
      </w:r>
    </w:p>
    <w:p w14:paraId="1C8DDFD7">
      <w:pPr>
        <w:pStyle w:val="7"/>
        <w:spacing w:before="0" w:beforeAutospacing="0" w:after="0" w:afterAutospacing="0" w:line="360" w:lineRule="auto"/>
        <w:ind w:firstLine="420" w:firstLineChars="200"/>
        <w:rPr>
          <w:sz w:val="21"/>
          <w:szCs w:val="21"/>
        </w:rPr>
      </w:pPr>
      <w:bookmarkStart w:id="996" w:name="_Toc532377250"/>
      <w:bookmarkStart w:id="997" w:name="_Toc351203564"/>
      <w:r>
        <w:rPr>
          <w:rFonts w:hint="eastAsia"/>
          <w:sz w:val="21"/>
          <w:szCs w:val="21"/>
        </w:rPr>
        <w:t>9</w:t>
      </w:r>
      <w:bookmarkStart w:id="998" w:name="_Toc337558784"/>
      <w:r>
        <w:rPr>
          <w:rFonts w:hint="eastAsia"/>
          <w:sz w:val="21"/>
          <w:szCs w:val="21"/>
        </w:rPr>
        <w:t>.2取样</w:t>
      </w:r>
      <w:bookmarkEnd w:id="996"/>
      <w:bookmarkEnd w:id="997"/>
    </w:p>
    <w:bookmarkEnd w:id="998"/>
    <w:p w14:paraId="5BD5B74E">
      <w:pPr>
        <w:spacing w:line="360" w:lineRule="auto"/>
        <w:ind w:firstLine="420" w:firstLineChars="200"/>
        <w:jc w:val="left"/>
        <w:rPr>
          <w:rFonts w:ascii="宋体" w:hAnsi="宋体"/>
          <w:kern w:val="0"/>
          <w:szCs w:val="21"/>
        </w:rPr>
      </w:pPr>
      <w:r>
        <w:rPr>
          <w:rFonts w:hint="eastAsia" w:ascii="宋体" w:hAnsi="宋体"/>
          <w:kern w:val="0"/>
          <w:szCs w:val="21"/>
        </w:rPr>
        <w:t>试验属于自检性质的，承包人可以单独取样。试验属于监理人抽检性质的，可由监理人取样，也可由承包人的试验人员在监理人的监督下取样。</w:t>
      </w:r>
    </w:p>
    <w:p w14:paraId="5DB84AB3">
      <w:pPr>
        <w:pStyle w:val="7"/>
        <w:spacing w:before="0" w:beforeAutospacing="0" w:after="0" w:afterAutospacing="0" w:line="360" w:lineRule="auto"/>
        <w:ind w:firstLine="420" w:firstLineChars="200"/>
        <w:rPr>
          <w:sz w:val="21"/>
          <w:szCs w:val="21"/>
        </w:rPr>
      </w:pPr>
      <w:bookmarkStart w:id="999" w:name="_Toc532377251"/>
      <w:bookmarkStart w:id="1000" w:name="_Toc351203565"/>
      <w:r>
        <w:rPr>
          <w:rFonts w:hint="eastAsia"/>
          <w:sz w:val="21"/>
          <w:szCs w:val="21"/>
        </w:rPr>
        <w:t>9</w:t>
      </w:r>
      <w:bookmarkStart w:id="1001" w:name="_Toc337558785"/>
      <w:r>
        <w:rPr>
          <w:rFonts w:hint="eastAsia"/>
          <w:sz w:val="21"/>
          <w:szCs w:val="21"/>
        </w:rPr>
        <w:t>.3材料、工程设备和工程的试验和检验</w:t>
      </w:r>
      <w:bookmarkEnd w:id="999"/>
      <w:bookmarkEnd w:id="1000"/>
    </w:p>
    <w:bookmarkEnd w:id="1001"/>
    <w:p w14:paraId="504E79E4">
      <w:pPr>
        <w:spacing w:line="360" w:lineRule="auto"/>
        <w:ind w:firstLine="420" w:firstLineChars="200"/>
        <w:jc w:val="left"/>
        <w:rPr>
          <w:rFonts w:ascii="宋体" w:hAnsi="宋体"/>
          <w:kern w:val="0"/>
          <w:szCs w:val="21"/>
        </w:rPr>
      </w:pPr>
      <w:r>
        <w:rPr>
          <w:rFonts w:hint="eastAsia" w:ascii="宋体" w:hAnsi="宋体"/>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DECAAE4">
      <w:pPr>
        <w:spacing w:line="360" w:lineRule="auto"/>
        <w:ind w:firstLine="420" w:firstLineChars="200"/>
        <w:jc w:val="left"/>
        <w:rPr>
          <w:rFonts w:ascii="宋体" w:hAnsi="宋体"/>
          <w:kern w:val="0"/>
          <w:szCs w:val="21"/>
        </w:rPr>
      </w:pPr>
      <w:r>
        <w:rPr>
          <w:rFonts w:hint="eastAsia" w:ascii="宋体" w:hAnsi="宋体"/>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0BAF9A41">
      <w:pPr>
        <w:spacing w:line="360" w:lineRule="auto"/>
        <w:ind w:firstLine="420" w:firstLineChars="200"/>
        <w:jc w:val="left"/>
        <w:rPr>
          <w:rFonts w:ascii="宋体" w:hAnsi="宋体"/>
          <w:kern w:val="0"/>
          <w:szCs w:val="21"/>
        </w:rPr>
      </w:pPr>
      <w:r>
        <w:rPr>
          <w:rFonts w:hint="eastAsia" w:ascii="宋体" w:hAnsi="宋体"/>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5297BB73">
      <w:pPr>
        <w:pStyle w:val="7"/>
        <w:spacing w:before="0" w:beforeAutospacing="0" w:after="0" w:afterAutospacing="0" w:line="360" w:lineRule="auto"/>
        <w:ind w:firstLine="420" w:firstLineChars="200"/>
        <w:rPr>
          <w:sz w:val="21"/>
          <w:szCs w:val="21"/>
        </w:rPr>
      </w:pPr>
      <w:bookmarkStart w:id="1002" w:name="_Toc351203566"/>
      <w:bookmarkStart w:id="1003" w:name="_Toc532377252"/>
      <w:r>
        <w:rPr>
          <w:rFonts w:hint="eastAsia"/>
          <w:sz w:val="21"/>
          <w:szCs w:val="21"/>
        </w:rPr>
        <w:t>9</w:t>
      </w:r>
      <w:bookmarkStart w:id="1004" w:name="_Toc337558786"/>
      <w:r>
        <w:rPr>
          <w:rFonts w:hint="eastAsia"/>
          <w:sz w:val="21"/>
          <w:szCs w:val="21"/>
        </w:rPr>
        <w:t>.4现场工艺试验</w:t>
      </w:r>
      <w:bookmarkEnd w:id="1002"/>
      <w:bookmarkEnd w:id="1003"/>
    </w:p>
    <w:bookmarkEnd w:id="1004"/>
    <w:p w14:paraId="36641AC4">
      <w:pPr>
        <w:spacing w:line="360" w:lineRule="auto"/>
        <w:ind w:firstLine="420" w:firstLineChars="200"/>
        <w:jc w:val="left"/>
        <w:rPr>
          <w:rFonts w:ascii="宋体" w:hAnsi="宋体"/>
          <w:kern w:val="0"/>
          <w:szCs w:val="21"/>
        </w:rPr>
      </w:pPr>
      <w:r>
        <w:rPr>
          <w:rFonts w:hint="eastAsia" w:ascii="宋体" w:hAnsi="宋体"/>
          <w:kern w:val="0"/>
          <w:szCs w:val="21"/>
        </w:rPr>
        <w:t>承包人应按合同约定或监理人指示进行现场工艺试验。对大型的现场工艺试验，监理人认为必要时，承包人应根据监理人提出的工艺试验要求，编制工艺试验措施计划，报送监理人审查。</w:t>
      </w:r>
    </w:p>
    <w:p w14:paraId="2642EE47">
      <w:pPr>
        <w:pStyle w:val="6"/>
        <w:keepNext/>
        <w:keepLines/>
        <w:spacing w:before="156" w:beforeLines="50" w:beforeAutospacing="0" w:after="156" w:afterLines="50" w:afterAutospacing="0" w:line="360" w:lineRule="auto"/>
        <w:jc w:val="both"/>
        <w:rPr>
          <w:bCs w:val="0"/>
          <w:kern w:val="2"/>
          <w:sz w:val="21"/>
          <w:szCs w:val="21"/>
        </w:rPr>
      </w:pPr>
      <w:bookmarkStart w:id="1005" w:name="_Toc351203567"/>
      <w:bookmarkStart w:id="1006" w:name="_Toc532377253"/>
      <w:bookmarkStart w:id="1007" w:name="_Toc532375596"/>
      <w:r>
        <w:rPr>
          <w:rFonts w:hint="eastAsia"/>
          <w:kern w:val="2"/>
          <w:sz w:val="21"/>
          <w:szCs w:val="21"/>
        </w:rPr>
        <w:t>1</w:t>
      </w:r>
      <w:bookmarkStart w:id="1008" w:name="_Toc337558787"/>
      <w:r>
        <w:rPr>
          <w:rFonts w:hint="eastAsia"/>
          <w:kern w:val="2"/>
          <w:sz w:val="21"/>
          <w:szCs w:val="21"/>
        </w:rPr>
        <w:t>0. 变更</w:t>
      </w:r>
      <w:bookmarkEnd w:id="991"/>
      <w:bookmarkEnd w:id="992"/>
      <w:bookmarkEnd w:id="1005"/>
      <w:bookmarkEnd w:id="1006"/>
      <w:bookmarkEnd w:id="1007"/>
    </w:p>
    <w:bookmarkEnd w:id="1008"/>
    <w:p w14:paraId="57C6ED46">
      <w:pPr>
        <w:pStyle w:val="7"/>
        <w:spacing w:before="0" w:beforeAutospacing="0" w:after="0" w:afterAutospacing="0" w:line="360" w:lineRule="auto"/>
        <w:ind w:firstLine="420" w:firstLineChars="200"/>
        <w:rPr>
          <w:sz w:val="21"/>
          <w:szCs w:val="21"/>
        </w:rPr>
      </w:pPr>
      <w:bookmarkStart w:id="1009" w:name="_Toc532377254"/>
      <w:bookmarkStart w:id="1010" w:name="_Toc351203568"/>
      <w:r>
        <w:rPr>
          <w:rFonts w:hint="eastAsia"/>
          <w:sz w:val="21"/>
          <w:szCs w:val="21"/>
        </w:rPr>
        <w:t>1</w:t>
      </w:r>
      <w:bookmarkStart w:id="1011" w:name="_Toc296346585"/>
      <w:bookmarkStart w:id="1012" w:name="_Toc337558788"/>
      <w:bookmarkStart w:id="1013" w:name="_Toc296503084"/>
      <w:r>
        <w:rPr>
          <w:rFonts w:hint="eastAsia"/>
          <w:sz w:val="21"/>
          <w:szCs w:val="21"/>
        </w:rPr>
        <w:t>0.1变更的范围</w:t>
      </w:r>
      <w:bookmarkEnd w:id="1009"/>
      <w:bookmarkEnd w:id="1010"/>
    </w:p>
    <w:bookmarkEnd w:id="1011"/>
    <w:bookmarkEnd w:id="1012"/>
    <w:bookmarkEnd w:id="1013"/>
    <w:p w14:paraId="105E667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除专用合同条款另有约定外，合同履行过程中发生以下情形的，应按照本条约定进行变更：</w:t>
      </w:r>
    </w:p>
    <w:p w14:paraId="6ACEEF0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（1）增加或减少合同中任何工作，或追加额外的工作；</w:t>
      </w:r>
    </w:p>
    <w:p w14:paraId="3315EF4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（2）取消合同中任何工作，但转由他人实施的工作除外；</w:t>
      </w:r>
    </w:p>
    <w:p w14:paraId="4D2CC38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（3）改变合同中任何工作的质量标准或其他特性；</w:t>
      </w:r>
    </w:p>
    <w:p w14:paraId="427A3B9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（4）改变工程的基线、标高、位置和尺寸；</w:t>
      </w:r>
    </w:p>
    <w:p w14:paraId="605F50F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（5）改变工程的时间安排或实施顺序。</w:t>
      </w:r>
    </w:p>
    <w:p w14:paraId="05593AC3">
      <w:pPr>
        <w:pStyle w:val="7"/>
        <w:spacing w:before="0" w:beforeAutospacing="0" w:after="0" w:afterAutospacing="0" w:line="360" w:lineRule="auto"/>
        <w:ind w:firstLine="420" w:firstLineChars="200"/>
        <w:rPr>
          <w:sz w:val="21"/>
          <w:szCs w:val="21"/>
        </w:rPr>
      </w:pPr>
      <w:bookmarkStart w:id="1014" w:name="_Toc532377255"/>
      <w:r>
        <w:rPr>
          <w:rFonts w:hint="eastAsia"/>
          <w:sz w:val="21"/>
          <w:szCs w:val="21"/>
        </w:rPr>
        <w:t>10.2变更权</w:t>
      </w:r>
      <w:bookmarkEnd w:id="1014"/>
    </w:p>
    <w:p w14:paraId="1598C63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D326FA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涉及设计变更的，应由设计人提供变更后的图纸和说明。如变更超过原设计标准或批准的建设规模时，发包人应及时办理规划、设计变更等审批手续。</w:t>
      </w:r>
    </w:p>
    <w:p w14:paraId="79F83D73">
      <w:pPr>
        <w:pStyle w:val="7"/>
        <w:spacing w:before="0" w:beforeAutospacing="0" w:after="0" w:afterAutospacing="0" w:line="360" w:lineRule="auto"/>
        <w:ind w:firstLine="420" w:firstLineChars="200"/>
        <w:rPr>
          <w:sz w:val="21"/>
          <w:szCs w:val="21"/>
        </w:rPr>
      </w:pPr>
      <w:bookmarkStart w:id="1015" w:name="_Toc532377256"/>
      <w:r>
        <w:rPr>
          <w:rFonts w:hint="eastAsia"/>
          <w:sz w:val="21"/>
          <w:szCs w:val="21"/>
        </w:rPr>
        <w:t>10.3变更程序</w:t>
      </w:r>
      <w:bookmarkEnd w:id="1015"/>
    </w:p>
    <w:p w14:paraId="6A3E580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10.3.1 发包人提出变更</w:t>
      </w:r>
    </w:p>
    <w:p w14:paraId="6145FF9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发包人提出变更的，应通过监理人向承包人发出变更指示，变更指示应说明计划变更的工程范围和变更的内容。</w:t>
      </w:r>
    </w:p>
    <w:p w14:paraId="786D3D3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10.3.2 监理人提出变更建议</w:t>
      </w:r>
    </w:p>
    <w:p w14:paraId="69ECAB2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12BCABB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10.3.3 变更执行</w:t>
      </w:r>
    </w:p>
    <w:p w14:paraId="0047910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79A52C78">
      <w:pPr>
        <w:pStyle w:val="7"/>
        <w:spacing w:before="0" w:beforeAutospacing="0" w:after="0" w:afterAutospacing="0" w:line="360" w:lineRule="auto"/>
        <w:ind w:firstLine="420" w:firstLineChars="200"/>
        <w:rPr>
          <w:sz w:val="21"/>
          <w:szCs w:val="21"/>
        </w:rPr>
      </w:pPr>
      <w:bookmarkStart w:id="1016" w:name="_Toc351203571"/>
      <w:bookmarkStart w:id="1017" w:name="_Toc532377257"/>
      <w:r>
        <w:rPr>
          <w:rFonts w:hint="eastAsia"/>
          <w:sz w:val="21"/>
          <w:szCs w:val="21"/>
        </w:rPr>
        <w:t>1</w:t>
      </w:r>
      <w:bookmarkStart w:id="1018" w:name="_Toc337558791"/>
      <w:bookmarkStart w:id="1019" w:name="_Toc296346588"/>
      <w:bookmarkStart w:id="1020" w:name="_Toc296503087"/>
      <w:r>
        <w:rPr>
          <w:rFonts w:hint="eastAsia"/>
          <w:sz w:val="21"/>
          <w:szCs w:val="21"/>
        </w:rPr>
        <w:t>0.4变更估价</w:t>
      </w:r>
      <w:bookmarkEnd w:id="1016"/>
      <w:bookmarkEnd w:id="1017"/>
    </w:p>
    <w:bookmarkEnd w:id="1018"/>
    <w:bookmarkEnd w:id="1019"/>
    <w:bookmarkEnd w:id="1020"/>
    <w:p w14:paraId="30F8581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10.4.1 变更估价原则</w:t>
      </w:r>
    </w:p>
    <w:p w14:paraId="7C97E89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除专用合同条款另有约定外，变更估价按照本款约定处理：</w:t>
      </w:r>
    </w:p>
    <w:p w14:paraId="5F92F57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（1）已标价工程量清单或预算书有相同项目的，按照相同项目单价认定；</w:t>
      </w:r>
    </w:p>
    <w:p w14:paraId="1E88ADF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（2）已标价工程量清单或预算书中无相同项目，但有类似项目的，参照类似项目的单价认定；</w:t>
      </w:r>
    </w:p>
    <w:p w14:paraId="4BB98B6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31E1BA4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10.4.2 变更估价程序</w:t>
      </w:r>
    </w:p>
    <w:p w14:paraId="51DBD7C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089956E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因变更引起的价格调整应计入最近一期的进度款中支付。</w:t>
      </w:r>
    </w:p>
    <w:p w14:paraId="3B141143">
      <w:pPr>
        <w:pStyle w:val="7"/>
        <w:spacing w:before="0" w:beforeAutospacing="0" w:after="0" w:afterAutospacing="0" w:line="360" w:lineRule="auto"/>
        <w:ind w:firstLine="420" w:firstLineChars="200"/>
        <w:rPr>
          <w:sz w:val="21"/>
          <w:szCs w:val="21"/>
        </w:rPr>
      </w:pPr>
      <w:bookmarkStart w:id="1021" w:name="_Toc351203572"/>
      <w:bookmarkStart w:id="1022" w:name="_Toc532377258"/>
      <w:r>
        <w:rPr>
          <w:rFonts w:hint="eastAsia"/>
          <w:sz w:val="21"/>
          <w:szCs w:val="21"/>
        </w:rPr>
        <w:t>1</w:t>
      </w:r>
      <w:bookmarkStart w:id="1023" w:name="_Toc296346595"/>
      <w:bookmarkStart w:id="1024" w:name="_Toc296503094"/>
      <w:bookmarkStart w:id="1025" w:name="_Toc337558792"/>
      <w:r>
        <w:rPr>
          <w:rFonts w:hint="eastAsia"/>
          <w:sz w:val="21"/>
          <w:szCs w:val="21"/>
        </w:rPr>
        <w:t>0.5承包人的合理化建议</w:t>
      </w:r>
      <w:bookmarkEnd w:id="1021"/>
      <w:bookmarkEnd w:id="1022"/>
    </w:p>
    <w:bookmarkEnd w:id="1023"/>
    <w:bookmarkEnd w:id="1024"/>
    <w:bookmarkEnd w:id="1025"/>
    <w:p w14:paraId="0D483CF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承包人提出合理化建议的，应向监理人提交合理化建议说明，说明建议的内容和理由，以及实施该建议对合同价格和工期的影响。</w:t>
      </w:r>
    </w:p>
    <w:p w14:paraId="54988E9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CD8698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合理化建议降低了合同价格或者提高了工程经济效益的，发包人可对承包人给予奖励，奖励的方法和金额在专用合同条款中约定。</w:t>
      </w:r>
    </w:p>
    <w:p w14:paraId="4B75DB46">
      <w:pPr>
        <w:pStyle w:val="7"/>
        <w:spacing w:before="0" w:beforeAutospacing="0" w:after="0" w:afterAutospacing="0" w:line="360" w:lineRule="auto"/>
        <w:ind w:firstLine="420" w:firstLineChars="200"/>
        <w:rPr>
          <w:sz w:val="21"/>
          <w:szCs w:val="21"/>
        </w:rPr>
      </w:pPr>
      <w:bookmarkStart w:id="1026" w:name="_Toc532377259"/>
      <w:bookmarkStart w:id="1027" w:name="_Toc351203573"/>
      <w:r>
        <w:rPr>
          <w:rFonts w:hint="eastAsia"/>
          <w:sz w:val="21"/>
          <w:szCs w:val="21"/>
        </w:rPr>
        <w:t>1</w:t>
      </w:r>
      <w:bookmarkStart w:id="1028" w:name="_Toc337558793"/>
      <w:r>
        <w:rPr>
          <w:rFonts w:hint="eastAsia"/>
          <w:sz w:val="21"/>
          <w:szCs w:val="21"/>
        </w:rPr>
        <w:t>0.6变更引起的工期调整</w:t>
      </w:r>
      <w:bookmarkEnd w:id="1026"/>
      <w:bookmarkEnd w:id="1027"/>
      <w:bookmarkEnd w:id="1028"/>
    </w:p>
    <w:p w14:paraId="7993605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因变更引起工期变化的，合同当事人均可要求调整合同工期，由合同当事人按照第4.4款〔商定或确定〕并参考工程所在地的工期定额标准确定增减工期天数。</w:t>
      </w:r>
    </w:p>
    <w:p w14:paraId="189C68E9">
      <w:pPr>
        <w:pStyle w:val="7"/>
        <w:spacing w:before="0" w:beforeAutospacing="0" w:after="0" w:afterAutospacing="0" w:line="360" w:lineRule="auto"/>
        <w:ind w:firstLine="420" w:firstLineChars="200"/>
        <w:rPr>
          <w:sz w:val="21"/>
          <w:szCs w:val="21"/>
        </w:rPr>
      </w:pPr>
      <w:bookmarkStart w:id="1029" w:name="_Toc532377260"/>
      <w:bookmarkStart w:id="1030" w:name="_Toc351203574"/>
      <w:r>
        <w:rPr>
          <w:rFonts w:hint="eastAsia"/>
          <w:sz w:val="21"/>
          <w:szCs w:val="21"/>
        </w:rPr>
        <w:t>10.7暂估价</w:t>
      </w:r>
      <w:bookmarkEnd w:id="1029"/>
      <w:bookmarkEnd w:id="1030"/>
    </w:p>
    <w:p w14:paraId="7DC4206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暂估价专业分包工程、服务、材料和工程设备的明细由合同当事人在专用合同条款中约定。</w:t>
      </w:r>
    </w:p>
    <w:p w14:paraId="2A64C488">
      <w:pPr>
        <w:spacing w:line="360" w:lineRule="auto"/>
        <w:ind w:firstLine="420" w:firstLineChars="200"/>
        <w:jc w:val="left"/>
        <w:rPr>
          <w:rFonts w:ascii="宋体" w:hAnsi="宋体"/>
          <w:kern w:val="0"/>
          <w:szCs w:val="21"/>
        </w:rPr>
      </w:pPr>
      <w:r>
        <w:rPr>
          <w:rFonts w:hint="eastAsia" w:ascii="宋体" w:hAnsi="宋体"/>
          <w:kern w:val="0"/>
          <w:szCs w:val="21"/>
        </w:rPr>
        <w:t>10.7.1 依法必须招标的暂估价项目</w:t>
      </w:r>
    </w:p>
    <w:p w14:paraId="0D5F9DED">
      <w:pPr>
        <w:spacing w:line="360" w:lineRule="auto"/>
        <w:ind w:firstLine="420" w:firstLineChars="200"/>
        <w:jc w:val="left"/>
        <w:rPr>
          <w:rFonts w:ascii="宋体" w:hAnsi="宋体"/>
          <w:kern w:val="0"/>
          <w:szCs w:val="21"/>
        </w:rPr>
      </w:pPr>
      <w:r>
        <w:rPr>
          <w:rFonts w:hint="eastAsia" w:ascii="宋体" w:hAnsi="宋体"/>
          <w:kern w:val="0"/>
          <w:szCs w:val="21"/>
        </w:rPr>
        <w:t>对于依法必须招标的暂估价项目，采取以下第1种方式确定。合同当事人也可以在专用合同条款中选择其他招标方式。</w:t>
      </w:r>
    </w:p>
    <w:p w14:paraId="3D93FB09">
      <w:pPr>
        <w:spacing w:line="360" w:lineRule="auto"/>
        <w:ind w:firstLine="420" w:firstLineChars="200"/>
        <w:jc w:val="left"/>
        <w:rPr>
          <w:rFonts w:ascii="宋体" w:hAnsi="宋体"/>
          <w:kern w:val="0"/>
          <w:szCs w:val="21"/>
        </w:rPr>
      </w:pPr>
      <w:r>
        <w:rPr>
          <w:rFonts w:hint="eastAsia" w:ascii="宋体" w:hAnsi="宋体"/>
          <w:kern w:val="0"/>
          <w:szCs w:val="21"/>
        </w:rPr>
        <w:t>第1种方式：对于依法必须招标的暂估价项目，由承包人招标，对该暂估价项目的确认和批准按照以下约定执行：</w:t>
      </w:r>
    </w:p>
    <w:p w14:paraId="5D3C4F2B">
      <w:pPr>
        <w:spacing w:line="360" w:lineRule="auto"/>
        <w:ind w:firstLine="420" w:firstLineChars="200"/>
        <w:jc w:val="left"/>
        <w:rPr>
          <w:rFonts w:ascii="宋体" w:hAnsi="宋体"/>
          <w:kern w:val="0"/>
          <w:szCs w:val="21"/>
        </w:rPr>
      </w:pPr>
      <w:r>
        <w:rPr>
          <w:rFonts w:hint="eastAsia" w:ascii="宋体" w:hAnsi="宋体"/>
          <w:kern w:val="0"/>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493BAA50">
      <w:pPr>
        <w:spacing w:line="360" w:lineRule="auto"/>
        <w:ind w:firstLine="420" w:firstLineChars="200"/>
        <w:jc w:val="left"/>
        <w:rPr>
          <w:rFonts w:ascii="宋体" w:hAnsi="宋体"/>
          <w:kern w:val="0"/>
          <w:szCs w:val="21"/>
        </w:rPr>
      </w:pPr>
      <w:r>
        <w:rPr>
          <w:rFonts w:hint="eastAsia" w:ascii="宋体" w:hAnsi="宋体"/>
          <w:kern w:val="0"/>
          <w:szCs w:val="21"/>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27160224">
      <w:pPr>
        <w:spacing w:line="360" w:lineRule="auto"/>
        <w:ind w:firstLine="420" w:firstLineChars="200"/>
        <w:jc w:val="left"/>
        <w:rPr>
          <w:rFonts w:ascii="宋体" w:hAnsi="宋体"/>
          <w:kern w:val="0"/>
          <w:szCs w:val="21"/>
        </w:rPr>
      </w:pPr>
      <w:r>
        <w:rPr>
          <w:rFonts w:hint="eastAsia" w:ascii="宋体" w:hAnsi="宋体"/>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A5F399E">
      <w:pPr>
        <w:spacing w:line="360" w:lineRule="auto"/>
        <w:ind w:firstLine="420" w:firstLineChars="200"/>
        <w:jc w:val="left"/>
        <w:rPr>
          <w:rFonts w:ascii="宋体" w:hAnsi="宋体"/>
          <w:kern w:val="0"/>
          <w:szCs w:val="21"/>
        </w:rPr>
      </w:pPr>
      <w:r>
        <w:rPr>
          <w:rFonts w:hint="eastAsia" w:ascii="宋体" w:hAnsi="宋体"/>
          <w:kern w:val="0"/>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482AFB9C">
      <w:pPr>
        <w:spacing w:line="360" w:lineRule="auto"/>
        <w:ind w:firstLine="420" w:firstLineChars="200"/>
        <w:jc w:val="left"/>
        <w:rPr>
          <w:rFonts w:ascii="宋体" w:hAnsi="宋体"/>
          <w:kern w:val="0"/>
          <w:szCs w:val="21"/>
        </w:rPr>
      </w:pPr>
      <w:r>
        <w:rPr>
          <w:rFonts w:hint="eastAsia" w:ascii="宋体" w:hAnsi="宋体"/>
          <w:kern w:val="0"/>
          <w:szCs w:val="21"/>
        </w:rPr>
        <w:t>10.7.2不属于依法必须招标的暂估价项目</w:t>
      </w:r>
    </w:p>
    <w:p w14:paraId="2B4B0848">
      <w:pPr>
        <w:spacing w:line="360" w:lineRule="auto"/>
        <w:ind w:firstLine="420" w:firstLineChars="200"/>
        <w:jc w:val="left"/>
        <w:rPr>
          <w:rFonts w:ascii="宋体" w:hAnsi="宋体"/>
          <w:kern w:val="0"/>
          <w:szCs w:val="21"/>
        </w:rPr>
      </w:pPr>
      <w:r>
        <w:rPr>
          <w:rFonts w:hint="eastAsia" w:ascii="宋体" w:hAnsi="宋体"/>
          <w:kern w:val="0"/>
          <w:szCs w:val="21"/>
        </w:rPr>
        <w:t xml:space="preserve">除专用合同条款另有约定外，对于不属于依法必须招标的暂估价项目，采取以下第1种方式确定： </w:t>
      </w:r>
    </w:p>
    <w:p w14:paraId="1EEA947C">
      <w:pPr>
        <w:spacing w:line="360" w:lineRule="auto"/>
        <w:ind w:firstLine="420" w:firstLineChars="200"/>
        <w:jc w:val="left"/>
        <w:rPr>
          <w:rFonts w:ascii="宋体" w:hAnsi="宋体"/>
          <w:kern w:val="0"/>
          <w:szCs w:val="21"/>
        </w:rPr>
      </w:pPr>
      <w:r>
        <w:rPr>
          <w:rFonts w:hint="eastAsia" w:ascii="宋体" w:hAnsi="宋体"/>
          <w:kern w:val="0"/>
          <w:szCs w:val="21"/>
        </w:rPr>
        <w:t>第1种方式：对于不属于依法必须招标的暂估价项目，按本项约定确认和批准：</w:t>
      </w:r>
    </w:p>
    <w:p w14:paraId="64802DC0">
      <w:pPr>
        <w:spacing w:line="360" w:lineRule="auto"/>
        <w:ind w:firstLine="420" w:firstLineChars="200"/>
        <w:jc w:val="left"/>
        <w:rPr>
          <w:rFonts w:ascii="宋体" w:hAnsi="宋体"/>
          <w:kern w:val="0"/>
          <w:szCs w:val="21"/>
        </w:rPr>
      </w:pPr>
      <w:r>
        <w:rPr>
          <w:rFonts w:hint="eastAsia" w:ascii="宋体" w:hAnsi="宋体"/>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02D461F">
      <w:pPr>
        <w:spacing w:line="360" w:lineRule="auto"/>
        <w:ind w:firstLine="420" w:firstLineChars="200"/>
        <w:jc w:val="left"/>
        <w:rPr>
          <w:rFonts w:ascii="宋体" w:hAnsi="宋体"/>
          <w:kern w:val="0"/>
          <w:szCs w:val="21"/>
        </w:rPr>
      </w:pPr>
      <w:r>
        <w:rPr>
          <w:rFonts w:hint="eastAsia" w:ascii="宋体" w:hAnsi="宋体"/>
          <w:kern w:val="0"/>
          <w:szCs w:val="21"/>
        </w:rPr>
        <w:t>（2）发包人认为承包人确定的供应商、分包人无法满足工程质量或合同要求的，发包人可以要求承包人重新确定暂估价项目的供应商、分包人;</w:t>
      </w:r>
    </w:p>
    <w:p w14:paraId="19BAB617">
      <w:pPr>
        <w:spacing w:line="360" w:lineRule="auto"/>
        <w:ind w:firstLine="420" w:firstLineChars="200"/>
        <w:jc w:val="left"/>
        <w:rPr>
          <w:rFonts w:ascii="宋体" w:hAnsi="宋体"/>
          <w:kern w:val="0"/>
          <w:szCs w:val="21"/>
        </w:rPr>
      </w:pPr>
      <w:r>
        <w:rPr>
          <w:rFonts w:hint="eastAsia" w:ascii="宋体" w:hAnsi="宋体"/>
          <w:kern w:val="0"/>
          <w:szCs w:val="21"/>
        </w:rPr>
        <w:t>（3）承包人应当在签订暂估价合同后7天内，将暂估价合同副本报送发包人留存。</w:t>
      </w:r>
    </w:p>
    <w:p w14:paraId="21A65287">
      <w:pPr>
        <w:spacing w:line="360" w:lineRule="auto"/>
        <w:ind w:firstLine="420" w:firstLineChars="200"/>
        <w:jc w:val="left"/>
        <w:rPr>
          <w:rFonts w:ascii="宋体" w:hAnsi="宋体"/>
          <w:kern w:val="0"/>
          <w:szCs w:val="21"/>
        </w:rPr>
      </w:pPr>
      <w:r>
        <w:rPr>
          <w:rFonts w:hint="eastAsia" w:ascii="宋体" w:hAnsi="宋体"/>
          <w:kern w:val="0"/>
          <w:szCs w:val="21"/>
        </w:rPr>
        <w:t>第2种方式：承包人按照第10.7.1项〔依法必须招标的暂估价项目〕约定的第1种方式确定暂估价项目。</w:t>
      </w:r>
    </w:p>
    <w:p w14:paraId="7CACD382">
      <w:pPr>
        <w:spacing w:line="360" w:lineRule="auto"/>
        <w:ind w:firstLine="420" w:firstLineChars="200"/>
        <w:jc w:val="left"/>
        <w:rPr>
          <w:rFonts w:ascii="宋体" w:hAnsi="宋体"/>
          <w:kern w:val="0"/>
          <w:szCs w:val="21"/>
        </w:rPr>
      </w:pPr>
      <w:r>
        <w:rPr>
          <w:rFonts w:hint="eastAsia" w:ascii="宋体" w:hAnsi="宋体"/>
          <w:kern w:val="0"/>
          <w:szCs w:val="21"/>
        </w:rPr>
        <w:t>第3种方式：承包人直接实施的暂估价项目</w:t>
      </w:r>
    </w:p>
    <w:p w14:paraId="1B439B03">
      <w:pPr>
        <w:spacing w:line="360" w:lineRule="auto"/>
        <w:ind w:firstLine="420" w:firstLineChars="200"/>
        <w:jc w:val="left"/>
        <w:rPr>
          <w:rFonts w:ascii="宋体" w:hAnsi="宋体"/>
          <w:kern w:val="0"/>
          <w:szCs w:val="21"/>
        </w:rPr>
      </w:pPr>
      <w:r>
        <w:rPr>
          <w:rFonts w:hint="eastAsia" w:ascii="宋体" w:hAnsi="宋体"/>
          <w:kern w:val="0"/>
          <w:szCs w:val="21"/>
        </w:rPr>
        <w:t>承包人具备实施暂估价项目的资格和条件的，经发包人和承包人协商一致后，可由承包人自行实施暂估价项目，合同当事人可以在专用合同条款约定具体事项。</w:t>
      </w:r>
    </w:p>
    <w:p w14:paraId="66B11A7C">
      <w:pPr>
        <w:spacing w:line="360" w:lineRule="auto"/>
        <w:ind w:firstLine="420" w:firstLineChars="200"/>
        <w:jc w:val="left"/>
        <w:rPr>
          <w:rFonts w:ascii="宋体" w:hAnsi="宋体"/>
          <w:kern w:val="0"/>
          <w:szCs w:val="21"/>
        </w:rPr>
      </w:pPr>
      <w:r>
        <w:rPr>
          <w:rFonts w:hint="eastAsia" w:ascii="宋体" w:hAnsi="宋体"/>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7DAAB0C">
      <w:pPr>
        <w:pStyle w:val="7"/>
        <w:spacing w:before="0" w:beforeAutospacing="0" w:after="0" w:afterAutospacing="0" w:line="360" w:lineRule="auto"/>
        <w:ind w:firstLine="420" w:firstLineChars="200"/>
        <w:rPr>
          <w:sz w:val="21"/>
          <w:szCs w:val="21"/>
        </w:rPr>
      </w:pPr>
      <w:bookmarkStart w:id="1031" w:name="_Toc351203575"/>
      <w:bookmarkStart w:id="1032" w:name="_Toc532377261"/>
      <w:r>
        <w:rPr>
          <w:rFonts w:hint="eastAsia"/>
          <w:sz w:val="21"/>
          <w:szCs w:val="21"/>
        </w:rPr>
        <w:t>1</w:t>
      </w:r>
      <w:bookmarkStart w:id="1033" w:name="_Toc337558794"/>
      <w:bookmarkStart w:id="1034" w:name="_Toc296503090"/>
      <w:bookmarkStart w:id="1035" w:name="_Toc296346591"/>
      <w:bookmarkStart w:id="1036" w:name="_Toc322522561"/>
      <w:r>
        <w:rPr>
          <w:rFonts w:hint="eastAsia"/>
          <w:sz w:val="21"/>
          <w:szCs w:val="21"/>
        </w:rPr>
        <w:t>0.8暂列金额</w:t>
      </w:r>
      <w:bookmarkEnd w:id="1031"/>
      <w:bookmarkEnd w:id="1032"/>
    </w:p>
    <w:bookmarkEnd w:id="1033"/>
    <w:p w14:paraId="5A6C0CD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暂列金额应按照发包人的要求使用，发包人的要求应通过监理人发出。合同当事人可以在专用合同条款中协商确定有关事项。</w:t>
      </w:r>
    </w:p>
    <w:bookmarkEnd w:id="1034"/>
    <w:bookmarkEnd w:id="1035"/>
    <w:bookmarkEnd w:id="1036"/>
    <w:p w14:paraId="483B3C22">
      <w:pPr>
        <w:pStyle w:val="7"/>
        <w:spacing w:before="0" w:beforeAutospacing="0" w:after="0" w:afterAutospacing="0" w:line="360" w:lineRule="auto"/>
        <w:ind w:firstLine="420" w:firstLineChars="200"/>
        <w:rPr>
          <w:sz w:val="21"/>
          <w:szCs w:val="21"/>
        </w:rPr>
      </w:pPr>
      <w:bookmarkStart w:id="1037" w:name="_Toc532377262"/>
      <w:bookmarkStart w:id="1038" w:name="_Toc351203576"/>
      <w:r>
        <w:rPr>
          <w:rFonts w:hint="eastAsia"/>
          <w:sz w:val="21"/>
          <w:szCs w:val="21"/>
        </w:rPr>
        <w:t>1</w:t>
      </w:r>
      <w:bookmarkStart w:id="1039" w:name="_Toc337558796"/>
      <w:bookmarkStart w:id="1040" w:name="_Toc296503091"/>
      <w:bookmarkStart w:id="1041" w:name="_Toc296346592"/>
      <w:r>
        <w:rPr>
          <w:rFonts w:hint="eastAsia"/>
          <w:sz w:val="21"/>
          <w:szCs w:val="21"/>
        </w:rPr>
        <w:t>0.9计日工</w:t>
      </w:r>
      <w:bookmarkEnd w:id="1037"/>
      <w:bookmarkEnd w:id="1038"/>
      <w:bookmarkEnd w:id="1039"/>
      <w:bookmarkEnd w:id="1040"/>
      <w:bookmarkEnd w:id="1041"/>
    </w:p>
    <w:p w14:paraId="0F24D21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25B28F17">
      <w:pPr>
        <w:spacing w:line="360" w:lineRule="auto"/>
        <w:ind w:firstLine="420" w:firstLineChars="200"/>
        <w:jc w:val="left"/>
        <w:rPr>
          <w:rFonts w:ascii="宋体" w:hAnsi="宋体"/>
          <w:kern w:val="0"/>
          <w:szCs w:val="21"/>
        </w:rPr>
      </w:pPr>
      <w:r>
        <w:rPr>
          <w:rFonts w:hint="eastAsia" w:ascii="宋体" w:hAnsi="宋体"/>
          <w:kern w:val="0"/>
          <w:szCs w:val="21"/>
        </w:rPr>
        <w:t>采用计日工计价的任何一项工作，承包人应在该项工作实施过程中，每天提交以下报表和有关凭证报送监理人审查：</w:t>
      </w:r>
    </w:p>
    <w:p w14:paraId="69F2B150">
      <w:pPr>
        <w:spacing w:line="360" w:lineRule="auto"/>
        <w:ind w:firstLine="420" w:firstLineChars="200"/>
        <w:jc w:val="left"/>
        <w:rPr>
          <w:rFonts w:ascii="宋体" w:hAnsi="宋体"/>
          <w:kern w:val="0"/>
          <w:szCs w:val="21"/>
        </w:rPr>
      </w:pPr>
      <w:r>
        <w:rPr>
          <w:rFonts w:hint="eastAsia" w:ascii="宋体" w:hAnsi="宋体"/>
          <w:kern w:val="0"/>
          <w:szCs w:val="21"/>
        </w:rPr>
        <w:t>（1）工作名称、内容和数量；</w:t>
      </w:r>
    </w:p>
    <w:p w14:paraId="57CDEBEA">
      <w:pPr>
        <w:spacing w:line="360" w:lineRule="auto"/>
        <w:ind w:firstLine="420" w:firstLineChars="200"/>
        <w:jc w:val="left"/>
        <w:rPr>
          <w:rFonts w:ascii="宋体" w:hAnsi="宋体"/>
          <w:kern w:val="0"/>
          <w:szCs w:val="21"/>
        </w:rPr>
      </w:pPr>
      <w:r>
        <w:rPr>
          <w:rFonts w:hint="eastAsia" w:ascii="宋体" w:hAnsi="宋体"/>
          <w:kern w:val="0"/>
          <w:szCs w:val="21"/>
        </w:rPr>
        <w:t>（2）投入该工作的所有人员的姓名、专业、工种、级别和耗用工时；</w:t>
      </w:r>
    </w:p>
    <w:p w14:paraId="3BAC6AAA">
      <w:pPr>
        <w:spacing w:line="360" w:lineRule="auto"/>
        <w:ind w:firstLine="420" w:firstLineChars="200"/>
        <w:jc w:val="left"/>
        <w:rPr>
          <w:rFonts w:ascii="宋体" w:hAnsi="宋体"/>
          <w:kern w:val="0"/>
          <w:szCs w:val="21"/>
        </w:rPr>
      </w:pPr>
      <w:r>
        <w:rPr>
          <w:rFonts w:hint="eastAsia" w:ascii="宋体" w:hAnsi="宋体"/>
          <w:kern w:val="0"/>
          <w:szCs w:val="21"/>
        </w:rPr>
        <w:t>（3）投入该工作的材料类别和数量；</w:t>
      </w:r>
    </w:p>
    <w:p w14:paraId="6D4185B3">
      <w:pPr>
        <w:spacing w:line="360" w:lineRule="auto"/>
        <w:ind w:firstLine="420" w:firstLineChars="200"/>
        <w:jc w:val="left"/>
        <w:rPr>
          <w:rFonts w:ascii="宋体" w:hAnsi="宋体"/>
          <w:kern w:val="0"/>
          <w:szCs w:val="21"/>
        </w:rPr>
      </w:pPr>
      <w:r>
        <w:rPr>
          <w:rFonts w:hint="eastAsia" w:ascii="宋体" w:hAnsi="宋体"/>
          <w:kern w:val="0"/>
          <w:szCs w:val="21"/>
        </w:rPr>
        <w:t>（4）投入该工作的施工设备型号、台数和耗用台时；</w:t>
      </w:r>
    </w:p>
    <w:p w14:paraId="6F454680">
      <w:pPr>
        <w:spacing w:line="360" w:lineRule="auto"/>
        <w:ind w:firstLine="420" w:firstLineChars="200"/>
        <w:jc w:val="left"/>
        <w:rPr>
          <w:rFonts w:ascii="宋体" w:hAnsi="宋体"/>
          <w:kern w:val="0"/>
          <w:szCs w:val="21"/>
        </w:rPr>
      </w:pPr>
      <w:r>
        <w:rPr>
          <w:rFonts w:hint="eastAsia" w:ascii="宋体" w:hAnsi="宋体"/>
          <w:kern w:val="0"/>
          <w:szCs w:val="21"/>
        </w:rPr>
        <w:t>（5）其他有关资料和凭证。</w:t>
      </w:r>
    </w:p>
    <w:p w14:paraId="15D6804F">
      <w:pPr>
        <w:spacing w:line="360" w:lineRule="auto"/>
        <w:ind w:firstLine="420" w:firstLineChars="200"/>
        <w:jc w:val="left"/>
        <w:rPr>
          <w:rFonts w:ascii="宋体" w:hAnsi="宋体"/>
          <w:kern w:val="0"/>
          <w:szCs w:val="21"/>
        </w:rPr>
      </w:pPr>
      <w:r>
        <w:rPr>
          <w:rFonts w:hint="eastAsia" w:ascii="宋体" w:hAnsi="宋体"/>
          <w:kern w:val="0"/>
          <w:szCs w:val="21"/>
        </w:rPr>
        <w:t xml:space="preserve"> 计日工由承包人汇总后，列入最近一期进度付款申请单，由监理人审查并经发包人批准后列入进度付款。</w:t>
      </w:r>
    </w:p>
    <w:p w14:paraId="351C8FCA">
      <w:pPr>
        <w:pStyle w:val="6"/>
        <w:keepNext/>
        <w:keepLines/>
        <w:spacing w:before="156" w:beforeLines="50" w:beforeAutospacing="0" w:after="156" w:afterLines="50" w:afterAutospacing="0" w:line="360" w:lineRule="auto"/>
        <w:jc w:val="both"/>
        <w:rPr>
          <w:bCs w:val="0"/>
          <w:kern w:val="2"/>
          <w:sz w:val="21"/>
          <w:szCs w:val="21"/>
        </w:rPr>
      </w:pPr>
      <w:bookmarkStart w:id="1042" w:name="_Toc351203577"/>
      <w:bookmarkStart w:id="1043" w:name="_Toc532375597"/>
      <w:bookmarkStart w:id="1044" w:name="_Toc532377263"/>
      <w:r>
        <w:rPr>
          <w:rFonts w:hint="eastAsia"/>
          <w:kern w:val="2"/>
          <w:sz w:val="21"/>
          <w:szCs w:val="21"/>
        </w:rPr>
        <w:t>11. 价格调整</w:t>
      </w:r>
      <w:bookmarkEnd w:id="1042"/>
      <w:bookmarkEnd w:id="1043"/>
      <w:bookmarkEnd w:id="1044"/>
    </w:p>
    <w:p w14:paraId="26681390">
      <w:pPr>
        <w:pStyle w:val="7"/>
        <w:spacing w:before="0" w:beforeAutospacing="0" w:after="0" w:afterAutospacing="0" w:line="360" w:lineRule="auto"/>
        <w:ind w:firstLine="420" w:firstLineChars="200"/>
        <w:rPr>
          <w:sz w:val="21"/>
          <w:szCs w:val="21"/>
        </w:rPr>
      </w:pPr>
      <w:bookmarkStart w:id="1045" w:name="_Toc351203578"/>
      <w:bookmarkStart w:id="1046" w:name="_Toc532377264"/>
      <w:bookmarkStart w:id="1047" w:name="_Toc337558797"/>
      <w:bookmarkStart w:id="1048" w:name="_Toc296503092"/>
      <w:bookmarkStart w:id="1049" w:name="_Toc296346593"/>
      <w:r>
        <w:rPr>
          <w:rFonts w:hint="eastAsia"/>
          <w:sz w:val="21"/>
          <w:szCs w:val="21"/>
        </w:rPr>
        <w:t>11.1市场价格波动引起的调整</w:t>
      </w:r>
      <w:bookmarkEnd w:id="1045"/>
      <w:bookmarkEnd w:id="1046"/>
    </w:p>
    <w:bookmarkEnd w:id="1047"/>
    <w:bookmarkEnd w:id="1048"/>
    <w:bookmarkEnd w:id="1049"/>
    <w:p w14:paraId="48A15E59">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除专用合同条款另有约定外，市场价格波动超过合同当事人约定的范围，合同价格应当调整。合同当事人可以在专用合同条款中约定选择以下一种方式对合同价格进行调整：</w:t>
      </w:r>
    </w:p>
    <w:p w14:paraId="64479BEE">
      <w:pPr>
        <w:spacing w:line="360" w:lineRule="auto"/>
        <w:ind w:firstLine="420" w:firstLineChars="200"/>
        <w:jc w:val="left"/>
        <w:rPr>
          <w:rFonts w:ascii="宋体" w:hAnsi="宋体"/>
          <w:kern w:val="0"/>
          <w:szCs w:val="21"/>
        </w:rPr>
      </w:pPr>
      <w:r>
        <w:rPr>
          <w:rFonts w:hint="eastAsia" w:ascii="宋体" w:hAnsi="宋体"/>
          <w:kern w:val="0"/>
          <w:szCs w:val="21"/>
        </w:rPr>
        <w:t>第1种方式：采用价格指数进行价格调整。</w:t>
      </w:r>
    </w:p>
    <w:p w14:paraId="5CA496D1">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（1）价格调整公式</w:t>
      </w:r>
    </w:p>
    <w:p w14:paraId="2071AD4C">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因人工、材料和设备等价格波动影响合同价格时，根据专用合同条款中约定的数据，按以下公式计算差额并调整合同价格：</w:t>
      </w:r>
    </w:p>
    <w:p w14:paraId="1209D082">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5" o:spt="75" type="#_x0000_t75" style="height:43pt;width:360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14:paraId="067589C6">
      <w:pPr>
        <w:tabs>
          <w:tab w:val="left" w:pos="0"/>
          <w:tab w:val="left" w:pos="360"/>
          <w:tab w:val="left" w:pos="540"/>
        </w:tabs>
        <w:spacing w:line="360" w:lineRule="auto"/>
        <w:ind w:firstLine="200"/>
        <w:jc w:val="left"/>
        <w:rPr>
          <w:rFonts w:ascii="宋体" w:hAnsi="宋体"/>
          <w:kern w:val="0"/>
          <w:szCs w:val="21"/>
        </w:rPr>
      </w:pPr>
      <w:r>
        <w:rPr>
          <w:rFonts w:hint="eastAsia" w:ascii="宋体" w:hAnsi="宋体"/>
          <w:kern w:val="0"/>
          <w:szCs w:val="21"/>
        </w:rPr>
        <w:t>公式中：ΔP——需调整的价格差额；</w:t>
      </w:r>
    </w:p>
    <w:p w14:paraId="00A61CCC">
      <w:pPr>
        <w:tabs>
          <w:tab w:val="left" w:pos="0"/>
          <w:tab w:val="left" w:pos="360"/>
          <w:tab w:val="left" w:pos="540"/>
        </w:tabs>
        <w:spacing w:line="360" w:lineRule="auto"/>
        <w:ind w:firstLine="1260" w:firstLineChars="600"/>
        <w:jc w:val="left"/>
        <w:rPr>
          <w:rFonts w:ascii="宋体" w:hAnsi="宋体"/>
          <w:kern w:val="0"/>
          <w:szCs w:val="21"/>
        </w:rPr>
      </w:pPr>
      <w:r>
        <w:rPr>
          <w:rFonts w:hint="eastAsia" w:ascii="宋体" w:hAnsi="宋体"/>
          <w:kern w:val="0"/>
          <w:szCs w:val="21"/>
        </w:rPr>
        <w:object>
          <v:shape id="_x0000_i1026" o:spt="75" type="#_x0000_t75" style="height:18.5pt;width:18.5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rFonts w:hint="eastAsia" w:ascii="宋体" w:hAnsi="宋体"/>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1B833B7C">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A——定值权重（即不调部分的权重）；</w:t>
      </w:r>
    </w:p>
    <w:p w14:paraId="130495A4">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7" o:spt="75" type="#_x0000_t75" style="height:22pt;width:100.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rFonts w:hint="eastAsia" w:ascii="宋体" w:hAnsi="宋体"/>
          <w:kern w:val="0"/>
          <w:szCs w:val="21"/>
        </w:rPr>
        <w:t>——各可调因子的变值权重（即可调部分的权重），为各可调因子在签约合同价中所占的比例；</w:t>
      </w:r>
    </w:p>
    <w:p w14:paraId="41EEC1F9">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8" o:spt="75" type="#_x0000_t75" style="height:22pt;width:101.5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5">
            <o:LockedField>false</o:LockedField>
          </o:OLEObject>
        </w:object>
      </w:r>
      <w:r>
        <w:rPr>
          <w:rFonts w:hint="eastAsia" w:ascii="宋体" w:hAnsi="宋体"/>
          <w:kern w:val="0"/>
          <w:szCs w:val="21"/>
        </w:rPr>
        <w:t>——各可调因子的现行价格指数，指约定的付款证书相关周期最后一天的前42天的各可调因子的价格指数；</w:t>
      </w:r>
    </w:p>
    <w:p w14:paraId="17F89312">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9" o:spt="75" type="#_x0000_t75" style="height:22pt;width:109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9" r:id="rId17">
            <o:LockedField>false</o:LockedField>
          </o:OLEObject>
        </w:object>
      </w:r>
      <w:r>
        <w:rPr>
          <w:rFonts w:hint="eastAsia" w:ascii="宋体" w:hAnsi="宋体"/>
          <w:kern w:val="0"/>
          <w:szCs w:val="21"/>
        </w:rPr>
        <w:t>——各可调因子的基本价格指数，指基准日期的各可调因子的价格指数。</w:t>
      </w:r>
    </w:p>
    <w:p w14:paraId="2DD67964">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F6DA1B4">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（2）暂时确定调整差额</w:t>
      </w:r>
    </w:p>
    <w:p w14:paraId="1D76BDEA">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在计算调整差额时无现行价格指数的，合同当事人同意暂用前次价格指数计算。实际价格指数有调整的，合同当事人进行相应调整。</w:t>
      </w:r>
    </w:p>
    <w:p w14:paraId="75B48A94">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（3）权重的调整</w:t>
      </w:r>
    </w:p>
    <w:p w14:paraId="04324243">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因变更导致合同约定的权重不合理时，按照第4.4款〔商定或确定〕执行。</w:t>
      </w:r>
    </w:p>
    <w:p w14:paraId="203458CC">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（4）因承包人原因工期延误后的价格调整</w:t>
      </w:r>
    </w:p>
    <w:p w14:paraId="4F5D804B">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因承包人原因未按期竣工的，对合同约定的竣工日期后继续施工的工程，在使用价格调整公式时，应采用计划竣工日期与实际竣工日期的两个价格指数中较低的一个作为现行价格指数。</w:t>
      </w:r>
    </w:p>
    <w:p w14:paraId="7F8E8ABD">
      <w:pPr>
        <w:spacing w:line="360" w:lineRule="auto"/>
        <w:ind w:firstLine="420" w:firstLineChars="200"/>
        <w:jc w:val="left"/>
        <w:rPr>
          <w:rFonts w:ascii="宋体" w:hAnsi="宋体"/>
          <w:kern w:val="0"/>
          <w:szCs w:val="21"/>
        </w:rPr>
      </w:pPr>
      <w:r>
        <w:rPr>
          <w:rFonts w:hint="eastAsia" w:ascii="宋体" w:hAnsi="宋体"/>
          <w:kern w:val="0"/>
          <w:szCs w:val="21"/>
        </w:rPr>
        <w:t>第2种方式：采用造价信息进行价格调整。</w:t>
      </w:r>
    </w:p>
    <w:p w14:paraId="26E64B46">
      <w:pPr>
        <w:spacing w:line="360" w:lineRule="auto"/>
        <w:ind w:firstLine="420" w:firstLineChars="200"/>
        <w:jc w:val="left"/>
        <w:rPr>
          <w:rFonts w:ascii="宋体" w:hAnsi="宋体"/>
          <w:kern w:val="0"/>
          <w:szCs w:val="21"/>
        </w:rPr>
      </w:pPr>
      <w:r>
        <w:rPr>
          <w:rFonts w:hint="eastAsia" w:ascii="宋体" w:hAnsi="宋体"/>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540DF20">
      <w:pPr>
        <w:spacing w:line="360" w:lineRule="auto"/>
        <w:ind w:firstLine="420" w:firstLineChars="200"/>
        <w:jc w:val="left"/>
        <w:rPr>
          <w:rFonts w:ascii="宋体" w:hAnsi="宋体"/>
          <w:kern w:val="0"/>
          <w:szCs w:val="21"/>
        </w:rPr>
      </w:pPr>
      <w:r>
        <w:rPr>
          <w:rFonts w:hint="eastAsia" w:ascii="宋体" w:hAnsi="宋体"/>
          <w:kern w:val="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6A50728B">
      <w:pPr>
        <w:spacing w:line="360" w:lineRule="auto"/>
        <w:ind w:firstLine="420" w:firstLineChars="200"/>
        <w:jc w:val="left"/>
        <w:rPr>
          <w:rFonts w:ascii="宋体" w:hAnsi="宋体"/>
          <w:kern w:val="0"/>
          <w:szCs w:val="21"/>
        </w:rPr>
      </w:pPr>
      <w:r>
        <w:rPr>
          <w:rFonts w:hint="eastAsia" w:ascii="宋体" w:hAnsi="宋体"/>
          <w:kern w:val="0"/>
          <w:szCs w:val="21"/>
        </w:rPr>
        <w:t>（2）材料、工程设备价格变化的价款调整按照发包人提供的基准价格，按以下风险范围规定执行：</w:t>
      </w:r>
    </w:p>
    <w:p w14:paraId="7118D833">
      <w:pPr>
        <w:spacing w:line="360" w:lineRule="auto"/>
        <w:ind w:firstLine="420" w:firstLineChars="200"/>
        <w:jc w:val="left"/>
        <w:rPr>
          <w:rFonts w:ascii="宋体" w:hAnsi="宋体"/>
          <w:kern w:val="0"/>
          <w:szCs w:val="21"/>
        </w:rPr>
      </w:pPr>
      <w:r>
        <w:rPr>
          <w:rFonts w:hint="eastAsia" w:ascii="宋体" w:hAnsi="宋体"/>
          <w:kern w:val="0"/>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78D93060">
      <w:pPr>
        <w:spacing w:line="360" w:lineRule="auto"/>
        <w:ind w:firstLine="420" w:firstLineChars="200"/>
        <w:jc w:val="left"/>
        <w:rPr>
          <w:rFonts w:ascii="宋体" w:hAnsi="宋体"/>
          <w:kern w:val="0"/>
          <w:szCs w:val="21"/>
        </w:rPr>
      </w:pPr>
      <w:r>
        <w:rPr>
          <w:rFonts w:hint="eastAsia" w:ascii="宋体" w:hAnsi="宋体"/>
          <w:kern w:val="0"/>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3CF9DE6C">
      <w:pPr>
        <w:spacing w:line="360" w:lineRule="auto"/>
        <w:ind w:firstLine="420" w:firstLineChars="200"/>
        <w:jc w:val="left"/>
        <w:rPr>
          <w:rFonts w:ascii="宋体" w:hAnsi="宋体"/>
          <w:kern w:val="0"/>
          <w:szCs w:val="21"/>
        </w:rPr>
      </w:pPr>
      <w:r>
        <w:rPr>
          <w:rFonts w:hint="eastAsia" w:ascii="宋体" w:hAnsi="宋体"/>
          <w:kern w:val="0"/>
          <w:szCs w:val="21"/>
        </w:rPr>
        <w:t>③承包人在已标价工程量清单或预算书中载明材料单价等于基准价格的：除专用合同条款另有约定外，合同履行期间材料单价涨跌幅以基准价格为基础超过±5%时，其超过部分据实调整。</w:t>
      </w:r>
    </w:p>
    <w:p w14:paraId="21D76BD6">
      <w:pPr>
        <w:spacing w:line="360" w:lineRule="auto"/>
        <w:ind w:firstLine="420" w:firstLineChars="200"/>
        <w:jc w:val="left"/>
        <w:rPr>
          <w:rFonts w:ascii="宋体" w:hAnsi="宋体"/>
          <w:kern w:val="0"/>
          <w:szCs w:val="21"/>
        </w:rPr>
      </w:pPr>
      <w:r>
        <w:rPr>
          <w:rFonts w:hint="eastAsia" w:ascii="宋体" w:hAnsi="宋体"/>
          <w:kern w:val="0"/>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07857109">
      <w:pPr>
        <w:spacing w:line="360" w:lineRule="auto"/>
        <w:ind w:firstLine="420" w:firstLineChars="200"/>
        <w:jc w:val="left"/>
        <w:rPr>
          <w:rFonts w:ascii="宋体" w:hAnsi="宋体"/>
          <w:kern w:val="0"/>
          <w:szCs w:val="21"/>
        </w:rPr>
      </w:pPr>
      <w:bookmarkStart w:id="1050" w:name="OLE_LINK3"/>
      <w:r>
        <w:rPr>
          <w:rFonts w:hint="eastAsia" w:ascii="宋体" w:hAnsi="宋体"/>
          <w:kern w:val="0"/>
          <w:szCs w:val="21"/>
        </w:rPr>
        <w:t>前述基准价格是指由发包人在招标文件或专用合同条款中给定的材料、工程设备的价格，该价格原则上应当按照省级或行业建设主管部门或其授权的工程造价管理机构发布的信息价编制。</w:t>
      </w:r>
    </w:p>
    <w:p w14:paraId="1CA077B9">
      <w:pPr>
        <w:spacing w:line="360" w:lineRule="auto"/>
        <w:ind w:firstLine="420" w:firstLineChars="200"/>
        <w:jc w:val="left"/>
        <w:rPr>
          <w:rFonts w:ascii="宋体" w:hAnsi="宋体"/>
          <w:kern w:val="0"/>
          <w:szCs w:val="21"/>
        </w:rPr>
      </w:pPr>
      <w:r>
        <w:rPr>
          <w:rFonts w:hint="eastAsia" w:ascii="宋体" w:hAnsi="宋体"/>
          <w:kern w:val="0"/>
          <w:szCs w:val="21"/>
        </w:rPr>
        <w:t>（3）施工机械台班单价或施工机械使用费发生变化超过省级或行业建设主管部门或其授权的工程造价管理机构规定的范围时，按规定调整合同价格。</w:t>
      </w:r>
    </w:p>
    <w:p w14:paraId="1C9A475B">
      <w:pPr>
        <w:spacing w:line="360" w:lineRule="auto"/>
        <w:ind w:firstLine="420" w:firstLineChars="200"/>
        <w:jc w:val="left"/>
        <w:rPr>
          <w:rFonts w:ascii="宋体" w:hAnsi="宋体"/>
          <w:kern w:val="0"/>
          <w:szCs w:val="21"/>
        </w:rPr>
      </w:pPr>
      <w:r>
        <w:rPr>
          <w:rFonts w:hint="eastAsia" w:ascii="宋体" w:hAnsi="宋体"/>
          <w:kern w:val="0"/>
          <w:szCs w:val="21"/>
        </w:rPr>
        <w:t>第3种方式：专用合同条款约定的其他方式。</w:t>
      </w:r>
    </w:p>
    <w:p w14:paraId="47917DB4">
      <w:pPr>
        <w:pStyle w:val="7"/>
        <w:spacing w:before="0" w:beforeAutospacing="0" w:after="0" w:afterAutospacing="0" w:line="360" w:lineRule="auto"/>
        <w:ind w:firstLine="420" w:firstLineChars="200"/>
        <w:rPr>
          <w:sz w:val="21"/>
          <w:szCs w:val="21"/>
        </w:rPr>
      </w:pPr>
      <w:bookmarkStart w:id="1051" w:name="_Toc351203579"/>
      <w:bookmarkStart w:id="1052" w:name="_Toc532377265"/>
      <w:bookmarkStart w:id="1053" w:name="_Toc337558798"/>
      <w:bookmarkStart w:id="1054" w:name="_Toc296503093"/>
      <w:bookmarkStart w:id="1055" w:name="_Toc296346594"/>
      <w:r>
        <w:rPr>
          <w:rFonts w:hint="eastAsia"/>
          <w:sz w:val="21"/>
          <w:szCs w:val="21"/>
        </w:rPr>
        <w:t>11.2法律变化引起的调整</w:t>
      </w:r>
      <w:bookmarkEnd w:id="1051"/>
      <w:bookmarkEnd w:id="1052"/>
    </w:p>
    <w:bookmarkEnd w:id="1053"/>
    <w:bookmarkEnd w:id="1054"/>
    <w:bookmarkEnd w:id="1055"/>
    <w:p w14:paraId="07151E42">
      <w:pPr>
        <w:spacing w:line="360" w:lineRule="auto"/>
        <w:ind w:firstLine="420" w:firstLineChars="200"/>
        <w:jc w:val="left"/>
        <w:rPr>
          <w:rFonts w:ascii="宋体" w:hAnsi="宋体"/>
          <w:kern w:val="0"/>
          <w:szCs w:val="21"/>
        </w:rPr>
      </w:pPr>
      <w:r>
        <w:rPr>
          <w:rFonts w:hint="eastAsia" w:ascii="宋体" w:hAnsi="宋体"/>
          <w:kern w:val="0"/>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65A907D3">
      <w:pPr>
        <w:spacing w:line="360" w:lineRule="auto"/>
        <w:ind w:firstLine="420" w:firstLineChars="200"/>
        <w:jc w:val="left"/>
        <w:rPr>
          <w:rFonts w:ascii="宋体" w:hAnsi="宋体"/>
          <w:kern w:val="0"/>
          <w:szCs w:val="21"/>
        </w:rPr>
      </w:pPr>
      <w:r>
        <w:rPr>
          <w:rFonts w:hint="eastAsia" w:ascii="宋体" w:hAnsi="宋体"/>
          <w:kern w:val="0"/>
          <w:szCs w:val="21"/>
        </w:rPr>
        <w:t>因法律变化引起的合同价格和工期调整，合同当事人无法达成一致的，由总监理工程师按第4.4款〔商定或确定〕的约定处理。</w:t>
      </w:r>
    </w:p>
    <w:p w14:paraId="4FABF2E6">
      <w:pPr>
        <w:spacing w:line="360" w:lineRule="auto"/>
        <w:ind w:firstLine="420" w:firstLineChars="200"/>
        <w:jc w:val="left"/>
        <w:rPr>
          <w:rFonts w:ascii="宋体" w:hAnsi="宋体"/>
          <w:kern w:val="0"/>
          <w:szCs w:val="21"/>
        </w:rPr>
      </w:pPr>
      <w:r>
        <w:rPr>
          <w:rFonts w:hint="eastAsia" w:ascii="宋体" w:hAnsi="宋体"/>
          <w:kern w:val="0"/>
          <w:szCs w:val="21"/>
        </w:rPr>
        <w:t>因承包人原因造成工期延误，在工期延误期间出现法律变化的，由此增加的费用和（或）延误的工期由承包人承担。</w:t>
      </w:r>
    </w:p>
    <w:p w14:paraId="2D17DE0B">
      <w:pPr>
        <w:pStyle w:val="6"/>
        <w:keepNext/>
        <w:keepLines/>
        <w:spacing w:before="156" w:beforeLines="50" w:beforeAutospacing="0" w:after="156" w:afterLines="50" w:afterAutospacing="0" w:line="360" w:lineRule="auto"/>
        <w:jc w:val="both"/>
        <w:rPr>
          <w:bCs w:val="0"/>
          <w:kern w:val="2"/>
          <w:sz w:val="21"/>
          <w:szCs w:val="21"/>
        </w:rPr>
      </w:pPr>
      <w:bookmarkStart w:id="1056" w:name="_Toc351203580"/>
      <w:bookmarkStart w:id="1057" w:name="_Toc532377266"/>
      <w:bookmarkStart w:id="1058" w:name="_Toc532375598"/>
      <w:bookmarkStart w:id="1059" w:name="_Toc337558799"/>
      <w:bookmarkStart w:id="1060" w:name="_Toc296503096"/>
      <w:bookmarkStart w:id="1061" w:name="_Toc296346597"/>
      <w:r>
        <w:rPr>
          <w:rFonts w:hint="eastAsia"/>
          <w:kern w:val="2"/>
          <w:sz w:val="21"/>
          <w:szCs w:val="21"/>
        </w:rPr>
        <w:t>12. 合同价格、计量与支付</w:t>
      </w:r>
      <w:bookmarkEnd w:id="1056"/>
      <w:bookmarkEnd w:id="1057"/>
      <w:bookmarkEnd w:id="1058"/>
    </w:p>
    <w:bookmarkEnd w:id="1059"/>
    <w:p w14:paraId="323D5531">
      <w:pPr>
        <w:pStyle w:val="7"/>
        <w:spacing w:before="0" w:beforeAutospacing="0" w:after="0" w:afterAutospacing="0" w:line="360" w:lineRule="auto"/>
        <w:ind w:firstLine="420" w:firstLineChars="200"/>
        <w:rPr>
          <w:sz w:val="21"/>
          <w:szCs w:val="21"/>
        </w:rPr>
      </w:pPr>
      <w:bookmarkStart w:id="1062" w:name="_Toc351203581"/>
      <w:bookmarkStart w:id="1063" w:name="_Toc532377267"/>
      <w:bookmarkStart w:id="1064" w:name="_Toc337558800"/>
      <w:r>
        <w:rPr>
          <w:rFonts w:hint="eastAsia"/>
          <w:sz w:val="21"/>
          <w:szCs w:val="21"/>
        </w:rPr>
        <w:t>12.1 合同价</w:t>
      </w:r>
      <w:bookmarkEnd w:id="1060"/>
      <w:bookmarkEnd w:id="1061"/>
      <w:r>
        <w:rPr>
          <w:rFonts w:hint="eastAsia"/>
          <w:sz w:val="21"/>
          <w:szCs w:val="21"/>
        </w:rPr>
        <w:t>格形式</w:t>
      </w:r>
      <w:bookmarkEnd w:id="1062"/>
      <w:bookmarkEnd w:id="1063"/>
    </w:p>
    <w:bookmarkEnd w:id="1064"/>
    <w:p w14:paraId="5D0C1AB4">
      <w:pPr>
        <w:spacing w:line="360" w:lineRule="auto"/>
        <w:ind w:firstLine="420" w:firstLineChars="200"/>
        <w:jc w:val="left"/>
        <w:rPr>
          <w:rFonts w:ascii="宋体" w:hAnsi="宋体"/>
          <w:kern w:val="0"/>
          <w:szCs w:val="21"/>
        </w:rPr>
      </w:pPr>
      <w:r>
        <w:rPr>
          <w:rFonts w:hint="eastAsia" w:ascii="宋体" w:hAnsi="宋体"/>
          <w:kern w:val="0"/>
          <w:szCs w:val="21"/>
        </w:rPr>
        <w:t xml:space="preserve">发包人和承包人应在合同协议书中选择下列一种合同价格形式： </w:t>
      </w:r>
    </w:p>
    <w:p w14:paraId="117F5C52">
      <w:pPr>
        <w:spacing w:line="360" w:lineRule="auto"/>
        <w:ind w:firstLine="420" w:firstLineChars="200"/>
        <w:jc w:val="left"/>
        <w:rPr>
          <w:rFonts w:ascii="宋体" w:hAnsi="宋体"/>
          <w:kern w:val="0"/>
          <w:szCs w:val="21"/>
        </w:rPr>
      </w:pPr>
      <w:r>
        <w:rPr>
          <w:rFonts w:hint="eastAsia" w:ascii="宋体" w:hAnsi="宋体"/>
          <w:kern w:val="0"/>
          <w:szCs w:val="21"/>
        </w:rPr>
        <w:t>1.单价合同</w:t>
      </w:r>
    </w:p>
    <w:p w14:paraId="4E6BD2CF">
      <w:pPr>
        <w:spacing w:line="360" w:lineRule="auto"/>
        <w:ind w:firstLine="420" w:firstLineChars="200"/>
        <w:jc w:val="left"/>
        <w:rPr>
          <w:rFonts w:ascii="宋体" w:hAnsi="宋体"/>
          <w:kern w:val="0"/>
          <w:szCs w:val="21"/>
        </w:rPr>
      </w:pPr>
      <w:r>
        <w:rPr>
          <w:rFonts w:hint="eastAsia" w:ascii="宋体" w:hAnsi="宋体"/>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3D1519F7">
      <w:pPr>
        <w:pStyle w:val="7"/>
        <w:spacing w:before="0" w:beforeAutospacing="0" w:after="0" w:afterAutospacing="0" w:line="360" w:lineRule="auto"/>
        <w:ind w:firstLine="420" w:firstLineChars="200"/>
        <w:rPr>
          <w:b w:val="0"/>
          <w:sz w:val="21"/>
          <w:szCs w:val="21"/>
        </w:rPr>
      </w:pPr>
      <w:bookmarkStart w:id="1065" w:name="_Toc532377268"/>
      <w:r>
        <w:rPr>
          <w:rFonts w:hint="eastAsia"/>
          <w:b w:val="0"/>
          <w:sz w:val="21"/>
          <w:szCs w:val="21"/>
        </w:rPr>
        <w:t>2.总价合同</w:t>
      </w:r>
      <w:bookmarkEnd w:id="1065"/>
    </w:p>
    <w:p w14:paraId="01BABA68">
      <w:pPr>
        <w:spacing w:line="360" w:lineRule="auto"/>
        <w:ind w:firstLine="420" w:firstLineChars="200"/>
        <w:jc w:val="left"/>
        <w:rPr>
          <w:rFonts w:ascii="宋体" w:hAnsi="宋体"/>
          <w:kern w:val="0"/>
          <w:szCs w:val="21"/>
        </w:rPr>
      </w:pPr>
      <w:r>
        <w:rPr>
          <w:rFonts w:hint="eastAsia" w:ascii="宋体" w:hAnsi="宋体"/>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3067B9D3">
      <w:pPr>
        <w:pStyle w:val="7"/>
        <w:spacing w:before="0" w:beforeAutospacing="0" w:after="0" w:afterAutospacing="0" w:line="360" w:lineRule="auto"/>
        <w:ind w:firstLine="420" w:firstLineChars="200"/>
        <w:rPr>
          <w:b w:val="0"/>
          <w:sz w:val="21"/>
          <w:szCs w:val="21"/>
        </w:rPr>
      </w:pPr>
      <w:bookmarkStart w:id="1066" w:name="_Toc532377269"/>
      <w:r>
        <w:rPr>
          <w:rFonts w:hint="eastAsia"/>
          <w:b w:val="0"/>
          <w:sz w:val="21"/>
          <w:szCs w:val="21"/>
        </w:rPr>
        <w:t>3.其它价格形式</w:t>
      </w:r>
      <w:bookmarkEnd w:id="1066"/>
    </w:p>
    <w:p w14:paraId="583A7CC9">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合同当事人可在专用合同条款中约定其他合同价格形式。</w:t>
      </w:r>
    </w:p>
    <w:p w14:paraId="4C74ECD6">
      <w:pPr>
        <w:pStyle w:val="7"/>
        <w:spacing w:before="0" w:beforeAutospacing="0" w:after="0" w:afterAutospacing="0" w:line="360" w:lineRule="auto"/>
        <w:ind w:firstLine="420" w:firstLineChars="200"/>
        <w:rPr>
          <w:sz w:val="21"/>
          <w:szCs w:val="21"/>
        </w:rPr>
      </w:pPr>
      <w:bookmarkStart w:id="1067" w:name="_Toc296503097"/>
      <w:bookmarkStart w:id="1068" w:name="_Toc296346598"/>
      <w:bookmarkStart w:id="1069" w:name="_Toc532377270"/>
      <w:bookmarkStart w:id="1070" w:name="_Toc351203582"/>
      <w:bookmarkStart w:id="1071" w:name="_Toc337558801"/>
      <w:r>
        <w:rPr>
          <w:rFonts w:hint="eastAsia"/>
          <w:sz w:val="21"/>
          <w:szCs w:val="21"/>
        </w:rPr>
        <w:t>12.2预</w:t>
      </w:r>
      <w:bookmarkEnd w:id="1067"/>
      <w:bookmarkEnd w:id="1068"/>
      <w:bookmarkStart w:id="1072" w:name="_Toc296503100"/>
      <w:bookmarkStart w:id="1073" w:name="_Toc296346601"/>
      <w:r>
        <w:rPr>
          <w:rFonts w:hint="eastAsia"/>
          <w:sz w:val="21"/>
          <w:szCs w:val="21"/>
        </w:rPr>
        <w:t>付款</w:t>
      </w:r>
      <w:bookmarkEnd w:id="1069"/>
      <w:bookmarkEnd w:id="1070"/>
    </w:p>
    <w:bookmarkEnd w:id="1071"/>
    <w:bookmarkEnd w:id="1072"/>
    <w:bookmarkEnd w:id="1073"/>
    <w:p w14:paraId="1C409F51">
      <w:pPr>
        <w:spacing w:line="360" w:lineRule="auto"/>
        <w:ind w:firstLine="420" w:firstLineChars="200"/>
        <w:jc w:val="left"/>
        <w:rPr>
          <w:rFonts w:ascii="宋体" w:hAnsi="宋体"/>
          <w:kern w:val="0"/>
          <w:szCs w:val="21"/>
        </w:rPr>
      </w:pPr>
      <w:r>
        <w:rPr>
          <w:rFonts w:hint="eastAsia" w:ascii="宋体" w:hAnsi="宋体"/>
          <w:kern w:val="0"/>
          <w:szCs w:val="21"/>
        </w:rPr>
        <w:t>12.2.1预付款的支付</w:t>
      </w:r>
    </w:p>
    <w:p w14:paraId="3CFA4EE9">
      <w:pPr>
        <w:spacing w:line="360" w:lineRule="auto"/>
        <w:ind w:firstLine="420" w:firstLineChars="200"/>
        <w:jc w:val="left"/>
        <w:rPr>
          <w:rFonts w:ascii="宋体" w:hAnsi="宋体"/>
          <w:kern w:val="0"/>
          <w:szCs w:val="21"/>
        </w:rPr>
      </w:pPr>
      <w:r>
        <w:rPr>
          <w:rFonts w:hint="eastAsia" w:ascii="宋体" w:hAnsi="宋体"/>
          <w:kern w:val="0"/>
          <w:szCs w:val="21"/>
        </w:rPr>
        <w:t>预付款的支付按照专用合同条款约定执行，但至迟应在开工通知载明的开工日期7天前支付。预付款应当用于材料、工程设备、施工设备的采购及修建临时工程、组织施工队伍进场等。</w:t>
      </w:r>
    </w:p>
    <w:p w14:paraId="0DABF743">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除专用合同条款另有约定外，预付款在进度付款中同比例扣回。</w:t>
      </w:r>
      <w:bookmarkEnd w:id="1050"/>
      <w:r>
        <w:rPr>
          <w:rFonts w:hint="eastAsia" w:ascii="宋体" w:hAnsi="宋体"/>
          <w:kern w:val="0"/>
          <w:szCs w:val="21"/>
        </w:rPr>
        <w:t>在颁发工程接收证书前，提前解除合同的，尚未扣完的预付款应与合同价款一并结算。</w:t>
      </w:r>
    </w:p>
    <w:p w14:paraId="147198CB">
      <w:pPr>
        <w:spacing w:line="360" w:lineRule="auto"/>
        <w:ind w:firstLine="420" w:firstLineChars="200"/>
        <w:jc w:val="left"/>
        <w:rPr>
          <w:rFonts w:ascii="宋体" w:hAnsi="宋体"/>
          <w:kern w:val="0"/>
          <w:szCs w:val="21"/>
        </w:rPr>
      </w:pPr>
      <w:r>
        <w:rPr>
          <w:rFonts w:hint="eastAsia" w:ascii="宋体" w:hAnsi="宋体"/>
          <w:kern w:val="0"/>
          <w:szCs w:val="21"/>
        </w:rPr>
        <w:t>发包人逾期支付预付款超过7天的，承包人有权向发包人发出要求预付的催告通知，发包人收到通知后7天内仍未支付的，承包人有权暂停施工，并按第16.1.1项〔发包人违约的情形〕执行。</w:t>
      </w:r>
    </w:p>
    <w:p w14:paraId="1EE39AEE">
      <w:pPr>
        <w:spacing w:line="360" w:lineRule="auto"/>
        <w:ind w:firstLine="420" w:firstLineChars="200"/>
        <w:jc w:val="left"/>
        <w:rPr>
          <w:rFonts w:ascii="宋体" w:hAnsi="宋体"/>
          <w:kern w:val="0"/>
          <w:szCs w:val="21"/>
        </w:rPr>
      </w:pPr>
      <w:r>
        <w:rPr>
          <w:rFonts w:hint="eastAsia" w:ascii="宋体" w:hAnsi="宋体"/>
          <w:kern w:val="0"/>
          <w:szCs w:val="21"/>
        </w:rPr>
        <w:t>12.2.2 预付款担保</w:t>
      </w:r>
    </w:p>
    <w:p w14:paraId="2541A743">
      <w:pPr>
        <w:spacing w:line="360" w:lineRule="auto"/>
        <w:ind w:firstLine="420" w:firstLineChars="200"/>
        <w:jc w:val="left"/>
        <w:rPr>
          <w:rFonts w:ascii="宋体" w:hAnsi="宋体"/>
          <w:kern w:val="0"/>
          <w:szCs w:val="21"/>
        </w:rPr>
      </w:pPr>
      <w:r>
        <w:rPr>
          <w:rFonts w:hint="eastAsia" w:ascii="宋体" w:hAnsi="宋体"/>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02D4A20E">
      <w:pPr>
        <w:spacing w:line="360" w:lineRule="auto"/>
        <w:ind w:firstLine="420" w:firstLineChars="200"/>
        <w:jc w:val="left"/>
        <w:rPr>
          <w:rFonts w:ascii="宋体" w:hAnsi="宋体"/>
          <w:kern w:val="0"/>
          <w:szCs w:val="21"/>
        </w:rPr>
      </w:pPr>
      <w:r>
        <w:rPr>
          <w:rFonts w:hint="eastAsia" w:ascii="宋体" w:hAnsi="宋体"/>
          <w:kern w:val="0"/>
          <w:szCs w:val="21"/>
        </w:rPr>
        <w:t>发包人在工程款中逐期扣回预付款后，预付款担保额度应相应减少，但剩余的预付款担保金额不得低于未被扣回的预付款金额。</w:t>
      </w:r>
    </w:p>
    <w:p w14:paraId="5CFFBA96">
      <w:pPr>
        <w:pStyle w:val="7"/>
        <w:spacing w:before="0" w:beforeAutospacing="0" w:after="0" w:afterAutospacing="0" w:line="360" w:lineRule="auto"/>
        <w:ind w:firstLine="420" w:firstLineChars="200"/>
        <w:rPr>
          <w:sz w:val="21"/>
          <w:szCs w:val="21"/>
        </w:rPr>
      </w:pPr>
      <w:bookmarkStart w:id="1074" w:name="_Toc532377271"/>
      <w:bookmarkStart w:id="1075" w:name="_Toc351203583"/>
      <w:bookmarkStart w:id="1076" w:name="_Toc337558802"/>
      <w:r>
        <w:rPr>
          <w:rFonts w:hint="eastAsia"/>
          <w:sz w:val="21"/>
          <w:szCs w:val="21"/>
        </w:rPr>
        <w:t>12.3计量</w:t>
      </w:r>
      <w:bookmarkEnd w:id="1074"/>
      <w:bookmarkEnd w:id="1075"/>
    </w:p>
    <w:bookmarkEnd w:id="1076"/>
    <w:p w14:paraId="2C860FED">
      <w:pPr>
        <w:spacing w:line="360" w:lineRule="auto"/>
        <w:ind w:firstLine="420" w:firstLineChars="200"/>
        <w:jc w:val="left"/>
        <w:rPr>
          <w:rFonts w:ascii="宋体" w:hAnsi="宋体"/>
          <w:kern w:val="0"/>
          <w:szCs w:val="21"/>
        </w:rPr>
      </w:pPr>
      <w:r>
        <w:rPr>
          <w:rFonts w:hint="eastAsia" w:ascii="宋体" w:hAnsi="宋体"/>
          <w:kern w:val="0"/>
          <w:szCs w:val="21"/>
        </w:rPr>
        <w:t>12.3.1 计量原则</w:t>
      </w:r>
    </w:p>
    <w:p w14:paraId="777D6D9E">
      <w:pPr>
        <w:spacing w:line="360" w:lineRule="auto"/>
        <w:ind w:firstLine="420" w:firstLineChars="200"/>
        <w:jc w:val="left"/>
        <w:rPr>
          <w:rFonts w:ascii="宋体" w:hAnsi="宋体"/>
          <w:kern w:val="0"/>
          <w:szCs w:val="21"/>
        </w:rPr>
      </w:pPr>
      <w:r>
        <w:rPr>
          <w:rFonts w:hint="eastAsia" w:ascii="宋体" w:hAnsi="宋体"/>
          <w:kern w:val="0"/>
          <w:szCs w:val="21"/>
        </w:rPr>
        <w:t>工程量计量按照合同约定的工程量计算规则、图纸及变更指示等进行计量。工程量计算规则应以相关的国家标准、行业标准等为依据，由合同当事人在专用合同条款中约定。</w:t>
      </w:r>
    </w:p>
    <w:p w14:paraId="49273C77">
      <w:pPr>
        <w:spacing w:line="360" w:lineRule="auto"/>
        <w:ind w:firstLine="420" w:firstLineChars="200"/>
        <w:jc w:val="left"/>
        <w:rPr>
          <w:rFonts w:ascii="宋体" w:hAnsi="宋体"/>
          <w:kern w:val="0"/>
          <w:szCs w:val="21"/>
        </w:rPr>
      </w:pPr>
      <w:r>
        <w:rPr>
          <w:rFonts w:hint="eastAsia" w:ascii="宋体" w:hAnsi="宋体"/>
          <w:kern w:val="0"/>
          <w:szCs w:val="21"/>
        </w:rPr>
        <w:t>12.3.2 计量周期</w:t>
      </w:r>
    </w:p>
    <w:p w14:paraId="25EA9318">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除专用合同条款另有约定外，工程量的计量按月进行。</w:t>
      </w:r>
    </w:p>
    <w:p w14:paraId="0A4F3AE3">
      <w:pPr>
        <w:spacing w:line="360" w:lineRule="auto"/>
        <w:ind w:firstLine="420" w:firstLineChars="200"/>
        <w:jc w:val="left"/>
        <w:rPr>
          <w:rFonts w:ascii="宋体" w:hAnsi="宋体"/>
          <w:kern w:val="0"/>
          <w:szCs w:val="21"/>
        </w:rPr>
      </w:pPr>
      <w:r>
        <w:rPr>
          <w:rFonts w:hint="eastAsia" w:ascii="宋体" w:hAnsi="宋体"/>
          <w:kern w:val="0"/>
          <w:szCs w:val="21"/>
        </w:rPr>
        <w:t>12.3.3 单价合同的计量</w:t>
      </w:r>
    </w:p>
    <w:p w14:paraId="75501703">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除专用合同条款另有约定外，单价合同的计量按照本项约定执行：</w:t>
      </w:r>
    </w:p>
    <w:p w14:paraId="00FA50EA">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14:paraId="309D31BE">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4304973">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（3）监理人未在收到承包人提交的工程量报表后的7天内完成审核的，承包人报送的工程量报告中的工程量视为承包人实际完成的工程量，据此计算工程价款。</w:t>
      </w:r>
    </w:p>
    <w:p w14:paraId="79A0E5C5">
      <w:pPr>
        <w:spacing w:line="360" w:lineRule="auto"/>
        <w:ind w:firstLine="420" w:firstLineChars="200"/>
        <w:jc w:val="left"/>
        <w:rPr>
          <w:rFonts w:ascii="宋体" w:hAnsi="宋体"/>
          <w:kern w:val="0"/>
          <w:szCs w:val="21"/>
        </w:rPr>
      </w:pPr>
      <w:r>
        <w:rPr>
          <w:rFonts w:hint="eastAsia" w:ascii="宋体" w:hAnsi="宋体"/>
          <w:kern w:val="0"/>
          <w:szCs w:val="21"/>
        </w:rPr>
        <w:t>12.3.4 总价合同的计量</w:t>
      </w:r>
    </w:p>
    <w:p w14:paraId="7FBD5865">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除专用合同条款另有约定外，按月计量支付的总价合同，按照本项约定执行：</w:t>
      </w:r>
    </w:p>
    <w:p w14:paraId="4D5CA975">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14:paraId="3616F2CE">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41ECCE4">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（3）监理人未在收到承包人提交的工程量报表后的7天内完成复核的，承包人提交的工程量报告中的工程量视为承包人实际完成的工程量。</w:t>
      </w:r>
    </w:p>
    <w:p w14:paraId="4820DCAF">
      <w:pPr>
        <w:spacing w:line="360" w:lineRule="auto"/>
        <w:ind w:firstLine="420" w:firstLineChars="200"/>
        <w:jc w:val="left"/>
        <w:rPr>
          <w:rFonts w:ascii="宋体" w:hAnsi="宋体"/>
          <w:kern w:val="0"/>
          <w:szCs w:val="21"/>
        </w:rPr>
      </w:pPr>
      <w:r>
        <w:rPr>
          <w:rFonts w:hint="eastAsia" w:ascii="宋体" w:hAnsi="宋体"/>
          <w:kern w:val="0"/>
          <w:szCs w:val="21"/>
        </w:rPr>
        <w:t>12.3.5 总价合同采用支付分解表计量支付的，可以按照第12.3.4项〔总价合同的计量〕约定进行计量，但合同价款按照支付分解表进行支付。</w:t>
      </w:r>
    </w:p>
    <w:p w14:paraId="01FCDAD6">
      <w:pPr>
        <w:spacing w:line="360" w:lineRule="auto"/>
        <w:ind w:firstLine="420" w:firstLineChars="200"/>
        <w:jc w:val="left"/>
        <w:rPr>
          <w:rFonts w:ascii="宋体" w:hAnsi="宋体"/>
          <w:kern w:val="0"/>
          <w:szCs w:val="21"/>
        </w:rPr>
      </w:pPr>
      <w:r>
        <w:rPr>
          <w:rFonts w:hint="eastAsia" w:ascii="宋体" w:hAnsi="宋体"/>
          <w:kern w:val="0"/>
          <w:szCs w:val="21"/>
        </w:rPr>
        <w:t>12.3.6 其他价格形式合同的计量</w:t>
      </w:r>
    </w:p>
    <w:p w14:paraId="458F8034">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合同当事人可在专用合同条款中约定其他价格形式合同的计量方式和程序。</w:t>
      </w:r>
    </w:p>
    <w:p w14:paraId="26F91B49">
      <w:pPr>
        <w:pStyle w:val="7"/>
        <w:spacing w:before="0" w:beforeAutospacing="0" w:after="0" w:afterAutospacing="0" w:line="360" w:lineRule="auto"/>
        <w:ind w:firstLine="420" w:firstLineChars="200"/>
        <w:rPr>
          <w:sz w:val="21"/>
          <w:szCs w:val="21"/>
        </w:rPr>
      </w:pPr>
      <w:bookmarkStart w:id="1077" w:name="_Toc296503101"/>
      <w:bookmarkStart w:id="1078" w:name="_Toc296346602"/>
      <w:bookmarkStart w:id="1079" w:name="_Toc532377272"/>
      <w:bookmarkStart w:id="1080" w:name="_Toc351203584"/>
      <w:bookmarkStart w:id="1081" w:name="_Toc337558803"/>
      <w:r>
        <w:rPr>
          <w:rFonts w:hint="eastAsia"/>
          <w:sz w:val="21"/>
          <w:szCs w:val="21"/>
        </w:rPr>
        <w:t>12.4工程进度款支</w:t>
      </w:r>
      <w:bookmarkEnd w:id="1077"/>
      <w:bookmarkEnd w:id="1078"/>
      <w:r>
        <w:rPr>
          <w:rFonts w:hint="eastAsia"/>
          <w:sz w:val="21"/>
          <w:szCs w:val="21"/>
        </w:rPr>
        <w:t>付</w:t>
      </w:r>
      <w:bookmarkEnd w:id="1079"/>
      <w:bookmarkEnd w:id="1080"/>
    </w:p>
    <w:bookmarkEnd w:id="1081"/>
    <w:p w14:paraId="332C9EA6">
      <w:pPr>
        <w:spacing w:line="360" w:lineRule="auto"/>
        <w:ind w:firstLine="420" w:firstLineChars="200"/>
        <w:jc w:val="left"/>
        <w:rPr>
          <w:rFonts w:ascii="宋体" w:hAnsi="宋体"/>
          <w:kern w:val="0"/>
          <w:szCs w:val="21"/>
        </w:rPr>
      </w:pPr>
      <w:r>
        <w:rPr>
          <w:rFonts w:hint="eastAsia" w:ascii="宋体" w:hAnsi="宋体"/>
          <w:kern w:val="0"/>
          <w:szCs w:val="21"/>
        </w:rPr>
        <w:t>12.4.1 付款周期</w:t>
      </w:r>
    </w:p>
    <w:p w14:paraId="5C349B83">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除专用合同条款另有约定外，付款周期应按照第12.3.2项〔计量周期〕的约定与计量周期保持一致。</w:t>
      </w:r>
    </w:p>
    <w:p w14:paraId="6F5CED2B">
      <w:pPr>
        <w:spacing w:line="360" w:lineRule="auto"/>
        <w:ind w:firstLine="420" w:firstLineChars="200"/>
        <w:jc w:val="left"/>
        <w:rPr>
          <w:rFonts w:ascii="宋体" w:hAnsi="宋体"/>
          <w:kern w:val="0"/>
          <w:szCs w:val="21"/>
        </w:rPr>
      </w:pPr>
      <w:r>
        <w:rPr>
          <w:rFonts w:hint="eastAsia" w:ascii="宋体" w:hAnsi="宋体"/>
          <w:kern w:val="0"/>
          <w:szCs w:val="21"/>
        </w:rPr>
        <w:t>12.4.2 进度付款申请单的编制</w:t>
      </w:r>
    </w:p>
    <w:p w14:paraId="4B7F998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除专用合同条款另有约定外，进度付款申请单应包括下列内容：</w:t>
      </w:r>
    </w:p>
    <w:p w14:paraId="10A3D15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（1）截至本次付款周期已完成工作对应的金额；</w:t>
      </w:r>
    </w:p>
    <w:p w14:paraId="7F30B1E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（2）根据第10条〔变更〕应增加和扣减的变更金额；</w:t>
      </w:r>
    </w:p>
    <w:p w14:paraId="3445850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（3）根据第12.2款〔预付款〕约定应支付的预付款和扣减的返还预付款；</w:t>
      </w:r>
    </w:p>
    <w:p w14:paraId="0321E14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（4）根据第15.3款〔质量保证金〕约定应扣减的质量保证金；</w:t>
      </w:r>
    </w:p>
    <w:p w14:paraId="5E3EA2E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（5）根据第19条〔索赔〕应增加和扣减的索赔金额；</w:t>
      </w:r>
    </w:p>
    <w:p w14:paraId="6AF8153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（6）对已签发的进度款支付证书中出现错误的修正，应在本次进度付款中支付或扣除的金额；</w:t>
      </w:r>
    </w:p>
    <w:p w14:paraId="77B3C0E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（7）根据合同约定应增加和扣减的其他金额。</w:t>
      </w:r>
    </w:p>
    <w:p w14:paraId="35C2790F">
      <w:pPr>
        <w:spacing w:line="360" w:lineRule="auto"/>
        <w:ind w:firstLine="420" w:firstLineChars="200"/>
        <w:jc w:val="left"/>
        <w:rPr>
          <w:rFonts w:ascii="宋体" w:hAnsi="宋体"/>
          <w:kern w:val="0"/>
          <w:szCs w:val="21"/>
        </w:rPr>
      </w:pPr>
      <w:r>
        <w:rPr>
          <w:rFonts w:hint="eastAsia" w:ascii="宋体" w:hAnsi="宋体"/>
          <w:kern w:val="0"/>
          <w:szCs w:val="21"/>
        </w:rPr>
        <w:t>12.4.3 进度付款申请单的提交</w:t>
      </w:r>
    </w:p>
    <w:p w14:paraId="212DD0F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（1）单价合同进度付款申请单的提交</w:t>
      </w:r>
    </w:p>
    <w:p w14:paraId="07C0079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69E3C47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（2）总价合同进度付款申请单的提交</w:t>
      </w:r>
    </w:p>
    <w:p w14:paraId="3FAF960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总价合同按月计量支付的，承包人按照第12.3.4项〔总价合同的计量〕约定的时间按月向监理人提交进度付款申请单，并附上已完成工程量报表和有关资料。</w:t>
      </w:r>
    </w:p>
    <w:p w14:paraId="676072A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总价合同按支付分解表支付的，承包人应按照第12.4.6项〔支付分解表〕及第12.4.2项〔进度付款申请单的编制〕的约定向监理人提交进度付款申请单。</w:t>
      </w:r>
    </w:p>
    <w:p w14:paraId="0BAA761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（3）其他价格形式合同的进度付款申请单的提交</w:t>
      </w:r>
    </w:p>
    <w:p w14:paraId="767C7EB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合同当事人可在专用合同条款中约定其他价格形式合同的进度付款申请单的编制和提交程序。</w:t>
      </w:r>
    </w:p>
    <w:p w14:paraId="57CA3128">
      <w:pPr>
        <w:spacing w:line="360" w:lineRule="auto"/>
        <w:ind w:firstLine="420" w:firstLineChars="200"/>
        <w:jc w:val="left"/>
        <w:rPr>
          <w:rFonts w:ascii="宋体" w:hAnsi="宋体"/>
          <w:kern w:val="0"/>
          <w:szCs w:val="21"/>
        </w:rPr>
      </w:pPr>
      <w:r>
        <w:rPr>
          <w:rFonts w:hint="eastAsia" w:ascii="宋体" w:hAnsi="宋体"/>
          <w:kern w:val="0"/>
          <w:szCs w:val="21"/>
        </w:rPr>
        <w:t>12.4.4 进度款审核和支付</w:t>
      </w:r>
    </w:p>
    <w:p w14:paraId="0AE6390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FCEC3A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1F5CCE0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362FD1E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（3）发包人签发进度款支付证书或临时进度款支付证书，不表明发包人已同意、批准或接受了承包人完成的相应部分的工作。</w:t>
      </w:r>
    </w:p>
    <w:p w14:paraId="7B0A94E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12.4.5 进度付款的修正</w:t>
      </w:r>
    </w:p>
    <w:p w14:paraId="776BAEB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在对已签发的进度款支付证书进行阶段汇总和复核中发现错误、遗漏或重复的，发包人和承包人均有权提出修正申请。经发包人和承包人同意的修正，应在下期进度付款中支付或扣除。</w:t>
      </w:r>
    </w:p>
    <w:p w14:paraId="4CD38E2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12.4.6 支付分解表</w:t>
      </w:r>
    </w:p>
    <w:p w14:paraId="75A1E40A">
      <w:pPr>
        <w:spacing w:line="360" w:lineRule="auto"/>
        <w:ind w:firstLine="420" w:firstLineChars="200"/>
        <w:jc w:val="left"/>
        <w:rPr>
          <w:rFonts w:ascii="宋体" w:hAnsi="宋体"/>
          <w:kern w:val="0"/>
          <w:szCs w:val="21"/>
        </w:rPr>
      </w:pPr>
      <w:r>
        <w:rPr>
          <w:rFonts w:hint="eastAsia" w:ascii="宋体" w:hAnsi="宋体"/>
          <w:kern w:val="0"/>
          <w:szCs w:val="21"/>
        </w:rPr>
        <w:t>1.支付分解表的编制要求</w:t>
      </w:r>
    </w:p>
    <w:p w14:paraId="1B0022D9">
      <w:pPr>
        <w:spacing w:line="360" w:lineRule="auto"/>
        <w:ind w:firstLine="420" w:firstLineChars="200"/>
        <w:jc w:val="left"/>
        <w:rPr>
          <w:rFonts w:ascii="宋体" w:hAnsi="宋体"/>
          <w:kern w:val="0"/>
          <w:szCs w:val="21"/>
        </w:rPr>
      </w:pPr>
      <w:r>
        <w:rPr>
          <w:rFonts w:hint="eastAsia" w:ascii="宋体" w:hAnsi="宋体"/>
          <w:kern w:val="0"/>
          <w:szCs w:val="21"/>
        </w:rPr>
        <w:t>（1）支付分解表中所列的每期付款金额，应为第12.4.2项〔进度付款申请单的编制〕第（1）目的估算金额；</w:t>
      </w:r>
    </w:p>
    <w:p w14:paraId="259E45E9">
      <w:pPr>
        <w:spacing w:line="360" w:lineRule="auto"/>
        <w:ind w:firstLine="420" w:firstLineChars="200"/>
        <w:jc w:val="left"/>
        <w:rPr>
          <w:rFonts w:ascii="宋体" w:hAnsi="宋体"/>
          <w:kern w:val="0"/>
          <w:szCs w:val="21"/>
        </w:rPr>
      </w:pPr>
      <w:r>
        <w:rPr>
          <w:rFonts w:hint="eastAsia" w:ascii="宋体" w:hAnsi="宋体"/>
          <w:kern w:val="0"/>
          <w:szCs w:val="21"/>
        </w:rPr>
        <w:t>（2）实际进度与施工进度计划不一致的，合同当事人可按照第4.4款〔商定或确定〕修改支付分解表；</w:t>
      </w:r>
    </w:p>
    <w:p w14:paraId="23F0BB99">
      <w:pPr>
        <w:spacing w:line="360" w:lineRule="auto"/>
        <w:ind w:firstLine="420" w:firstLineChars="200"/>
        <w:jc w:val="left"/>
        <w:rPr>
          <w:rFonts w:ascii="宋体" w:hAnsi="宋体"/>
          <w:kern w:val="0"/>
          <w:szCs w:val="21"/>
        </w:rPr>
      </w:pPr>
      <w:r>
        <w:rPr>
          <w:rFonts w:hint="eastAsia" w:ascii="宋体" w:hAnsi="宋体"/>
          <w:kern w:val="0"/>
          <w:szCs w:val="21"/>
        </w:rPr>
        <w:t>（3）不采用支付分解表的，承包人应向发包人和监理人提交按季度编制的支付估算分解表，用于支付参考。</w:t>
      </w:r>
    </w:p>
    <w:p w14:paraId="79E7A037">
      <w:pPr>
        <w:spacing w:line="360" w:lineRule="auto"/>
        <w:ind w:firstLine="420" w:firstLineChars="200"/>
        <w:jc w:val="left"/>
        <w:rPr>
          <w:rFonts w:ascii="宋体" w:hAnsi="宋体"/>
          <w:kern w:val="0"/>
          <w:szCs w:val="21"/>
        </w:rPr>
      </w:pPr>
      <w:r>
        <w:rPr>
          <w:rFonts w:hint="eastAsia" w:ascii="宋体" w:hAnsi="宋体"/>
          <w:kern w:val="0"/>
          <w:szCs w:val="21"/>
        </w:rPr>
        <w:t>2.总价合同支付分解表的编制与审批</w:t>
      </w:r>
    </w:p>
    <w:p w14:paraId="4846B998">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59F84B0C">
      <w:pPr>
        <w:spacing w:line="360" w:lineRule="auto"/>
        <w:ind w:firstLine="420" w:firstLineChars="200"/>
        <w:jc w:val="left"/>
        <w:rPr>
          <w:rFonts w:ascii="宋体" w:hAnsi="宋体"/>
          <w:kern w:val="0"/>
          <w:szCs w:val="21"/>
        </w:rPr>
      </w:pPr>
      <w:r>
        <w:rPr>
          <w:rFonts w:hint="eastAsia" w:ascii="宋体" w:hAnsi="宋体"/>
          <w:kern w:val="0"/>
          <w:szCs w:val="21"/>
        </w:rPr>
        <w:t>（2）监理人应在收到支付分解表后7天内完成审核并报送发包人。发包人应在收到经监理人审核的支付分解表后7天内完成审批，经发包人批准的支付分解表为有约束力的支付分解表。</w:t>
      </w:r>
    </w:p>
    <w:p w14:paraId="235D7A64">
      <w:pPr>
        <w:spacing w:line="360" w:lineRule="auto"/>
        <w:ind w:firstLine="420" w:firstLineChars="200"/>
        <w:jc w:val="left"/>
        <w:rPr>
          <w:rFonts w:ascii="宋体" w:hAnsi="宋体"/>
          <w:kern w:val="0"/>
          <w:szCs w:val="21"/>
        </w:rPr>
      </w:pPr>
      <w:r>
        <w:rPr>
          <w:rFonts w:hint="eastAsia" w:ascii="宋体" w:hAnsi="宋体"/>
          <w:kern w:val="0"/>
          <w:szCs w:val="21"/>
        </w:rPr>
        <w:t>（3）发包人逾期未完成支付分解表审批的，也未及时要求承包人进行修正和提供补充资料的，则承包人提交的支付分解表视为已经获得发包人批准。</w:t>
      </w:r>
    </w:p>
    <w:p w14:paraId="05247F47">
      <w:pPr>
        <w:spacing w:line="360" w:lineRule="auto"/>
        <w:ind w:firstLine="420" w:firstLineChars="200"/>
        <w:jc w:val="left"/>
        <w:rPr>
          <w:rFonts w:ascii="宋体" w:hAnsi="宋体"/>
          <w:kern w:val="0"/>
          <w:szCs w:val="21"/>
        </w:rPr>
      </w:pPr>
      <w:r>
        <w:rPr>
          <w:rFonts w:hint="eastAsia" w:ascii="宋体" w:hAnsi="宋体"/>
          <w:kern w:val="0"/>
          <w:szCs w:val="21"/>
        </w:rPr>
        <w:t>3.单价合同的总价项目支付分解表的编制与审批</w:t>
      </w:r>
    </w:p>
    <w:p w14:paraId="733FF07F">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4CA684B7">
      <w:pPr>
        <w:pStyle w:val="7"/>
        <w:spacing w:before="0" w:beforeAutospacing="0" w:after="0" w:afterAutospacing="0" w:line="360" w:lineRule="auto"/>
        <w:ind w:firstLine="420" w:firstLineChars="200"/>
        <w:rPr>
          <w:sz w:val="21"/>
          <w:szCs w:val="21"/>
        </w:rPr>
      </w:pPr>
      <w:bookmarkStart w:id="1082" w:name="_Toc532377273"/>
      <w:r>
        <w:rPr>
          <w:rFonts w:hint="eastAsia"/>
          <w:sz w:val="21"/>
          <w:szCs w:val="21"/>
        </w:rPr>
        <w:t>12.5支付账户</w:t>
      </w:r>
      <w:bookmarkEnd w:id="1082"/>
    </w:p>
    <w:p w14:paraId="359FA8BE">
      <w:pPr>
        <w:spacing w:line="360" w:lineRule="auto"/>
        <w:ind w:firstLine="420" w:firstLineChars="200"/>
        <w:jc w:val="left"/>
        <w:rPr>
          <w:rFonts w:ascii="宋体" w:hAnsi="宋体"/>
          <w:kern w:val="0"/>
          <w:szCs w:val="21"/>
        </w:rPr>
      </w:pPr>
      <w:r>
        <w:rPr>
          <w:rFonts w:hint="eastAsia" w:ascii="宋体" w:hAnsi="宋体"/>
          <w:kern w:val="0"/>
          <w:szCs w:val="21"/>
        </w:rPr>
        <w:t>发包人应将合同价款支付至合同协议书中约定的承包人账户。</w:t>
      </w:r>
    </w:p>
    <w:p w14:paraId="2BF792EB">
      <w:pPr>
        <w:pStyle w:val="6"/>
        <w:keepNext/>
        <w:keepLines/>
        <w:spacing w:before="156" w:beforeLines="50" w:beforeAutospacing="0" w:after="156" w:afterLines="50" w:afterAutospacing="0" w:line="360" w:lineRule="auto"/>
        <w:jc w:val="both"/>
        <w:rPr>
          <w:bCs w:val="0"/>
          <w:kern w:val="2"/>
          <w:sz w:val="21"/>
          <w:szCs w:val="21"/>
        </w:rPr>
      </w:pPr>
      <w:bookmarkStart w:id="1083" w:name="_Toc532377274"/>
      <w:bookmarkStart w:id="1084" w:name="_Toc351203586"/>
      <w:bookmarkStart w:id="1085" w:name="_Toc532375599"/>
      <w:bookmarkStart w:id="1086" w:name="_Toc337558804"/>
      <w:bookmarkStart w:id="1087" w:name="_Toc322522574"/>
      <w:bookmarkStart w:id="1088" w:name="_Toc296503106"/>
      <w:bookmarkStart w:id="1089" w:name="_Toc296346607"/>
      <w:r>
        <w:rPr>
          <w:rFonts w:hint="eastAsia"/>
          <w:kern w:val="2"/>
          <w:sz w:val="21"/>
          <w:szCs w:val="21"/>
        </w:rPr>
        <w:t>13. 验收和工程试车</w:t>
      </w:r>
      <w:bookmarkEnd w:id="1083"/>
      <w:bookmarkEnd w:id="1084"/>
      <w:bookmarkEnd w:id="1085"/>
    </w:p>
    <w:bookmarkEnd w:id="1086"/>
    <w:bookmarkEnd w:id="1087"/>
    <w:bookmarkEnd w:id="1088"/>
    <w:bookmarkEnd w:id="1089"/>
    <w:p w14:paraId="063C89DC">
      <w:pPr>
        <w:pStyle w:val="7"/>
        <w:spacing w:before="0" w:beforeAutospacing="0" w:after="0" w:afterAutospacing="0" w:line="360" w:lineRule="auto"/>
        <w:ind w:firstLine="420" w:firstLineChars="200"/>
        <w:rPr>
          <w:sz w:val="21"/>
          <w:szCs w:val="21"/>
        </w:rPr>
      </w:pPr>
      <w:bookmarkStart w:id="1090" w:name="_Toc532377275"/>
      <w:bookmarkStart w:id="1091" w:name="_Toc351203587"/>
      <w:bookmarkStart w:id="1092" w:name="_Toc337558805"/>
      <w:bookmarkStart w:id="1093" w:name="_Toc296503110"/>
      <w:bookmarkStart w:id="1094" w:name="_Toc296346611"/>
      <w:r>
        <w:rPr>
          <w:rFonts w:hint="eastAsia"/>
          <w:sz w:val="21"/>
          <w:szCs w:val="21"/>
        </w:rPr>
        <w:t>13.1分部分项工程验收</w:t>
      </w:r>
      <w:bookmarkEnd w:id="1090"/>
      <w:bookmarkEnd w:id="1091"/>
    </w:p>
    <w:bookmarkEnd w:id="1092"/>
    <w:p w14:paraId="6F85A985">
      <w:pPr>
        <w:spacing w:line="360" w:lineRule="auto"/>
        <w:ind w:firstLine="420" w:firstLineChars="200"/>
        <w:jc w:val="left"/>
        <w:rPr>
          <w:rFonts w:ascii="宋体" w:hAnsi="宋体"/>
          <w:kern w:val="0"/>
          <w:szCs w:val="21"/>
        </w:rPr>
      </w:pPr>
      <w:r>
        <w:rPr>
          <w:rFonts w:hint="eastAsia" w:ascii="宋体" w:hAnsi="宋体"/>
          <w:kern w:val="0"/>
          <w:szCs w:val="21"/>
        </w:rPr>
        <w:t>13.1.1 分部分项工程质量应符合国家有关工程施工验收规范、标准及合同约定，承包人应按照施工组织设计的要求完成分部分项工程施工。</w:t>
      </w:r>
    </w:p>
    <w:p w14:paraId="13E5E597">
      <w:pPr>
        <w:spacing w:line="360" w:lineRule="auto"/>
        <w:ind w:firstLine="420" w:firstLineChars="200"/>
        <w:jc w:val="left"/>
        <w:rPr>
          <w:rFonts w:ascii="宋体" w:hAnsi="宋体"/>
          <w:kern w:val="0"/>
          <w:szCs w:val="21"/>
        </w:rPr>
      </w:pPr>
      <w:r>
        <w:rPr>
          <w:rFonts w:hint="eastAsia" w:ascii="宋体" w:hAnsi="宋体"/>
          <w:kern w:val="0"/>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70DEF44E">
      <w:pPr>
        <w:spacing w:line="360" w:lineRule="auto"/>
        <w:ind w:firstLine="420" w:firstLineChars="200"/>
        <w:jc w:val="left"/>
        <w:rPr>
          <w:rFonts w:ascii="宋体" w:hAnsi="宋体"/>
          <w:kern w:val="0"/>
          <w:szCs w:val="21"/>
        </w:rPr>
      </w:pPr>
      <w:r>
        <w:rPr>
          <w:rFonts w:hint="eastAsia" w:ascii="宋体" w:hAnsi="宋体"/>
          <w:kern w:val="0"/>
          <w:szCs w:val="21"/>
        </w:rPr>
        <w:t>分部分项工程的验收资料应当作为竣工资料的组成部分。</w:t>
      </w:r>
    </w:p>
    <w:p w14:paraId="5C7B95C0">
      <w:pPr>
        <w:pStyle w:val="7"/>
        <w:spacing w:before="0" w:beforeAutospacing="0" w:after="0" w:afterAutospacing="0" w:line="360" w:lineRule="auto"/>
        <w:ind w:firstLine="420" w:firstLineChars="200"/>
        <w:rPr>
          <w:sz w:val="21"/>
          <w:szCs w:val="21"/>
        </w:rPr>
      </w:pPr>
      <w:bookmarkStart w:id="1095" w:name="_Toc532377276"/>
      <w:bookmarkStart w:id="1096" w:name="_Toc351203588"/>
      <w:bookmarkStart w:id="1097" w:name="_Toc337558806"/>
      <w:r>
        <w:rPr>
          <w:rFonts w:hint="eastAsia"/>
          <w:sz w:val="21"/>
          <w:szCs w:val="21"/>
        </w:rPr>
        <w:t>13.2竣工验收</w:t>
      </w:r>
      <w:bookmarkEnd w:id="1095"/>
      <w:bookmarkEnd w:id="1096"/>
    </w:p>
    <w:bookmarkEnd w:id="1093"/>
    <w:bookmarkEnd w:id="1094"/>
    <w:bookmarkEnd w:id="1097"/>
    <w:p w14:paraId="7C2824DE">
      <w:pPr>
        <w:spacing w:line="360" w:lineRule="auto"/>
        <w:ind w:firstLine="420" w:firstLineChars="200"/>
        <w:jc w:val="left"/>
        <w:rPr>
          <w:rFonts w:ascii="宋体" w:hAnsi="宋体"/>
          <w:kern w:val="0"/>
          <w:szCs w:val="21"/>
        </w:rPr>
      </w:pPr>
      <w:r>
        <w:rPr>
          <w:rFonts w:hint="eastAsia" w:ascii="宋体" w:hAnsi="宋体"/>
          <w:kern w:val="0"/>
          <w:szCs w:val="21"/>
        </w:rPr>
        <w:t>13.2.1竣工验收条件</w:t>
      </w:r>
    </w:p>
    <w:p w14:paraId="681B274C">
      <w:pPr>
        <w:spacing w:line="360" w:lineRule="auto"/>
        <w:ind w:firstLine="420" w:firstLineChars="200"/>
        <w:jc w:val="left"/>
        <w:rPr>
          <w:rFonts w:ascii="宋体" w:hAnsi="宋体"/>
          <w:kern w:val="0"/>
          <w:szCs w:val="21"/>
        </w:rPr>
      </w:pPr>
      <w:r>
        <w:rPr>
          <w:rFonts w:hint="eastAsia" w:ascii="宋体" w:hAnsi="宋体"/>
          <w:kern w:val="0"/>
          <w:szCs w:val="21"/>
        </w:rPr>
        <w:t>工程具备以下条件的，承包人可以申请竣工验收：</w:t>
      </w:r>
    </w:p>
    <w:p w14:paraId="7743FD05">
      <w:pPr>
        <w:spacing w:line="360" w:lineRule="auto"/>
        <w:ind w:firstLine="420" w:firstLineChars="200"/>
        <w:jc w:val="left"/>
        <w:rPr>
          <w:rFonts w:ascii="宋体" w:hAnsi="宋体"/>
          <w:kern w:val="0"/>
          <w:szCs w:val="21"/>
        </w:rPr>
      </w:pPr>
      <w:r>
        <w:rPr>
          <w:rFonts w:hint="eastAsia" w:ascii="宋体" w:hAnsi="宋体"/>
          <w:kern w:val="0"/>
          <w:szCs w:val="21"/>
        </w:rPr>
        <w:t>（1）除发包人同意的甩项工作和缺陷修补工作外，合同范围内的全部工程以及有关工作，包括合同要求的试验、试运行以及检验均已完成，并符合合同要求；</w:t>
      </w:r>
    </w:p>
    <w:p w14:paraId="758BAB5B">
      <w:pPr>
        <w:spacing w:line="360" w:lineRule="auto"/>
        <w:ind w:firstLine="420" w:firstLineChars="200"/>
        <w:jc w:val="left"/>
        <w:rPr>
          <w:rFonts w:ascii="宋体" w:hAnsi="宋体"/>
          <w:kern w:val="0"/>
          <w:szCs w:val="21"/>
        </w:rPr>
      </w:pPr>
      <w:r>
        <w:rPr>
          <w:rFonts w:hint="eastAsia" w:ascii="宋体" w:hAnsi="宋体"/>
          <w:kern w:val="0"/>
          <w:szCs w:val="21"/>
        </w:rPr>
        <w:t>（2）已按合同约定编制了甩项工作和缺陷修补工作清单以及相应的施工计划；</w:t>
      </w:r>
    </w:p>
    <w:p w14:paraId="5A5682CB">
      <w:pPr>
        <w:spacing w:line="360" w:lineRule="auto"/>
        <w:ind w:firstLine="420" w:firstLineChars="200"/>
        <w:jc w:val="left"/>
        <w:rPr>
          <w:rFonts w:ascii="宋体" w:hAnsi="宋体"/>
          <w:kern w:val="0"/>
          <w:szCs w:val="21"/>
        </w:rPr>
      </w:pPr>
      <w:r>
        <w:rPr>
          <w:rFonts w:hint="eastAsia" w:ascii="宋体" w:hAnsi="宋体"/>
          <w:kern w:val="0"/>
          <w:szCs w:val="21"/>
        </w:rPr>
        <w:t>（3）已按合同约定的内容和份数备齐竣工资料。</w:t>
      </w:r>
    </w:p>
    <w:p w14:paraId="527BCB02">
      <w:pPr>
        <w:spacing w:line="360" w:lineRule="auto"/>
        <w:ind w:firstLine="420" w:firstLineChars="200"/>
        <w:jc w:val="left"/>
        <w:rPr>
          <w:rFonts w:ascii="宋体" w:hAnsi="宋体"/>
          <w:kern w:val="0"/>
          <w:szCs w:val="21"/>
        </w:rPr>
      </w:pPr>
      <w:r>
        <w:rPr>
          <w:rFonts w:hint="eastAsia" w:ascii="宋体" w:hAnsi="宋体"/>
          <w:kern w:val="0"/>
          <w:szCs w:val="21"/>
        </w:rPr>
        <w:t>13.2.2竣工验收程序</w:t>
      </w:r>
    </w:p>
    <w:p w14:paraId="2418B79E">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除专用合同条款另有约定外，承包人申请竣工验收的，应当按照以下程序进行：</w:t>
      </w:r>
    </w:p>
    <w:p w14:paraId="1AD22F29">
      <w:pPr>
        <w:spacing w:line="360" w:lineRule="auto"/>
        <w:ind w:firstLine="420" w:firstLineChars="200"/>
        <w:jc w:val="left"/>
        <w:rPr>
          <w:rFonts w:ascii="宋体" w:hAnsi="宋体"/>
          <w:kern w:val="0"/>
          <w:szCs w:val="21"/>
        </w:rPr>
      </w:pPr>
      <w:r>
        <w:rPr>
          <w:rFonts w:hint="eastAsia" w:ascii="宋体" w:hAnsi="宋体"/>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2BD354FB">
      <w:pPr>
        <w:spacing w:line="360" w:lineRule="auto"/>
        <w:ind w:firstLine="420" w:firstLineChars="200"/>
        <w:jc w:val="left"/>
        <w:rPr>
          <w:rFonts w:ascii="宋体" w:hAnsi="宋体"/>
          <w:kern w:val="0"/>
          <w:szCs w:val="21"/>
        </w:rPr>
      </w:pPr>
      <w:r>
        <w:rPr>
          <w:rFonts w:hint="eastAsia" w:ascii="宋体" w:hAnsi="宋体"/>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138D7E15">
      <w:pPr>
        <w:spacing w:line="360" w:lineRule="auto"/>
        <w:ind w:firstLine="420" w:firstLineChars="200"/>
        <w:jc w:val="left"/>
        <w:rPr>
          <w:rFonts w:ascii="宋体" w:hAnsi="宋体"/>
          <w:kern w:val="0"/>
          <w:szCs w:val="21"/>
        </w:rPr>
      </w:pPr>
      <w:r>
        <w:rPr>
          <w:rFonts w:hint="eastAsia" w:ascii="宋体" w:hAnsi="宋体"/>
          <w:kern w:val="0"/>
          <w:szCs w:val="21"/>
        </w:rPr>
        <w:t>（3）竣工验收合格的，发包人应在验收合格后14天内向承包人签发工程接收证书。发包人无正当理由逾期不颁发工程接收证书的，自验收合格后第15天起视为已颁发工程接收证书。</w:t>
      </w:r>
    </w:p>
    <w:p w14:paraId="0812EA33">
      <w:pPr>
        <w:spacing w:line="360" w:lineRule="auto"/>
        <w:ind w:firstLine="420" w:firstLineChars="200"/>
        <w:jc w:val="left"/>
        <w:rPr>
          <w:rFonts w:ascii="宋体" w:hAnsi="宋体"/>
          <w:kern w:val="0"/>
          <w:szCs w:val="21"/>
        </w:rPr>
      </w:pPr>
      <w:r>
        <w:rPr>
          <w:rFonts w:hint="eastAsia" w:ascii="宋体" w:hAnsi="宋体"/>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5B311BAE">
      <w:pPr>
        <w:spacing w:line="360" w:lineRule="auto"/>
        <w:ind w:firstLine="420" w:firstLineChars="200"/>
        <w:jc w:val="left"/>
        <w:rPr>
          <w:rFonts w:ascii="宋体" w:hAnsi="宋体"/>
          <w:kern w:val="0"/>
          <w:szCs w:val="21"/>
        </w:rPr>
      </w:pPr>
      <w:r>
        <w:rPr>
          <w:rFonts w:hint="eastAsia" w:ascii="宋体" w:hAnsi="宋体"/>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FC84127">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14:paraId="695E4525">
      <w:pPr>
        <w:spacing w:line="360" w:lineRule="auto"/>
        <w:ind w:firstLine="420" w:firstLineChars="200"/>
        <w:jc w:val="left"/>
        <w:rPr>
          <w:rFonts w:ascii="宋体" w:hAnsi="宋体"/>
          <w:kern w:val="0"/>
          <w:szCs w:val="21"/>
        </w:rPr>
      </w:pPr>
      <w:r>
        <w:rPr>
          <w:rFonts w:hint="eastAsia" w:ascii="宋体" w:hAnsi="宋体"/>
          <w:kern w:val="0"/>
          <w:szCs w:val="21"/>
        </w:rPr>
        <w:t>13.2.3竣工日期</w:t>
      </w:r>
    </w:p>
    <w:p w14:paraId="24E4BE0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98" w:name="#go14"/>
      <w:bookmarkEnd w:id="1098"/>
      <w:r>
        <w:rPr>
          <w:rFonts w:hint="eastAsia" w:ascii="宋体" w:hAnsi="宋体"/>
          <w:kern w:val="0"/>
          <w:szCs w:val="21"/>
        </w:rPr>
        <w:t>收申请报告的日期为实际竣工日期；工程未经竣工验收，发包人擅自使用的，以转移占有工程之日为实际竣工日期。</w:t>
      </w:r>
    </w:p>
    <w:p w14:paraId="3FFEA7F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13.2.4 拒绝接收全部或部分工程</w:t>
      </w:r>
    </w:p>
    <w:p w14:paraId="7F1BA95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45B19E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13.2.5 移交、接收全部与部分工程</w:t>
      </w:r>
    </w:p>
    <w:p w14:paraId="0B8B622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除专用合同条款另有约定外，合同当事人应当在颁发工程接收证书后7天内完成工程的移交。</w:t>
      </w:r>
    </w:p>
    <w:p w14:paraId="46AAF20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7EA4DA9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14:paraId="4BF81C24">
      <w:pPr>
        <w:pStyle w:val="7"/>
        <w:spacing w:before="0" w:beforeAutospacing="0" w:after="0" w:afterAutospacing="0" w:line="360" w:lineRule="auto"/>
        <w:ind w:firstLine="420" w:firstLineChars="200"/>
        <w:rPr>
          <w:sz w:val="21"/>
          <w:szCs w:val="21"/>
        </w:rPr>
      </w:pPr>
      <w:bookmarkStart w:id="1099" w:name="_Toc351203589"/>
      <w:bookmarkStart w:id="1100" w:name="_Toc532377277"/>
      <w:bookmarkStart w:id="1101" w:name="_Toc337558807"/>
      <w:bookmarkStart w:id="1102" w:name="_Toc296346612"/>
      <w:bookmarkStart w:id="1103" w:name="_Toc296503111"/>
      <w:r>
        <w:rPr>
          <w:rFonts w:hint="eastAsia"/>
          <w:sz w:val="21"/>
          <w:szCs w:val="21"/>
        </w:rPr>
        <w:t>13.3工程试车</w:t>
      </w:r>
      <w:bookmarkEnd w:id="1099"/>
      <w:bookmarkEnd w:id="1100"/>
    </w:p>
    <w:bookmarkEnd w:id="1101"/>
    <w:bookmarkEnd w:id="1102"/>
    <w:bookmarkEnd w:id="1103"/>
    <w:p w14:paraId="6F1A465C">
      <w:pPr>
        <w:spacing w:line="360" w:lineRule="auto"/>
        <w:ind w:firstLine="420" w:firstLineChars="200"/>
        <w:jc w:val="left"/>
        <w:rPr>
          <w:rFonts w:ascii="宋体" w:hAnsi="宋体"/>
          <w:kern w:val="0"/>
          <w:szCs w:val="21"/>
        </w:rPr>
      </w:pPr>
      <w:r>
        <w:rPr>
          <w:rFonts w:hint="eastAsia" w:ascii="宋体" w:hAnsi="宋体"/>
          <w:kern w:val="0"/>
          <w:szCs w:val="21"/>
        </w:rPr>
        <w:t>13.3.1试车程序</w:t>
      </w:r>
    </w:p>
    <w:p w14:paraId="5DC93CD7">
      <w:pPr>
        <w:spacing w:line="360" w:lineRule="auto"/>
        <w:ind w:firstLine="420" w:firstLineChars="200"/>
        <w:jc w:val="left"/>
        <w:rPr>
          <w:rFonts w:ascii="宋体" w:hAnsi="宋体"/>
          <w:kern w:val="0"/>
          <w:szCs w:val="21"/>
        </w:rPr>
      </w:pPr>
      <w:r>
        <w:rPr>
          <w:rFonts w:hint="eastAsia" w:ascii="宋体" w:hAnsi="宋体"/>
          <w:kern w:val="0"/>
          <w:szCs w:val="21"/>
        </w:rPr>
        <w:t>工程需要试车的，除专用合同条款另有约定外，试车内容应与承包人承包范围相一致，试车费用由承包人承担。工程试车应按如下程序进行：</w:t>
      </w:r>
    </w:p>
    <w:p w14:paraId="214FAEFC">
      <w:pPr>
        <w:spacing w:line="360" w:lineRule="auto"/>
        <w:ind w:firstLine="420" w:firstLineChars="200"/>
        <w:jc w:val="left"/>
        <w:rPr>
          <w:rFonts w:ascii="宋体" w:hAnsi="宋体"/>
          <w:kern w:val="0"/>
          <w:szCs w:val="21"/>
        </w:rPr>
      </w:pPr>
      <w:r>
        <w:rPr>
          <w:rFonts w:hint="eastAsia" w:ascii="宋体" w:hAnsi="宋体"/>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06149760">
      <w:pPr>
        <w:spacing w:line="360" w:lineRule="auto"/>
        <w:ind w:firstLine="420" w:firstLineChars="200"/>
        <w:jc w:val="left"/>
        <w:rPr>
          <w:rFonts w:ascii="宋体" w:hAnsi="宋体"/>
          <w:kern w:val="0"/>
          <w:szCs w:val="21"/>
        </w:rPr>
      </w:pPr>
      <w:r>
        <w:rPr>
          <w:rFonts w:hint="eastAsia" w:ascii="宋体" w:hAnsi="宋体"/>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3B3ED838">
      <w:pPr>
        <w:spacing w:line="360" w:lineRule="auto"/>
        <w:ind w:firstLine="420" w:firstLineChars="200"/>
        <w:jc w:val="left"/>
        <w:rPr>
          <w:rFonts w:ascii="宋体" w:hAnsi="宋体"/>
          <w:kern w:val="0"/>
          <w:szCs w:val="21"/>
        </w:rPr>
      </w:pPr>
      <w:r>
        <w:rPr>
          <w:rFonts w:hint="eastAsia" w:ascii="宋体" w:hAnsi="宋体"/>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7D5EC673">
      <w:pPr>
        <w:spacing w:line="360" w:lineRule="auto"/>
        <w:ind w:firstLine="420" w:firstLineChars="200"/>
        <w:jc w:val="left"/>
        <w:rPr>
          <w:rFonts w:ascii="宋体" w:hAnsi="宋体"/>
          <w:kern w:val="0"/>
          <w:szCs w:val="21"/>
        </w:rPr>
      </w:pPr>
      <w:r>
        <w:rPr>
          <w:rFonts w:hint="eastAsia" w:ascii="宋体" w:hAnsi="宋体"/>
          <w:kern w:val="0"/>
          <w:szCs w:val="21"/>
        </w:rPr>
        <w:t>13.3.2 试车中的责任</w:t>
      </w:r>
    </w:p>
    <w:p w14:paraId="17BE8FE0">
      <w:pPr>
        <w:spacing w:line="360" w:lineRule="auto"/>
        <w:ind w:firstLine="420" w:firstLineChars="200"/>
        <w:jc w:val="left"/>
        <w:rPr>
          <w:rFonts w:ascii="宋体" w:hAnsi="宋体"/>
          <w:kern w:val="0"/>
          <w:szCs w:val="21"/>
        </w:rPr>
      </w:pPr>
      <w:r>
        <w:rPr>
          <w:rFonts w:hint="eastAsia" w:ascii="宋体" w:hAnsi="宋体"/>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3755674">
      <w:pPr>
        <w:spacing w:line="360" w:lineRule="auto"/>
        <w:ind w:firstLine="420" w:firstLineChars="200"/>
        <w:jc w:val="left"/>
        <w:rPr>
          <w:rFonts w:ascii="宋体" w:hAnsi="宋体"/>
          <w:kern w:val="0"/>
          <w:szCs w:val="21"/>
        </w:rPr>
      </w:pPr>
      <w:r>
        <w:rPr>
          <w:rFonts w:hint="eastAsia" w:ascii="宋体" w:hAnsi="宋体"/>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01E26A9">
      <w:pPr>
        <w:spacing w:line="360" w:lineRule="auto"/>
        <w:ind w:firstLine="420" w:firstLineChars="200"/>
        <w:jc w:val="left"/>
        <w:rPr>
          <w:rFonts w:ascii="宋体" w:hAnsi="宋体"/>
          <w:kern w:val="0"/>
          <w:szCs w:val="21"/>
        </w:rPr>
      </w:pPr>
      <w:r>
        <w:rPr>
          <w:rFonts w:hint="eastAsia" w:ascii="宋体" w:hAnsi="宋体"/>
          <w:kern w:val="0"/>
          <w:szCs w:val="21"/>
        </w:rPr>
        <w:t>13.3.3 投料试车</w:t>
      </w:r>
    </w:p>
    <w:p w14:paraId="337EE115">
      <w:pPr>
        <w:spacing w:line="360" w:lineRule="auto"/>
        <w:ind w:firstLine="420" w:firstLineChars="200"/>
        <w:jc w:val="left"/>
        <w:rPr>
          <w:rFonts w:ascii="宋体" w:hAnsi="宋体"/>
          <w:kern w:val="0"/>
          <w:szCs w:val="21"/>
        </w:rPr>
      </w:pPr>
      <w:r>
        <w:rPr>
          <w:rFonts w:hint="eastAsia" w:ascii="宋体" w:hAnsi="宋体"/>
          <w:kern w:val="0"/>
          <w:szCs w:val="21"/>
        </w:rPr>
        <w:t>如需进行投料试车的，发包人应在工程竣工验收后组织投料试车。发包人要求在工程竣工验收前进行或需要承包人配合时，应征得承包人同意，并在专用合同条款中约定有关事项。</w:t>
      </w:r>
    </w:p>
    <w:p w14:paraId="20A14327">
      <w:pPr>
        <w:spacing w:line="360" w:lineRule="auto"/>
        <w:ind w:firstLine="420" w:firstLineChars="200"/>
        <w:jc w:val="left"/>
        <w:rPr>
          <w:rFonts w:ascii="宋体" w:hAnsi="宋体"/>
          <w:kern w:val="0"/>
          <w:szCs w:val="21"/>
        </w:rPr>
      </w:pPr>
      <w:r>
        <w:rPr>
          <w:rFonts w:hint="eastAsia" w:ascii="宋体" w:hAnsi="宋体"/>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4D29FF85">
      <w:pPr>
        <w:pStyle w:val="7"/>
        <w:spacing w:before="0" w:beforeAutospacing="0" w:after="0" w:afterAutospacing="0" w:line="360" w:lineRule="auto"/>
        <w:ind w:firstLine="420" w:firstLineChars="200"/>
        <w:rPr>
          <w:sz w:val="21"/>
          <w:szCs w:val="21"/>
        </w:rPr>
      </w:pPr>
      <w:bookmarkStart w:id="1104" w:name="_Toc532377278"/>
      <w:r>
        <w:rPr>
          <w:rFonts w:hint="eastAsia"/>
          <w:sz w:val="21"/>
          <w:szCs w:val="21"/>
        </w:rPr>
        <w:t>13.4提前交付单位工程的验收</w:t>
      </w:r>
      <w:bookmarkEnd w:id="1104"/>
    </w:p>
    <w:p w14:paraId="19C9667D">
      <w:pPr>
        <w:spacing w:line="360" w:lineRule="auto"/>
        <w:ind w:firstLine="420" w:firstLineChars="200"/>
        <w:jc w:val="left"/>
        <w:rPr>
          <w:rFonts w:ascii="宋体" w:hAnsi="宋体"/>
          <w:kern w:val="0"/>
          <w:szCs w:val="21"/>
        </w:rPr>
      </w:pPr>
      <w:r>
        <w:rPr>
          <w:rFonts w:hint="eastAsia" w:ascii="宋体" w:hAnsi="宋体"/>
          <w:kern w:val="0"/>
          <w:szCs w:val="21"/>
        </w:rPr>
        <w:t>13.4.1 发包人需要在工程竣工前使用单位工程的，或承包人提出提前交付已经竣工的单位工程且经发包人同意的，可进行单位工程验收，验收的程序按照第13.2款〔竣工验收〕的约定进行。</w:t>
      </w:r>
    </w:p>
    <w:p w14:paraId="04184AC4">
      <w:pPr>
        <w:spacing w:line="360" w:lineRule="auto"/>
        <w:ind w:firstLine="420" w:firstLineChars="200"/>
        <w:jc w:val="left"/>
        <w:rPr>
          <w:rFonts w:ascii="宋体" w:hAnsi="宋体"/>
          <w:kern w:val="0"/>
          <w:szCs w:val="21"/>
        </w:rPr>
      </w:pPr>
      <w:r>
        <w:rPr>
          <w:rFonts w:hint="eastAsia" w:ascii="宋体" w:hAnsi="宋体"/>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45CE3FCC">
      <w:pPr>
        <w:spacing w:line="360" w:lineRule="auto"/>
        <w:ind w:firstLine="420" w:firstLineChars="200"/>
        <w:jc w:val="left"/>
        <w:rPr>
          <w:rFonts w:ascii="宋体" w:hAnsi="宋体"/>
          <w:kern w:val="0"/>
          <w:szCs w:val="21"/>
        </w:rPr>
      </w:pPr>
      <w:r>
        <w:rPr>
          <w:rFonts w:hint="eastAsia" w:ascii="宋体" w:hAnsi="宋体"/>
          <w:kern w:val="0"/>
          <w:szCs w:val="21"/>
        </w:rPr>
        <w:t>13.4.2 发包人要求在工程竣工前交付单位工程，由此导致承包人费用增加和（或）工期延误的，由发包人承担由此增加的费用和（或）延误的工期，并支付承包人合理的利润。</w:t>
      </w:r>
    </w:p>
    <w:p w14:paraId="56ED07BA">
      <w:pPr>
        <w:pStyle w:val="7"/>
        <w:spacing w:before="0" w:beforeAutospacing="0" w:after="0" w:afterAutospacing="0" w:line="360" w:lineRule="auto"/>
        <w:ind w:firstLine="420" w:firstLineChars="200"/>
        <w:rPr>
          <w:sz w:val="21"/>
          <w:szCs w:val="21"/>
        </w:rPr>
      </w:pPr>
      <w:bookmarkStart w:id="1105" w:name="_Toc351203591"/>
      <w:bookmarkStart w:id="1106" w:name="_Toc532377279"/>
      <w:r>
        <w:rPr>
          <w:rFonts w:hint="eastAsia"/>
          <w:sz w:val="21"/>
          <w:szCs w:val="21"/>
        </w:rPr>
        <w:t>13.5 施工期运行</w:t>
      </w:r>
      <w:bookmarkEnd w:id="1105"/>
      <w:bookmarkEnd w:id="1106"/>
    </w:p>
    <w:p w14:paraId="5FEE0BAA">
      <w:pPr>
        <w:spacing w:line="360" w:lineRule="auto"/>
        <w:ind w:firstLine="420" w:firstLineChars="200"/>
        <w:jc w:val="left"/>
        <w:rPr>
          <w:rFonts w:ascii="宋体" w:hAnsi="宋体"/>
          <w:kern w:val="0"/>
          <w:szCs w:val="21"/>
        </w:rPr>
      </w:pPr>
      <w:r>
        <w:rPr>
          <w:rFonts w:hint="eastAsia" w:ascii="宋体" w:hAnsi="宋体"/>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468B4AA7">
      <w:pPr>
        <w:spacing w:line="360" w:lineRule="auto"/>
        <w:ind w:firstLine="420" w:firstLineChars="200"/>
        <w:jc w:val="left"/>
        <w:rPr>
          <w:rFonts w:ascii="宋体" w:hAnsi="宋体"/>
          <w:kern w:val="0"/>
          <w:szCs w:val="21"/>
        </w:rPr>
      </w:pPr>
      <w:r>
        <w:rPr>
          <w:rFonts w:hint="eastAsia" w:ascii="宋体" w:hAnsi="宋体"/>
          <w:kern w:val="0"/>
          <w:szCs w:val="21"/>
        </w:rPr>
        <w:t>13.5.2 在施工期运行中发现工程或工程设备损坏或存在缺陷的，由承包人按第15.2款〔缺陷责任期〕约定进行修复。</w:t>
      </w:r>
    </w:p>
    <w:p w14:paraId="2845B1F0">
      <w:pPr>
        <w:pStyle w:val="7"/>
        <w:spacing w:before="0" w:beforeAutospacing="0" w:after="0" w:afterAutospacing="0" w:line="360" w:lineRule="auto"/>
        <w:ind w:firstLine="420" w:firstLineChars="200"/>
        <w:rPr>
          <w:sz w:val="21"/>
          <w:szCs w:val="21"/>
        </w:rPr>
      </w:pPr>
      <w:bookmarkStart w:id="1107" w:name="_Toc296503112"/>
      <w:bookmarkStart w:id="1108" w:name="_Toc296346613"/>
      <w:bookmarkStart w:id="1109" w:name="_Toc532377280"/>
      <w:bookmarkStart w:id="1110" w:name="_Toc351203592"/>
      <w:bookmarkStart w:id="1111" w:name="_Toc337558809"/>
      <w:r>
        <w:rPr>
          <w:rFonts w:hint="eastAsia"/>
          <w:sz w:val="21"/>
          <w:szCs w:val="21"/>
        </w:rPr>
        <w:t>13.6 竣工退</w:t>
      </w:r>
      <w:bookmarkEnd w:id="1107"/>
      <w:bookmarkEnd w:id="1108"/>
      <w:r>
        <w:rPr>
          <w:rFonts w:hint="eastAsia"/>
          <w:sz w:val="21"/>
          <w:szCs w:val="21"/>
        </w:rPr>
        <w:t>场</w:t>
      </w:r>
      <w:bookmarkEnd w:id="1109"/>
      <w:bookmarkEnd w:id="1110"/>
    </w:p>
    <w:bookmarkEnd w:id="1111"/>
    <w:p w14:paraId="071CBE3D">
      <w:pPr>
        <w:spacing w:line="360" w:lineRule="auto"/>
        <w:ind w:firstLine="420" w:firstLineChars="200"/>
        <w:jc w:val="left"/>
        <w:rPr>
          <w:rFonts w:ascii="宋体" w:hAnsi="宋体"/>
          <w:kern w:val="0"/>
          <w:szCs w:val="21"/>
        </w:rPr>
      </w:pPr>
      <w:r>
        <w:rPr>
          <w:rFonts w:hint="eastAsia" w:ascii="宋体" w:hAnsi="宋体"/>
          <w:kern w:val="0"/>
          <w:szCs w:val="21"/>
        </w:rPr>
        <w:t>13.6.1 竣工退场</w:t>
      </w:r>
    </w:p>
    <w:p w14:paraId="08569E8D">
      <w:pPr>
        <w:spacing w:line="360" w:lineRule="auto"/>
        <w:ind w:firstLine="420" w:firstLineChars="200"/>
        <w:jc w:val="left"/>
        <w:rPr>
          <w:rFonts w:ascii="宋体" w:hAnsi="宋体"/>
          <w:kern w:val="0"/>
          <w:szCs w:val="21"/>
        </w:rPr>
      </w:pPr>
      <w:r>
        <w:rPr>
          <w:rFonts w:hint="eastAsia" w:ascii="宋体" w:hAnsi="宋体"/>
          <w:kern w:val="0"/>
          <w:szCs w:val="21"/>
        </w:rPr>
        <w:t>颁发工程接收证书后，承包人应按以下要求对施工现场进行清理：</w:t>
      </w:r>
    </w:p>
    <w:p w14:paraId="0BC82380">
      <w:pPr>
        <w:spacing w:line="360" w:lineRule="auto"/>
        <w:ind w:firstLine="420" w:firstLineChars="200"/>
        <w:jc w:val="left"/>
        <w:rPr>
          <w:rFonts w:ascii="宋体" w:hAnsi="宋体"/>
          <w:kern w:val="0"/>
          <w:szCs w:val="21"/>
        </w:rPr>
      </w:pPr>
      <w:r>
        <w:rPr>
          <w:rFonts w:hint="eastAsia" w:ascii="宋体" w:hAnsi="宋体"/>
          <w:kern w:val="0"/>
          <w:szCs w:val="21"/>
        </w:rPr>
        <w:t>（1）施工现场内残留的垃圾已全部清除出场；</w:t>
      </w:r>
    </w:p>
    <w:p w14:paraId="1C55BD2A">
      <w:pPr>
        <w:spacing w:line="360" w:lineRule="auto"/>
        <w:ind w:firstLine="420" w:firstLineChars="200"/>
        <w:jc w:val="left"/>
        <w:rPr>
          <w:rFonts w:ascii="宋体" w:hAnsi="宋体"/>
          <w:kern w:val="0"/>
          <w:szCs w:val="21"/>
        </w:rPr>
      </w:pPr>
      <w:r>
        <w:rPr>
          <w:rFonts w:hint="eastAsia" w:ascii="宋体" w:hAnsi="宋体"/>
          <w:kern w:val="0"/>
          <w:szCs w:val="21"/>
        </w:rPr>
        <w:t>（2）临时工程已拆除，场地已进行清理、平整或复原；</w:t>
      </w:r>
    </w:p>
    <w:p w14:paraId="40AA03DE">
      <w:pPr>
        <w:spacing w:line="360" w:lineRule="auto"/>
        <w:ind w:firstLine="420" w:firstLineChars="200"/>
        <w:jc w:val="left"/>
        <w:rPr>
          <w:rFonts w:ascii="宋体" w:hAnsi="宋体"/>
          <w:kern w:val="0"/>
          <w:szCs w:val="21"/>
        </w:rPr>
      </w:pPr>
      <w:r>
        <w:rPr>
          <w:rFonts w:hint="eastAsia" w:ascii="宋体" w:hAnsi="宋体"/>
          <w:kern w:val="0"/>
          <w:szCs w:val="21"/>
        </w:rPr>
        <w:t>（3）按合同约定应撤离的人员、承包人施工设备和剩余的材料，包括废弃的施工设备和材料，已按计划撤离施工现场；</w:t>
      </w:r>
    </w:p>
    <w:p w14:paraId="1EFD230C">
      <w:pPr>
        <w:spacing w:line="360" w:lineRule="auto"/>
        <w:ind w:firstLine="420" w:firstLineChars="200"/>
        <w:jc w:val="left"/>
        <w:rPr>
          <w:rFonts w:ascii="宋体" w:hAnsi="宋体"/>
          <w:kern w:val="0"/>
          <w:szCs w:val="21"/>
        </w:rPr>
      </w:pPr>
      <w:r>
        <w:rPr>
          <w:rFonts w:hint="eastAsia" w:ascii="宋体" w:hAnsi="宋体"/>
          <w:kern w:val="0"/>
          <w:szCs w:val="21"/>
        </w:rPr>
        <w:t>（4）施工现场周边及其附近道路、河道的施工堆积物，已全部清理；</w:t>
      </w:r>
    </w:p>
    <w:p w14:paraId="6616922E">
      <w:pPr>
        <w:spacing w:line="360" w:lineRule="auto"/>
        <w:ind w:firstLine="420" w:firstLineChars="200"/>
        <w:jc w:val="left"/>
        <w:rPr>
          <w:rFonts w:ascii="宋体" w:hAnsi="宋体"/>
          <w:kern w:val="0"/>
          <w:szCs w:val="21"/>
        </w:rPr>
      </w:pPr>
      <w:r>
        <w:rPr>
          <w:rFonts w:hint="eastAsia" w:ascii="宋体" w:hAnsi="宋体"/>
          <w:kern w:val="0"/>
          <w:szCs w:val="21"/>
        </w:rPr>
        <w:t>（5）施工现场其他场地清理工作已全部完成。</w:t>
      </w:r>
    </w:p>
    <w:p w14:paraId="02FE7E8D">
      <w:pPr>
        <w:spacing w:line="360" w:lineRule="auto"/>
        <w:ind w:firstLine="420" w:firstLineChars="200"/>
        <w:jc w:val="left"/>
        <w:rPr>
          <w:rFonts w:ascii="宋体" w:hAnsi="宋体"/>
          <w:kern w:val="0"/>
          <w:szCs w:val="21"/>
        </w:rPr>
      </w:pPr>
      <w:r>
        <w:rPr>
          <w:rFonts w:hint="eastAsia" w:ascii="宋体" w:hAnsi="宋体"/>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7DFFFB0">
      <w:pPr>
        <w:spacing w:line="360" w:lineRule="auto"/>
        <w:ind w:firstLine="420" w:firstLineChars="200"/>
        <w:jc w:val="left"/>
        <w:rPr>
          <w:rFonts w:ascii="宋体" w:hAnsi="宋体"/>
          <w:kern w:val="0"/>
          <w:szCs w:val="21"/>
        </w:rPr>
      </w:pPr>
      <w:r>
        <w:rPr>
          <w:rFonts w:hint="eastAsia" w:ascii="宋体" w:hAnsi="宋体"/>
          <w:kern w:val="0"/>
          <w:szCs w:val="21"/>
        </w:rPr>
        <w:t>13.6.2 地表还原</w:t>
      </w:r>
    </w:p>
    <w:p w14:paraId="10CB35EC">
      <w:pPr>
        <w:spacing w:line="360" w:lineRule="auto"/>
        <w:ind w:firstLine="420" w:firstLineChars="200"/>
        <w:jc w:val="left"/>
        <w:rPr>
          <w:rFonts w:ascii="宋体" w:hAnsi="宋体"/>
          <w:kern w:val="0"/>
          <w:szCs w:val="21"/>
        </w:rPr>
      </w:pPr>
      <w:r>
        <w:rPr>
          <w:rFonts w:hint="eastAsia" w:ascii="宋体" w:hAnsi="宋体"/>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1712CF6F">
      <w:pPr>
        <w:pStyle w:val="6"/>
        <w:keepNext/>
        <w:keepLines/>
        <w:spacing w:before="156" w:beforeLines="50" w:beforeAutospacing="0" w:after="156" w:afterLines="50" w:afterAutospacing="0" w:line="360" w:lineRule="auto"/>
        <w:jc w:val="both"/>
        <w:rPr>
          <w:bCs w:val="0"/>
          <w:kern w:val="2"/>
          <w:sz w:val="21"/>
          <w:szCs w:val="21"/>
        </w:rPr>
      </w:pPr>
      <w:bookmarkStart w:id="1112" w:name="_Toc532377281"/>
      <w:bookmarkStart w:id="1113" w:name="_Toc532375600"/>
      <w:bookmarkStart w:id="1114" w:name="_Toc351203593"/>
      <w:bookmarkStart w:id="1115" w:name="_Toc337558810"/>
      <w:bookmarkStart w:id="1116" w:name="_Toc296503113"/>
      <w:bookmarkStart w:id="1117" w:name="_Toc296346614"/>
      <w:r>
        <w:rPr>
          <w:rFonts w:hint="eastAsia"/>
          <w:kern w:val="2"/>
          <w:sz w:val="21"/>
          <w:szCs w:val="21"/>
        </w:rPr>
        <w:t>14. 竣工结算</w:t>
      </w:r>
      <w:bookmarkEnd w:id="1112"/>
      <w:bookmarkEnd w:id="1113"/>
      <w:bookmarkEnd w:id="1114"/>
    </w:p>
    <w:bookmarkEnd w:id="1115"/>
    <w:p w14:paraId="66B0235C">
      <w:pPr>
        <w:pStyle w:val="7"/>
        <w:spacing w:before="0" w:beforeAutospacing="0" w:after="0" w:afterAutospacing="0" w:line="360" w:lineRule="auto"/>
        <w:ind w:firstLine="420" w:firstLineChars="200"/>
        <w:rPr>
          <w:sz w:val="21"/>
          <w:szCs w:val="21"/>
        </w:rPr>
      </w:pPr>
      <w:bookmarkStart w:id="1118" w:name="_Toc351203594"/>
      <w:bookmarkStart w:id="1119" w:name="_Toc532377282"/>
      <w:bookmarkStart w:id="1120" w:name="_Toc337558811"/>
      <w:r>
        <w:rPr>
          <w:rFonts w:hint="eastAsia"/>
          <w:sz w:val="21"/>
          <w:szCs w:val="21"/>
        </w:rPr>
        <w:t>14.1 竣工结算申请</w:t>
      </w:r>
      <w:bookmarkEnd w:id="1118"/>
      <w:bookmarkEnd w:id="1119"/>
    </w:p>
    <w:bookmarkEnd w:id="1120"/>
    <w:p w14:paraId="4A97E84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4B848E0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除专用合同条款另有约定外，竣工结算申请单应包括以下内容：</w:t>
      </w:r>
    </w:p>
    <w:p w14:paraId="25F1E74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（1）竣工结算合同价格；</w:t>
      </w:r>
    </w:p>
    <w:p w14:paraId="683872A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（2）发包人已支付承包人的款项；</w:t>
      </w:r>
    </w:p>
    <w:p w14:paraId="59B8676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（3）应扣留的质量保证金。已缴纳履约保证金的或提供其他工程质量担保方式的除外； </w:t>
      </w:r>
    </w:p>
    <w:p w14:paraId="48A16F5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（4）发包人应支付承包人的合同价款。</w:t>
      </w:r>
    </w:p>
    <w:p w14:paraId="24EFA7ED">
      <w:pPr>
        <w:pStyle w:val="7"/>
        <w:spacing w:before="0" w:beforeAutospacing="0" w:after="0" w:afterAutospacing="0" w:line="360" w:lineRule="auto"/>
        <w:ind w:firstLine="420" w:firstLineChars="200"/>
        <w:rPr>
          <w:sz w:val="21"/>
          <w:szCs w:val="21"/>
        </w:rPr>
      </w:pPr>
      <w:bookmarkStart w:id="1121" w:name="_Toc351203595"/>
      <w:bookmarkStart w:id="1122" w:name="_Toc532377283"/>
      <w:bookmarkStart w:id="1123" w:name="_Toc337558812"/>
      <w:r>
        <w:rPr>
          <w:rFonts w:hint="eastAsia"/>
          <w:sz w:val="21"/>
          <w:szCs w:val="21"/>
        </w:rPr>
        <w:t>14.2 竣工结算审核</w:t>
      </w:r>
      <w:bookmarkEnd w:id="1121"/>
      <w:bookmarkEnd w:id="1122"/>
    </w:p>
    <w:bookmarkEnd w:id="1123"/>
    <w:p w14:paraId="6A0C561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43C6CB2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79E8496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404C93B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41CFD65">
      <w:pPr>
        <w:pStyle w:val="7"/>
        <w:spacing w:before="0" w:beforeAutospacing="0" w:after="0" w:afterAutospacing="0" w:line="360" w:lineRule="auto"/>
        <w:ind w:firstLine="420" w:firstLineChars="200"/>
        <w:rPr>
          <w:sz w:val="21"/>
          <w:szCs w:val="21"/>
        </w:rPr>
      </w:pPr>
      <w:bookmarkStart w:id="1124" w:name="_Toc532377284"/>
      <w:bookmarkStart w:id="1125" w:name="_Toc351203596"/>
      <w:bookmarkStart w:id="1126" w:name="_Toc337558813"/>
      <w:r>
        <w:rPr>
          <w:rFonts w:hint="eastAsia"/>
          <w:sz w:val="21"/>
          <w:szCs w:val="21"/>
        </w:rPr>
        <w:t>14.3 甩项竣工协议</w:t>
      </w:r>
      <w:bookmarkEnd w:id="1124"/>
      <w:bookmarkEnd w:id="1125"/>
    </w:p>
    <w:bookmarkEnd w:id="1126"/>
    <w:p w14:paraId="760D7325">
      <w:pPr>
        <w:autoSpaceDE w:val="0"/>
        <w:autoSpaceDN w:val="0"/>
        <w:spacing w:line="360" w:lineRule="auto"/>
        <w:ind w:firstLine="411" w:firstLineChars="196"/>
        <w:jc w:val="left"/>
        <w:rPr>
          <w:rFonts w:ascii="宋体" w:hAnsi="宋体"/>
          <w:kern w:val="0"/>
          <w:szCs w:val="21"/>
        </w:rPr>
      </w:pPr>
      <w:r>
        <w:rPr>
          <w:rFonts w:hint="eastAsia" w:ascii="宋体" w:hAnsi="宋体"/>
          <w:kern w:val="0"/>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60924473">
      <w:pPr>
        <w:pStyle w:val="7"/>
        <w:spacing w:before="0" w:beforeAutospacing="0" w:after="0" w:afterAutospacing="0" w:line="360" w:lineRule="auto"/>
        <w:ind w:firstLine="420" w:firstLineChars="200"/>
        <w:rPr>
          <w:sz w:val="21"/>
          <w:szCs w:val="21"/>
        </w:rPr>
      </w:pPr>
      <w:bookmarkStart w:id="1127" w:name="_Toc532377285"/>
      <w:bookmarkStart w:id="1128" w:name="_Toc351203597"/>
      <w:bookmarkStart w:id="1129" w:name="_Toc337558814"/>
      <w:r>
        <w:rPr>
          <w:rFonts w:hint="eastAsia"/>
          <w:sz w:val="21"/>
          <w:szCs w:val="21"/>
        </w:rPr>
        <w:t>14.4 最终结清</w:t>
      </w:r>
      <w:bookmarkEnd w:id="1127"/>
      <w:bookmarkEnd w:id="1128"/>
    </w:p>
    <w:bookmarkEnd w:id="1129"/>
    <w:p w14:paraId="26FC7DA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14.4.1 最终结清申请单</w:t>
      </w:r>
    </w:p>
    <w:p w14:paraId="3E8F819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（1）除专用合同条款另有约定外，承包人应在缺陷责任期终止证书颁发后7天内，按专用合同条款约定的份数向发包人提交最终结清申请单，并提供相关证明材料。</w:t>
      </w:r>
    </w:p>
    <w:p w14:paraId="728106A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除专用合同条款另有约定外，最终结清申请单应列明质量保证金、应扣除的质量保证金、缺陷责任期内发生的增减费用。</w:t>
      </w:r>
    </w:p>
    <w:p w14:paraId="5510C29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（2）发包人对最终结清申请单内容有异议的，有权要求承包人进行修正和提供补充资料，承包人应向发包人提交修正后的最终结清申请单。</w:t>
      </w:r>
    </w:p>
    <w:p w14:paraId="51B9BAF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14.4.2 最终结清证书和支付</w:t>
      </w:r>
    </w:p>
    <w:p w14:paraId="2AE06C1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0C55054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5BB464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（3）承包人对发包人颁发的最终结清证书有异议的，按第20条〔争议解决〕的约定办理。</w:t>
      </w:r>
    </w:p>
    <w:p w14:paraId="53307305">
      <w:pPr>
        <w:pStyle w:val="6"/>
        <w:keepNext/>
        <w:keepLines/>
        <w:spacing w:before="156" w:beforeLines="50" w:beforeAutospacing="0" w:after="156" w:afterLines="50" w:afterAutospacing="0" w:line="360" w:lineRule="auto"/>
        <w:jc w:val="both"/>
        <w:rPr>
          <w:bCs w:val="0"/>
          <w:kern w:val="2"/>
          <w:sz w:val="21"/>
          <w:szCs w:val="21"/>
        </w:rPr>
      </w:pPr>
      <w:bookmarkStart w:id="1130" w:name="_Toc532377286"/>
      <w:bookmarkStart w:id="1131" w:name="_Toc351203598"/>
      <w:bookmarkStart w:id="1132" w:name="_Toc532375601"/>
      <w:bookmarkStart w:id="1133" w:name="_Toc337558815"/>
      <w:r>
        <w:rPr>
          <w:rFonts w:hint="eastAsia"/>
          <w:kern w:val="2"/>
          <w:sz w:val="21"/>
          <w:szCs w:val="21"/>
        </w:rPr>
        <w:t>15. 缺陷责任与保修</w:t>
      </w:r>
      <w:bookmarkEnd w:id="1130"/>
      <w:bookmarkEnd w:id="1131"/>
      <w:bookmarkEnd w:id="1132"/>
    </w:p>
    <w:bookmarkEnd w:id="1116"/>
    <w:bookmarkEnd w:id="1117"/>
    <w:bookmarkEnd w:id="1133"/>
    <w:p w14:paraId="7759D17F">
      <w:pPr>
        <w:pStyle w:val="7"/>
        <w:spacing w:before="0" w:beforeAutospacing="0" w:after="0" w:afterAutospacing="0" w:line="360" w:lineRule="auto"/>
        <w:ind w:firstLine="420" w:firstLineChars="200"/>
        <w:rPr>
          <w:sz w:val="21"/>
          <w:szCs w:val="21"/>
        </w:rPr>
      </w:pPr>
      <w:bookmarkStart w:id="1134" w:name="_Toc351203599"/>
      <w:bookmarkStart w:id="1135" w:name="_Toc532377287"/>
      <w:bookmarkStart w:id="1136" w:name="_Toc337558816"/>
      <w:bookmarkStart w:id="1137" w:name="_Toc296346615"/>
      <w:bookmarkStart w:id="1138" w:name="_Toc296503114"/>
      <w:r>
        <w:rPr>
          <w:rFonts w:hint="eastAsia"/>
          <w:sz w:val="21"/>
          <w:szCs w:val="21"/>
        </w:rPr>
        <w:t>15.1 工程保修的原则</w:t>
      </w:r>
      <w:bookmarkEnd w:id="1134"/>
      <w:bookmarkEnd w:id="1135"/>
    </w:p>
    <w:bookmarkEnd w:id="1136"/>
    <w:p w14:paraId="1CB93F3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在工程移交发包人后，因承包人原因产生的质量缺陷，承包人应承担质量缺陷责任和保修义务。缺陷责任期届满，承包人仍应按合同约定的工程各部位保修年限承担保修义务。</w:t>
      </w:r>
    </w:p>
    <w:p w14:paraId="22912565">
      <w:pPr>
        <w:pStyle w:val="7"/>
        <w:spacing w:before="0" w:beforeAutospacing="0" w:after="0" w:afterAutospacing="0" w:line="360" w:lineRule="auto"/>
        <w:ind w:firstLine="420" w:firstLineChars="200"/>
        <w:rPr>
          <w:sz w:val="21"/>
          <w:szCs w:val="21"/>
        </w:rPr>
      </w:pPr>
      <w:bookmarkStart w:id="1139" w:name="_Toc532377288"/>
      <w:bookmarkStart w:id="1140" w:name="_Toc351203600"/>
      <w:bookmarkStart w:id="1141" w:name="_Toc337558817"/>
      <w:r>
        <w:rPr>
          <w:rFonts w:hint="eastAsia"/>
          <w:sz w:val="21"/>
          <w:szCs w:val="21"/>
        </w:rPr>
        <w:t>15.2 缺陷责任期</w:t>
      </w:r>
      <w:bookmarkEnd w:id="1137"/>
      <w:bookmarkEnd w:id="1138"/>
      <w:bookmarkEnd w:id="1139"/>
      <w:bookmarkEnd w:id="1140"/>
    </w:p>
    <w:bookmarkEnd w:id="1141"/>
    <w:p w14:paraId="4A6099E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15.2.1 缺陷责任期从工程通过竣工验收之日起计算，合同当事人应在专用合同条款约定缺陷责任期的具体期限，但该期限最长不超过24个月。</w:t>
      </w:r>
    </w:p>
    <w:p w14:paraId="489D1C5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5F55A16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6270E50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由他人原因造成的缺陷，发包人负责组织维修，承包人不承担费用，且发包人不得从保证金中扣除费用。</w:t>
      </w:r>
    </w:p>
    <w:p w14:paraId="2BD9C7B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15.2.3 任何一项缺陷或损坏修复后，经检查证明其影响了工程或工程设备的使用性能，承包人应重新进行合同约定的试验和试运行，试验和试运行的全部费用应由责任方承担。</w:t>
      </w:r>
    </w:p>
    <w:p w14:paraId="268855B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07F91A48">
      <w:pPr>
        <w:pStyle w:val="7"/>
        <w:spacing w:before="0" w:beforeAutospacing="0" w:after="0" w:afterAutospacing="0" w:line="360" w:lineRule="auto"/>
        <w:ind w:firstLine="420" w:firstLineChars="200"/>
        <w:rPr>
          <w:sz w:val="21"/>
          <w:szCs w:val="21"/>
        </w:rPr>
      </w:pPr>
      <w:bookmarkStart w:id="1142" w:name="_Toc351203601"/>
      <w:bookmarkStart w:id="1143" w:name="_Toc532377289"/>
      <w:bookmarkStart w:id="1144" w:name="_Toc337558818"/>
      <w:bookmarkStart w:id="1145" w:name="_Toc296503115"/>
      <w:bookmarkStart w:id="1146" w:name="_Toc296346616"/>
      <w:r>
        <w:rPr>
          <w:rFonts w:hint="eastAsia"/>
          <w:sz w:val="21"/>
          <w:szCs w:val="21"/>
        </w:rPr>
        <w:t>15.3 质量保证金</w:t>
      </w:r>
      <w:bookmarkEnd w:id="1142"/>
      <w:bookmarkEnd w:id="1143"/>
    </w:p>
    <w:bookmarkEnd w:id="1144"/>
    <w:p w14:paraId="52EA04C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经合同当事人协商一致扣留质量保证金的，应在专用合同条款中予以明确。</w:t>
      </w:r>
    </w:p>
    <w:p w14:paraId="3F92B6F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在工程项目竣工前，承包人已经提供履约担保的，发包人不得同时预留工程质量保证金。</w:t>
      </w:r>
    </w:p>
    <w:p w14:paraId="4FD9BA7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15.3.1 承包人提供质量保证金的方式</w:t>
      </w:r>
    </w:p>
    <w:p w14:paraId="62C9564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承包人提供质量保证金有以下三种方式：</w:t>
      </w:r>
    </w:p>
    <w:p w14:paraId="53B7C3D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（1）质量保证金保函；</w:t>
      </w:r>
    </w:p>
    <w:p w14:paraId="2520A8B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（2）相应比例的工程款；</w:t>
      </w:r>
    </w:p>
    <w:p w14:paraId="77798EB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（3）双方约定的其他方式。</w:t>
      </w:r>
    </w:p>
    <w:p w14:paraId="48CBF1F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除专用合同条款另有约定外，质量保证金原则上采用上述第（1）种方式。</w:t>
      </w:r>
    </w:p>
    <w:p w14:paraId="2231B66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15.3.2 质量保证金的扣留</w:t>
      </w:r>
    </w:p>
    <w:p w14:paraId="65D6BAB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质量保证金的扣留有以下三种方式：</w:t>
      </w:r>
    </w:p>
    <w:p w14:paraId="22BE372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（1）在支付工程进度款时逐次扣留，在此情形下，质量保证金的计算基数不包括预付款的支付、扣回以及价格调整的金额；</w:t>
      </w:r>
    </w:p>
    <w:p w14:paraId="1AC3230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w:t>
      </w:r>
      <w:bookmarkStart w:id="1147" w:name="#go6"/>
      <w:bookmarkEnd w:id="1147"/>
      <w:r>
        <w:rPr>
          <w:rFonts w:hint="eastAsia" w:ascii="宋体" w:hAnsi="宋体"/>
          <w:kern w:val="0"/>
          <w:szCs w:val="21"/>
        </w:rPr>
        <w:t>程竣工结算时一次性扣留质量保证金；</w:t>
      </w:r>
    </w:p>
    <w:p w14:paraId="22430C9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（3）双方约定的其他扣留方式。</w:t>
      </w:r>
    </w:p>
    <w:p w14:paraId="485D652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除专用合同条款另有约定外，质量保证金的扣留原则上采用上述第（1）种方式。</w:t>
      </w:r>
    </w:p>
    <w:p w14:paraId="4E45B22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w:t>
      </w:r>
      <w:bookmarkStart w:id="1148" w:name="#go4"/>
      <w:bookmarkEnd w:id="1148"/>
      <w:r>
        <w:rPr>
          <w:rFonts w:hint="eastAsia" w:ascii="宋体" w:hAnsi="宋体"/>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313DCF6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发包人在退还质量保证金的同时按照中国人民银行发布的同期同类贷款基准利率支付利息。</w:t>
      </w:r>
    </w:p>
    <w:p w14:paraId="58F259B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15.3.3 质量保证金的退还</w:t>
      </w:r>
    </w:p>
    <w:p w14:paraId="360AA5C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缺陷责任期内，承包人认真履行合同约定的责任，到期后，承包人可向发包人申请返还保证金。</w:t>
      </w:r>
    </w:p>
    <w:p w14:paraId="54DA354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5CE960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发包人和承包人对保证金预留、返还以及工程维修质量、费用有争议的，按合同第20条约定的争议和纠纷解决程序处理。</w:t>
      </w:r>
    </w:p>
    <w:p w14:paraId="1CCF391D">
      <w:pPr>
        <w:pStyle w:val="7"/>
        <w:spacing w:before="0" w:beforeAutospacing="0" w:after="0" w:afterAutospacing="0" w:line="360" w:lineRule="auto"/>
        <w:ind w:firstLine="420" w:firstLineChars="200"/>
        <w:rPr>
          <w:sz w:val="21"/>
          <w:szCs w:val="21"/>
        </w:rPr>
      </w:pPr>
      <w:bookmarkStart w:id="1149" w:name="_Toc351203602"/>
      <w:bookmarkStart w:id="1150" w:name="_Toc532377290"/>
      <w:bookmarkStart w:id="1151" w:name="_Toc337558819"/>
      <w:r>
        <w:rPr>
          <w:rFonts w:hint="eastAsia"/>
          <w:sz w:val="21"/>
          <w:szCs w:val="21"/>
        </w:rPr>
        <w:t>15.4 保修</w:t>
      </w:r>
      <w:bookmarkEnd w:id="1149"/>
      <w:bookmarkEnd w:id="1150"/>
    </w:p>
    <w:bookmarkEnd w:id="1145"/>
    <w:bookmarkEnd w:id="1146"/>
    <w:bookmarkEnd w:id="1151"/>
    <w:p w14:paraId="4AFBC6F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15.4.1保修责任</w:t>
      </w:r>
    </w:p>
    <w:p w14:paraId="309C029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0670C9C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发包人未经竣工验收擅自使用工程的，保修期自转移占有之日起算。</w:t>
      </w:r>
    </w:p>
    <w:p w14:paraId="77B86EA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15.4.2 修复费用</w:t>
      </w:r>
    </w:p>
    <w:p w14:paraId="05F03BC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保修期内，修复的费用按照以下约定处理：</w:t>
      </w:r>
    </w:p>
    <w:p w14:paraId="35431E3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（1）保修期内，因承包人原因造成工程的缺陷、损坏，承包人应负责修复，并承担修复的费用以及因工程的缺陷、损坏造成的人身伤害和财产损失；</w:t>
      </w:r>
    </w:p>
    <w:p w14:paraId="5879EA9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（2）保修期内，因发包人使用不当造成工程的缺陷、损坏，可以委托承包人修复，但发包人应承担修复的费用，并支付承包人合理利润；</w:t>
      </w:r>
    </w:p>
    <w:p w14:paraId="7C686BA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（3）因其他原因造成工程的缺陷、损坏，可以委托承包人修复，发包人应承担修复的费用，并支付承包人合理的利润，因工程的缺陷、损坏造成的人身伤害和财产损失由责任方承担。</w:t>
      </w:r>
    </w:p>
    <w:p w14:paraId="1EB4ABE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15.4.3 修复通知</w:t>
      </w:r>
    </w:p>
    <w:p w14:paraId="41502D2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5EE2D45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15.4.4 未能修复</w:t>
      </w:r>
    </w:p>
    <w:p w14:paraId="13F69D7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7D3373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15.4.5 承包人出入权</w:t>
      </w:r>
    </w:p>
    <w:p w14:paraId="5A9FA6D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710BB94F">
      <w:pPr>
        <w:pStyle w:val="6"/>
        <w:keepNext/>
        <w:keepLines/>
        <w:spacing w:before="156" w:beforeLines="50" w:beforeAutospacing="0" w:after="156" w:afterLines="50" w:afterAutospacing="0" w:line="360" w:lineRule="auto"/>
        <w:jc w:val="both"/>
        <w:rPr>
          <w:bCs w:val="0"/>
          <w:kern w:val="2"/>
          <w:sz w:val="21"/>
          <w:szCs w:val="21"/>
        </w:rPr>
      </w:pPr>
      <w:bookmarkStart w:id="1152" w:name="_Toc532375602"/>
      <w:bookmarkStart w:id="1153" w:name="_Toc532377291"/>
      <w:bookmarkStart w:id="1154" w:name="_Toc351203603"/>
      <w:bookmarkStart w:id="1155" w:name="_Toc337558820"/>
      <w:r>
        <w:rPr>
          <w:rFonts w:hint="eastAsia"/>
          <w:kern w:val="2"/>
          <w:sz w:val="21"/>
          <w:szCs w:val="21"/>
        </w:rPr>
        <w:t>16. 违约</w:t>
      </w:r>
      <w:bookmarkEnd w:id="1152"/>
      <w:bookmarkEnd w:id="1153"/>
      <w:bookmarkEnd w:id="1154"/>
    </w:p>
    <w:bookmarkEnd w:id="1155"/>
    <w:p w14:paraId="43AF21F5">
      <w:pPr>
        <w:pStyle w:val="7"/>
        <w:spacing w:before="0" w:beforeAutospacing="0" w:after="0" w:afterAutospacing="0" w:line="360" w:lineRule="auto"/>
        <w:ind w:firstLine="420" w:firstLineChars="200"/>
        <w:rPr>
          <w:sz w:val="21"/>
          <w:szCs w:val="21"/>
        </w:rPr>
      </w:pPr>
      <w:bookmarkStart w:id="1156" w:name="_Toc296346630"/>
      <w:bookmarkStart w:id="1157" w:name="_Toc296503129"/>
      <w:bookmarkStart w:id="1158" w:name="_Toc532377292"/>
      <w:bookmarkStart w:id="1159" w:name="_Toc351203604"/>
      <w:bookmarkStart w:id="1160" w:name="_Toc337558821"/>
      <w:r>
        <w:rPr>
          <w:rFonts w:hint="eastAsia"/>
          <w:sz w:val="21"/>
          <w:szCs w:val="21"/>
        </w:rPr>
        <w:t>16.1 发</w:t>
      </w:r>
      <w:bookmarkEnd w:id="1156"/>
      <w:bookmarkEnd w:id="1157"/>
      <w:r>
        <w:rPr>
          <w:rFonts w:hint="eastAsia"/>
          <w:sz w:val="21"/>
          <w:szCs w:val="21"/>
        </w:rPr>
        <w:t>包人违约</w:t>
      </w:r>
      <w:bookmarkEnd w:id="1158"/>
      <w:bookmarkEnd w:id="1159"/>
    </w:p>
    <w:bookmarkEnd w:id="1160"/>
    <w:p w14:paraId="7F983FD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16.1.1 发包人违约的情形</w:t>
      </w:r>
    </w:p>
    <w:p w14:paraId="1107F8D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在合同履行过程中发生的下列情形，属于发包人违约：</w:t>
      </w:r>
    </w:p>
    <w:p w14:paraId="27A6612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（1）因发包人原因未能在计划开工日期前7天内下达开工通知的；</w:t>
      </w:r>
    </w:p>
    <w:p w14:paraId="7CC7C85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（2）因发包人原因未能按合同约定支付合同价款的；</w:t>
      </w:r>
    </w:p>
    <w:p w14:paraId="789882F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（3）发包人违反第10.1款〔变更的范围〕第（2）项约定，自行实施被取消的工作或转由他人实施的；</w:t>
      </w:r>
    </w:p>
    <w:p w14:paraId="5547D65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（4）发包人提供的材料、工程设备的规格、数量或质量不符合合同约定，或因发包人原因导致交货日期延误或交货地点变更等情况的；</w:t>
      </w:r>
    </w:p>
    <w:p w14:paraId="6D49378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（5）因发包人违反合同约定造成暂停施工的；</w:t>
      </w:r>
    </w:p>
    <w:p w14:paraId="23808E1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（6）发包人无正当理由没有在约定期限内发出复工指示，导致承包人无法复工的；</w:t>
      </w:r>
    </w:p>
    <w:p w14:paraId="6854E06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（7）发包人明确表示或者以其行为表明不履行合同主要义务的；</w:t>
      </w:r>
    </w:p>
    <w:p w14:paraId="666A6C1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（8）发包人未能按照合同约定履行其他义务的。</w:t>
      </w:r>
    </w:p>
    <w:p w14:paraId="3DFC5C8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4CF2C9F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16.1.2 发包人违约的责任</w:t>
      </w:r>
    </w:p>
    <w:p w14:paraId="2AFCC9C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发包人应承担因其违约给承包人增加的费用和（或）延误的工期，并支付承包人合理的利润。此外，合同当事人可在专用合同条款中另行约定发包人违约责任的承担方式和计算方法。</w:t>
      </w:r>
    </w:p>
    <w:p w14:paraId="2D5FF74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16.1.3 因发包人违约解除合同</w:t>
      </w:r>
    </w:p>
    <w:p w14:paraId="041E86E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422A11B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16.1.4 因发包人违约解除合同后的付款</w:t>
      </w:r>
    </w:p>
    <w:p w14:paraId="128F45C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承包人按照本款约定解除合同的，发包人应在解除合同后28天内支付下列款项，并解除履约担保：</w:t>
      </w:r>
    </w:p>
    <w:p w14:paraId="6801EDB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（1）合同解除前所完成工作的价款；</w:t>
      </w:r>
    </w:p>
    <w:p w14:paraId="26ECCF6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（2）承包人为工程施工订购并已付款的材料、工程设备和其他物品的价款；</w:t>
      </w:r>
    </w:p>
    <w:p w14:paraId="33368D7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（3）承包人撤离施工现场以及遣散承包人人员的款项；</w:t>
      </w:r>
    </w:p>
    <w:p w14:paraId="391B911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（4）按照合同约定在合同解除前应支付的违约金；</w:t>
      </w:r>
    </w:p>
    <w:p w14:paraId="68BCE2D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（5）按照合同约定应当支付给承包人的其他款项；</w:t>
      </w:r>
    </w:p>
    <w:p w14:paraId="25149BD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（6）按照合同约定应退还的质量保证金；</w:t>
      </w:r>
    </w:p>
    <w:p w14:paraId="6CA51FA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（7）因解除合同给承包人造成的损失。</w:t>
      </w:r>
    </w:p>
    <w:p w14:paraId="0652A17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合同当事人未能就解除合同后的结清达成一致的，按照第20条〔争议解决〕的约定处理。</w:t>
      </w:r>
    </w:p>
    <w:p w14:paraId="7F7D3DB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承包人应妥善做好已完工程和与工程有关的已购材料、工程设备的保护和移交工作，并将施工设备和人员撤出施工现场，发包人应为承包人撤出提供必要条件。</w:t>
      </w:r>
    </w:p>
    <w:p w14:paraId="4BD2F9E1">
      <w:pPr>
        <w:pStyle w:val="7"/>
        <w:spacing w:before="0" w:beforeAutospacing="0" w:after="0" w:afterAutospacing="0" w:line="360" w:lineRule="auto"/>
        <w:ind w:firstLine="420" w:firstLineChars="200"/>
        <w:rPr>
          <w:sz w:val="21"/>
          <w:szCs w:val="21"/>
        </w:rPr>
      </w:pPr>
      <w:bookmarkStart w:id="1161" w:name="_Toc351203605"/>
      <w:bookmarkStart w:id="1162" w:name="_Toc532377293"/>
      <w:bookmarkStart w:id="1163" w:name="_Toc337558822"/>
      <w:bookmarkStart w:id="1164" w:name="_Toc296503131"/>
      <w:bookmarkStart w:id="1165" w:name="_Toc296346632"/>
      <w:r>
        <w:rPr>
          <w:rFonts w:hint="eastAsia"/>
          <w:sz w:val="21"/>
          <w:szCs w:val="21"/>
        </w:rPr>
        <w:t>16.2 承包人违约</w:t>
      </w:r>
      <w:bookmarkEnd w:id="1161"/>
      <w:bookmarkEnd w:id="1162"/>
    </w:p>
    <w:bookmarkEnd w:id="1163"/>
    <w:bookmarkEnd w:id="1164"/>
    <w:bookmarkEnd w:id="1165"/>
    <w:p w14:paraId="30662F6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16.2.1 承包人违约的情形</w:t>
      </w:r>
    </w:p>
    <w:p w14:paraId="39B6B8C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在合同履行过程中发生的下列情形，属于承包人违约：</w:t>
      </w:r>
    </w:p>
    <w:p w14:paraId="79D710B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（1）承包人违反合同约定进行转包或违法分包的；</w:t>
      </w:r>
    </w:p>
    <w:p w14:paraId="524A820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（2）承包人违反合同约定采购和使用不合格的材料和工程设备的；</w:t>
      </w:r>
    </w:p>
    <w:p w14:paraId="4787C88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（3）因承包人原因导致工程质量不符合合同要求的； </w:t>
      </w:r>
    </w:p>
    <w:p w14:paraId="77895C7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（4）承包人违反第8.9款〔材料与设备专用要求〕的约定，未经批准，私自将已按照合同约定进入施工现场的材料或设备撤离施工现场的；</w:t>
      </w:r>
    </w:p>
    <w:p w14:paraId="7D498D4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（5）承包人未能按施工进度计划及时完成合同约定的工作，造成工期延误的；</w:t>
      </w:r>
    </w:p>
    <w:p w14:paraId="56B61D9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（6）承包人在缺陷责任期及保修期内，未能在合理期限对工程缺陷进行修复，或拒绝按发包人要求进行修复的；</w:t>
      </w:r>
    </w:p>
    <w:p w14:paraId="6983C80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（7）承包人明确表示或者以其行为表明不履行合同主要义务的；</w:t>
      </w:r>
    </w:p>
    <w:p w14:paraId="30A29B3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（8）承包人未能按照合同约定履行其他义务的。</w:t>
      </w:r>
    </w:p>
    <w:p w14:paraId="599B6BA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承包人发生除本项第（7）目约定以外的其他违约情况时，监理人可向承包人发出整改通知，要求其在指定的期限内改正。</w:t>
      </w:r>
    </w:p>
    <w:p w14:paraId="1C5D19D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16.2.2 承包人违约的责任</w:t>
      </w:r>
    </w:p>
    <w:p w14:paraId="262B21D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承包人应承担因其违约行为而增加的费用和（或）延误的工期。此外，合同当事人可在专用合同条款中另行约定承包人违约责任的承担方式和计算方法。</w:t>
      </w:r>
    </w:p>
    <w:p w14:paraId="755C3E2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16.2.3 因承包人违约解除合同</w:t>
      </w:r>
    </w:p>
    <w:p w14:paraId="3978B23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63675FE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16.2.4因承包人违约解除合同后的处理</w:t>
      </w:r>
    </w:p>
    <w:p w14:paraId="4E377E5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因承包人原因导致合同解除的，则合同当事人应在合同解除后28天内完成估价、付款和清算，并按以下约定执行：</w:t>
      </w:r>
    </w:p>
    <w:p w14:paraId="53A0327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（1）合同解除后，按第4.4款〔商定或确定〕商定或确定承包人实际完成工作对应的合同价款，以及承包人已提供的材料、工程设备、施工设备和临时工程等的价值；</w:t>
      </w:r>
    </w:p>
    <w:p w14:paraId="57590B6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（2）合同解除后，承包人应支付的违约金；</w:t>
      </w:r>
    </w:p>
    <w:p w14:paraId="6D166E5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（3）合同解除后，因解除合同给发包人造成的损失；</w:t>
      </w:r>
    </w:p>
    <w:p w14:paraId="2D5FA5C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（4）合同解除后，承包人应按照发包人要求和监理人的指示完成现场的清理和撤离；</w:t>
      </w:r>
    </w:p>
    <w:p w14:paraId="1322D0F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（5）发包人和承包人应在合同解除后进行清算，出具最终结清付款证书，结清全部款项。</w:t>
      </w:r>
    </w:p>
    <w:p w14:paraId="0D64DE3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因承包人违约解除合同的，发包人有权暂停对承包人的付款，查清各项付款和已扣款项。发包人和承包人未能就合同解除后的清算和款项支付达成一致的，按照第20条〔争议解决〕的约定处理。</w:t>
      </w:r>
    </w:p>
    <w:p w14:paraId="481662A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16.2.5采购合同权益转让</w:t>
      </w:r>
    </w:p>
    <w:p w14:paraId="1585B72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C5C792B">
      <w:pPr>
        <w:pStyle w:val="7"/>
        <w:spacing w:before="0" w:beforeAutospacing="0" w:after="0" w:afterAutospacing="0" w:line="360" w:lineRule="auto"/>
        <w:ind w:firstLine="420" w:firstLineChars="200"/>
        <w:rPr>
          <w:sz w:val="21"/>
          <w:szCs w:val="21"/>
        </w:rPr>
      </w:pPr>
      <w:bookmarkStart w:id="1166" w:name="_Toc351203606"/>
      <w:bookmarkStart w:id="1167" w:name="_Toc532377294"/>
      <w:r>
        <w:rPr>
          <w:rFonts w:hint="eastAsia"/>
          <w:sz w:val="21"/>
          <w:szCs w:val="21"/>
        </w:rPr>
        <w:t>16.3 第三人造成的违约</w:t>
      </w:r>
      <w:bookmarkEnd w:id="1166"/>
      <w:bookmarkEnd w:id="1167"/>
    </w:p>
    <w:p w14:paraId="3503DEF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在履行合同过程中，一方当事人因第三人的原因造成违约的，应当向对方当事人承担违约责任。一方当事人和第三人之间的纠纷，依照法律规定或者按照约定解决。</w:t>
      </w:r>
    </w:p>
    <w:p w14:paraId="18F7A8E6">
      <w:pPr>
        <w:pStyle w:val="6"/>
        <w:keepNext/>
        <w:keepLines/>
        <w:spacing w:before="156" w:beforeLines="50" w:beforeAutospacing="0" w:after="156" w:afterLines="50" w:afterAutospacing="0" w:line="360" w:lineRule="auto"/>
        <w:jc w:val="both"/>
        <w:rPr>
          <w:bCs w:val="0"/>
          <w:kern w:val="2"/>
          <w:sz w:val="21"/>
          <w:szCs w:val="21"/>
        </w:rPr>
      </w:pPr>
      <w:bookmarkStart w:id="1168" w:name="_Toc532375603"/>
      <w:bookmarkStart w:id="1169" w:name="_Toc337558823"/>
      <w:bookmarkStart w:id="1170" w:name="_Toc532377295"/>
      <w:bookmarkStart w:id="1171" w:name="_Toc296503116"/>
      <w:bookmarkStart w:id="1172" w:name="_Toc351203607"/>
      <w:bookmarkStart w:id="1173" w:name="_Toc296346617"/>
      <w:r>
        <w:rPr>
          <w:rFonts w:hint="eastAsia"/>
          <w:kern w:val="2"/>
          <w:sz w:val="21"/>
          <w:szCs w:val="21"/>
        </w:rPr>
        <w:t>17. 不可抗力</w:t>
      </w:r>
      <w:bookmarkEnd w:id="1168"/>
      <w:bookmarkEnd w:id="1169"/>
      <w:bookmarkEnd w:id="1170"/>
      <w:bookmarkEnd w:id="1171"/>
      <w:bookmarkEnd w:id="1172"/>
      <w:bookmarkEnd w:id="1173"/>
    </w:p>
    <w:p w14:paraId="2C2B19A3">
      <w:pPr>
        <w:pStyle w:val="7"/>
        <w:spacing w:before="0" w:beforeAutospacing="0" w:after="0" w:afterAutospacing="0" w:line="360" w:lineRule="auto"/>
        <w:ind w:firstLine="420" w:firstLineChars="200"/>
        <w:rPr>
          <w:sz w:val="21"/>
          <w:szCs w:val="21"/>
        </w:rPr>
      </w:pPr>
      <w:bookmarkStart w:id="1174" w:name="_Toc351203608"/>
      <w:bookmarkStart w:id="1175" w:name="_Toc532377296"/>
      <w:bookmarkStart w:id="1176" w:name="_Toc296503117"/>
      <w:bookmarkStart w:id="1177" w:name="_Toc296346618"/>
      <w:bookmarkStart w:id="1178" w:name="_Toc337558824"/>
      <w:r>
        <w:rPr>
          <w:rFonts w:hint="eastAsia"/>
          <w:sz w:val="21"/>
          <w:szCs w:val="21"/>
        </w:rPr>
        <w:t>17.1 不可抗力的确认</w:t>
      </w:r>
      <w:bookmarkEnd w:id="1174"/>
      <w:bookmarkEnd w:id="1175"/>
    </w:p>
    <w:bookmarkEnd w:id="1176"/>
    <w:bookmarkEnd w:id="1177"/>
    <w:bookmarkEnd w:id="1178"/>
    <w:p w14:paraId="3FF8D01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4E662D1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C12BC01">
      <w:pPr>
        <w:pStyle w:val="7"/>
        <w:spacing w:before="0" w:beforeAutospacing="0" w:after="0" w:afterAutospacing="0" w:line="360" w:lineRule="auto"/>
        <w:ind w:firstLine="420" w:firstLineChars="200"/>
        <w:rPr>
          <w:sz w:val="21"/>
          <w:szCs w:val="21"/>
        </w:rPr>
      </w:pPr>
      <w:bookmarkStart w:id="1179" w:name="_Toc532377297"/>
      <w:bookmarkStart w:id="1180" w:name="_Toc351203609"/>
      <w:bookmarkStart w:id="1181" w:name="_Toc337558825"/>
      <w:bookmarkStart w:id="1182" w:name="_Toc296346619"/>
      <w:bookmarkStart w:id="1183" w:name="_Toc296503118"/>
      <w:r>
        <w:rPr>
          <w:rFonts w:hint="eastAsia"/>
          <w:sz w:val="21"/>
          <w:szCs w:val="21"/>
        </w:rPr>
        <w:t>17.2 不可抗力的通知</w:t>
      </w:r>
      <w:bookmarkEnd w:id="1179"/>
      <w:bookmarkEnd w:id="1180"/>
    </w:p>
    <w:bookmarkEnd w:id="1181"/>
    <w:bookmarkEnd w:id="1182"/>
    <w:bookmarkEnd w:id="1183"/>
    <w:p w14:paraId="3AFAEFD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合同一方当事人遇到不可抗力事件，使其履行合同义务受到阻碍时，应立即通知合同另一方当事人和监理人，书面说明不可抗力和受阻碍的详细情况，并提供必要的证明。</w:t>
      </w:r>
    </w:p>
    <w:p w14:paraId="25CD807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14:paraId="7AAF0F48">
      <w:pPr>
        <w:pStyle w:val="7"/>
        <w:spacing w:before="0" w:beforeAutospacing="0" w:after="0" w:afterAutospacing="0" w:line="360" w:lineRule="auto"/>
        <w:ind w:firstLine="420" w:firstLineChars="200"/>
        <w:rPr>
          <w:sz w:val="21"/>
          <w:szCs w:val="21"/>
        </w:rPr>
      </w:pPr>
      <w:bookmarkStart w:id="1184" w:name="_Toc532377298"/>
      <w:r>
        <w:rPr>
          <w:rFonts w:hint="eastAsia"/>
          <w:sz w:val="21"/>
          <w:szCs w:val="21"/>
        </w:rPr>
        <w:t>17.3 不可抗力后果的承担</w:t>
      </w:r>
      <w:bookmarkEnd w:id="1184"/>
    </w:p>
    <w:p w14:paraId="018AF64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17.3.1 不可抗力引起的后果及造成的损失由合同当事人按照法律规定及合同约定各自承担。不可抗力发生前已完成的工程应当按照合同约定进行计量支付。</w:t>
      </w:r>
    </w:p>
    <w:p w14:paraId="7F179C0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17.3.2 不可抗力导致的人员伤亡、财产损失、费用增加和（或）工期延误等后果，由合同当事人按以下原则承担：</w:t>
      </w:r>
    </w:p>
    <w:p w14:paraId="5DED241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（1）永久工程、已运至施工现场的材料和工程设备的损坏，以及因工程损坏造成的第三人人员伤亡和财产损失由发包人承担；</w:t>
      </w:r>
    </w:p>
    <w:p w14:paraId="57DEFF4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（2）承包人施工设备的损坏由承包人承担；</w:t>
      </w:r>
    </w:p>
    <w:p w14:paraId="33A3BBE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（3）发包人和承包人承担各自人员伤亡和财产的损失；</w:t>
      </w:r>
    </w:p>
    <w:p w14:paraId="4ADA2C5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FA3B6B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（5）因不可抗力引起或将引起工期延误，发包人要求赶工的，由此增加的赶工费用由发包人承担；</w:t>
      </w:r>
    </w:p>
    <w:p w14:paraId="579A794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（6）承包人在停工期间按照发包人要求照管、清理和修复工程的费用由发包人承担。</w:t>
      </w:r>
    </w:p>
    <w:p w14:paraId="6D8C0DB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不可抗力发生后，合同当事人均应采取措施尽量避免和减少损失的扩大，任何一方当事人没有采取有效措施导致损失扩大的，应对扩大的损失承担责任。</w:t>
      </w:r>
    </w:p>
    <w:p w14:paraId="0DB40CC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因合同一方迟延履行合同义务，在迟延履行期间遭遇不可抗力的，不免除其违约责任。</w:t>
      </w:r>
    </w:p>
    <w:p w14:paraId="199F8CF7">
      <w:pPr>
        <w:pStyle w:val="7"/>
        <w:spacing w:before="0" w:beforeAutospacing="0" w:after="0" w:afterAutospacing="0" w:line="360" w:lineRule="auto"/>
        <w:ind w:firstLine="420" w:firstLineChars="200"/>
        <w:rPr>
          <w:sz w:val="21"/>
          <w:szCs w:val="21"/>
        </w:rPr>
      </w:pPr>
      <w:bookmarkStart w:id="1185" w:name="_Toc532377299"/>
      <w:bookmarkStart w:id="1186" w:name="_Toc351203611"/>
      <w:bookmarkStart w:id="1187" w:name="_Toc337558827"/>
      <w:r>
        <w:rPr>
          <w:rFonts w:hint="eastAsia"/>
          <w:sz w:val="21"/>
          <w:szCs w:val="21"/>
        </w:rPr>
        <w:t>17.4 因不可抗力解除合同</w:t>
      </w:r>
      <w:bookmarkEnd w:id="1185"/>
      <w:bookmarkEnd w:id="1186"/>
    </w:p>
    <w:bookmarkEnd w:id="1187"/>
    <w:p w14:paraId="4B6A00B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4B3B52C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（1）合同解除前承包人已完成工作的价款；</w:t>
      </w:r>
    </w:p>
    <w:p w14:paraId="78414A2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（2）承包人为工程订购的并已交付给承包人，或承包人有责任接受交付的材料、工程设备和其他物品的价款；</w:t>
      </w:r>
    </w:p>
    <w:p w14:paraId="4451A89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（3）发包人要求承包人退货或解除订货合同而产生的费用，或因不能退货或解除合同而产生的损失；</w:t>
      </w:r>
    </w:p>
    <w:p w14:paraId="558A535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（4）承包人撤离施工现场以及遣散承包人人员的费用；</w:t>
      </w:r>
    </w:p>
    <w:p w14:paraId="19EB2AF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（5）按照合同约定在合同解除前应支付给承包人的其他款项；</w:t>
      </w:r>
    </w:p>
    <w:p w14:paraId="78B2E81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（6）扣减承包人按照合同约定应向发包人支付的款项；</w:t>
      </w:r>
    </w:p>
    <w:p w14:paraId="498380E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（7）双方商定或确定的其他款项。</w:t>
      </w:r>
    </w:p>
    <w:p w14:paraId="63DF077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除专用合同条款另有约定外，合同解除后，发包人应在商定或确定上述款项后28天内完成上述款项的支付。</w:t>
      </w:r>
    </w:p>
    <w:p w14:paraId="34A5E85F">
      <w:pPr>
        <w:pStyle w:val="6"/>
        <w:keepNext/>
        <w:keepLines/>
        <w:spacing w:before="156" w:beforeLines="50" w:beforeAutospacing="0" w:after="156" w:afterLines="50" w:afterAutospacing="0" w:line="360" w:lineRule="auto"/>
        <w:jc w:val="both"/>
        <w:rPr>
          <w:bCs w:val="0"/>
          <w:kern w:val="2"/>
          <w:sz w:val="21"/>
          <w:szCs w:val="21"/>
        </w:rPr>
      </w:pPr>
      <w:bookmarkStart w:id="1188" w:name="_Toc532377300"/>
      <w:bookmarkStart w:id="1189" w:name="_Toc532375604"/>
      <w:bookmarkStart w:id="1190" w:name="_Toc351203612"/>
      <w:bookmarkStart w:id="1191" w:name="_Toc337558828"/>
      <w:bookmarkStart w:id="1192" w:name="_Toc296346621"/>
      <w:bookmarkStart w:id="1193" w:name="_Toc296503120"/>
      <w:r>
        <w:rPr>
          <w:rFonts w:hint="eastAsia"/>
          <w:kern w:val="2"/>
          <w:sz w:val="21"/>
          <w:szCs w:val="21"/>
        </w:rPr>
        <w:t>18. 保险</w:t>
      </w:r>
      <w:bookmarkEnd w:id="1188"/>
      <w:bookmarkEnd w:id="1189"/>
      <w:bookmarkEnd w:id="1190"/>
    </w:p>
    <w:bookmarkEnd w:id="1191"/>
    <w:bookmarkEnd w:id="1192"/>
    <w:bookmarkEnd w:id="1193"/>
    <w:p w14:paraId="0256D500">
      <w:pPr>
        <w:pStyle w:val="7"/>
        <w:spacing w:before="0" w:beforeAutospacing="0" w:after="0" w:afterAutospacing="0" w:line="360" w:lineRule="auto"/>
        <w:ind w:firstLine="420" w:firstLineChars="200"/>
        <w:rPr>
          <w:sz w:val="21"/>
          <w:szCs w:val="21"/>
        </w:rPr>
      </w:pPr>
      <w:bookmarkStart w:id="1194" w:name="_Toc351203613"/>
      <w:bookmarkStart w:id="1195" w:name="_Toc532377301"/>
      <w:bookmarkStart w:id="1196" w:name="_Toc296503121"/>
      <w:bookmarkStart w:id="1197" w:name="_Toc296346622"/>
      <w:bookmarkStart w:id="1198" w:name="_Toc337558829"/>
      <w:r>
        <w:rPr>
          <w:rFonts w:hint="eastAsia"/>
          <w:sz w:val="21"/>
          <w:szCs w:val="21"/>
        </w:rPr>
        <w:t>18.1 工程保险</w:t>
      </w:r>
      <w:bookmarkEnd w:id="1194"/>
      <w:bookmarkEnd w:id="1195"/>
    </w:p>
    <w:bookmarkEnd w:id="1196"/>
    <w:bookmarkEnd w:id="1197"/>
    <w:bookmarkEnd w:id="1198"/>
    <w:p w14:paraId="4ADC73B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除专用合同条款另有约定外，发包人应投保建筑工程一切险或安装工程一切险；发包人委托承包人投保的，因投保产生的保险费和其他相关费用由发包人承担。</w:t>
      </w:r>
    </w:p>
    <w:p w14:paraId="27471414">
      <w:pPr>
        <w:pStyle w:val="7"/>
        <w:spacing w:before="0" w:beforeAutospacing="0" w:after="0" w:afterAutospacing="0" w:line="360" w:lineRule="auto"/>
        <w:ind w:firstLine="420" w:firstLineChars="200"/>
        <w:rPr>
          <w:sz w:val="21"/>
          <w:szCs w:val="21"/>
        </w:rPr>
      </w:pPr>
      <w:bookmarkStart w:id="1199" w:name="_Toc532377302"/>
      <w:bookmarkStart w:id="1200" w:name="_Toc351203614"/>
      <w:bookmarkStart w:id="1201" w:name="_Toc337558830"/>
      <w:bookmarkStart w:id="1202" w:name="_Toc296346623"/>
      <w:bookmarkStart w:id="1203" w:name="_Toc296503122"/>
      <w:r>
        <w:rPr>
          <w:rFonts w:hint="eastAsia"/>
          <w:sz w:val="21"/>
          <w:szCs w:val="21"/>
        </w:rPr>
        <w:t>18.2 工伤保险</w:t>
      </w:r>
      <w:bookmarkEnd w:id="1199"/>
      <w:bookmarkEnd w:id="1200"/>
    </w:p>
    <w:bookmarkEnd w:id="1201"/>
    <w:bookmarkEnd w:id="1202"/>
    <w:bookmarkEnd w:id="1203"/>
    <w:p w14:paraId="149601A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18.2.1 发包人应依照法律规定参加工伤保险，并为在施工现场的全部员工办理工伤保险，缴纳工伤保险费，并要求监理人及由发包人为履行合同聘请的第三方依法参加工伤保险。</w:t>
      </w:r>
    </w:p>
    <w:p w14:paraId="7253E36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18.2.2 承包人应依照法律规定参加工伤保险，并为其履行合同的全部员工办理工伤保险，缴纳工伤保险费，并要求分包人及由承包人为履行合同聘请的第三方依法参加工伤保险。</w:t>
      </w:r>
    </w:p>
    <w:p w14:paraId="716868DA">
      <w:pPr>
        <w:pStyle w:val="7"/>
        <w:spacing w:before="0" w:beforeAutospacing="0" w:after="0" w:afterAutospacing="0" w:line="360" w:lineRule="auto"/>
        <w:ind w:firstLine="420" w:firstLineChars="200"/>
        <w:rPr>
          <w:sz w:val="21"/>
          <w:szCs w:val="21"/>
        </w:rPr>
      </w:pPr>
      <w:bookmarkStart w:id="1204" w:name="_Toc532377303"/>
      <w:bookmarkStart w:id="1205" w:name="_Toc351203615"/>
      <w:bookmarkStart w:id="1206" w:name="_Toc337558831"/>
      <w:bookmarkStart w:id="1207" w:name="_Toc296503125"/>
      <w:bookmarkStart w:id="1208" w:name="_Toc296346626"/>
      <w:r>
        <w:rPr>
          <w:rFonts w:hint="eastAsia"/>
          <w:sz w:val="21"/>
          <w:szCs w:val="21"/>
        </w:rPr>
        <w:t>18.3其他保险</w:t>
      </w:r>
      <w:bookmarkEnd w:id="1204"/>
      <w:bookmarkEnd w:id="1205"/>
    </w:p>
    <w:bookmarkEnd w:id="1206"/>
    <w:bookmarkEnd w:id="1207"/>
    <w:bookmarkEnd w:id="1208"/>
    <w:p w14:paraId="780B513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发包人和承包人可以为其施工现场的全部人员办理意外伤害保险并支付保险费，包括其员工及为履行合同聘请的第三方的人员，具体事项由合同当事人在专用合同条款约定。</w:t>
      </w:r>
    </w:p>
    <w:p w14:paraId="4F15633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除专用合同条款另有约定外，承包人应为其施工设备等办理财产保险。</w:t>
      </w:r>
    </w:p>
    <w:p w14:paraId="068FC91E">
      <w:pPr>
        <w:pStyle w:val="7"/>
        <w:spacing w:before="0" w:beforeAutospacing="0" w:after="0" w:afterAutospacing="0" w:line="360" w:lineRule="auto"/>
        <w:ind w:firstLine="420" w:firstLineChars="200"/>
        <w:rPr>
          <w:sz w:val="21"/>
          <w:szCs w:val="21"/>
        </w:rPr>
      </w:pPr>
      <w:bookmarkStart w:id="1209" w:name="_Toc532377304"/>
      <w:bookmarkStart w:id="1210" w:name="_Toc351203616"/>
      <w:r>
        <w:rPr>
          <w:rFonts w:hint="eastAsia"/>
          <w:sz w:val="21"/>
          <w:szCs w:val="21"/>
        </w:rPr>
        <w:t>18.4持续保险</w:t>
      </w:r>
      <w:bookmarkEnd w:id="1209"/>
      <w:bookmarkEnd w:id="1210"/>
    </w:p>
    <w:p w14:paraId="326FD61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合同当事人应与保险人保持联系，使保险人能够随时了解工程实施中的变动，并确保按保险合同条款要求持续保险。</w:t>
      </w:r>
    </w:p>
    <w:p w14:paraId="6F5C194A">
      <w:pPr>
        <w:pStyle w:val="7"/>
        <w:spacing w:before="0" w:beforeAutospacing="0" w:after="0" w:afterAutospacing="0" w:line="360" w:lineRule="auto"/>
        <w:ind w:firstLine="420" w:firstLineChars="200"/>
        <w:rPr>
          <w:sz w:val="21"/>
          <w:szCs w:val="21"/>
        </w:rPr>
      </w:pPr>
      <w:bookmarkStart w:id="1211" w:name="_Toc532377305"/>
      <w:bookmarkStart w:id="1212" w:name="_Toc351203617"/>
      <w:bookmarkStart w:id="1213" w:name="_Toc296503126"/>
      <w:bookmarkStart w:id="1214" w:name="_Toc337558832"/>
      <w:bookmarkStart w:id="1215" w:name="_Toc296346627"/>
      <w:r>
        <w:rPr>
          <w:rFonts w:hint="eastAsia"/>
          <w:sz w:val="21"/>
          <w:szCs w:val="21"/>
        </w:rPr>
        <w:t>18.5 保险凭证</w:t>
      </w:r>
      <w:bookmarkEnd w:id="1211"/>
      <w:bookmarkEnd w:id="1212"/>
    </w:p>
    <w:bookmarkEnd w:id="1213"/>
    <w:bookmarkEnd w:id="1214"/>
    <w:bookmarkEnd w:id="1215"/>
    <w:p w14:paraId="64A0A83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合同当事人应及时向另一方当事人提交其已投保的各项保险的凭证和保险单复印件。</w:t>
      </w:r>
    </w:p>
    <w:p w14:paraId="1EAD8590">
      <w:pPr>
        <w:pStyle w:val="7"/>
        <w:spacing w:before="0" w:beforeAutospacing="0" w:after="0" w:afterAutospacing="0" w:line="360" w:lineRule="auto"/>
        <w:ind w:firstLine="420" w:firstLineChars="200"/>
        <w:rPr>
          <w:sz w:val="21"/>
          <w:szCs w:val="21"/>
        </w:rPr>
      </w:pPr>
      <w:bookmarkStart w:id="1216" w:name="_Toc532377306"/>
      <w:bookmarkStart w:id="1217" w:name="_Toc351203618"/>
      <w:bookmarkStart w:id="1218" w:name="_Toc337558833"/>
      <w:bookmarkStart w:id="1219" w:name="_Toc296346628"/>
      <w:bookmarkStart w:id="1220" w:name="_Toc296503127"/>
      <w:r>
        <w:rPr>
          <w:rFonts w:hint="eastAsia"/>
          <w:sz w:val="21"/>
          <w:szCs w:val="21"/>
        </w:rPr>
        <w:t>18.6 未按约定投保的补救</w:t>
      </w:r>
      <w:bookmarkEnd w:id="1216"/>
      <w:bookmarkEnd w:id="1217"/>
    </w:p>
    <w:bookmarkEnd w:id="1218"/>
    <w:bookmarkEnd w:id="1219"/>
    <w:bookmarkEnd w:id="1220"/>
    <w:p w14:paraId="0D5E433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18.6.1发包人未按合同约定办理保险，或未能使保险持续有效的，则承包人可代为办理，所需费用由发包人承担。发包人未按合同约定办理保险，导致未能得到足额赔偿的，由发包人负责补足。</w:t>
      </w:r>
    </w:p>
    <w:p w14:paraId="029546D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18.6.2承包人未按合同约定办理保险，或未能使保险持续有效的，则发包人可代为办理，所需费用由承包人承担。承包人未按合同约定办理保险，导致未能得到足额赔偿的，由承包人负责补足。</w:t>
      </w:r>
    </w:p>
    <w:p w14:paraId="2AE99609">
      <w:pPr>
        <w:pStyle w:val="7"/>
        <w:spacing w:before="0" w:beforeAutospacing="0" w:after="0" w:afterAutospacing="0" w:line="360" w:lineRule="auto"/>
        <w:ind w:firstLine="420" w:firstLineChars="200"/>
        <w:rPr>
          <w:sz w:val="21"/>
          <w:szCs w:val="21"/>
        </w:rPr>
      </w:pPr>
      <w:bookmarkStart w:id="1221" w:name="_Toc532377307"/>
      <w:bookmarkStart w:id="1222" w:name="_Toc351203619"/>
      <w:bookmarkStart w:id="1223" w:name="_Toc337558834"/>
      <w:r>
        <w:rPr>
          <w:rFonts w:hint="eastAsia"/>
          <w:sz w:val="21"/>
          <w:szCs w:val="21"/>
        </w:rPr>
        <w:t>18.7 通知义务</w:t>
      </w:r>
      <w:bookmarkEnd w:id="1221"/>
      <w:bookmarkEnd w:id="1222"/>
    </w:p>
    <w:bookmarkEnd w:id="1223"/>
    <w:p w14:paraId="2C6C13F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66749A2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保险事故发生时，投保人应按照保险合同规定的条件和期限及时向保险人报告。发包人和承包人应当在知道保险事故发生后及时通知对方。</w:t>
      </w:r>
    </w:p>
    <w:p w14:paraId="39D879D9">
      <w:pPr>
        <w:pStyle w:val="6"/>
        <w:keepNext/>
        <w:keepLines/>
        <w:spacing w:before="156" w:beforeLines="50" w:beforeAutospacing="0" w:after="156" w:afterLines="50" w:afterAutospacing="0" w:line="360" w:lineRule="auto"/>
        <w:jc w:val="both"/>
        <w:rPr>
          <w:bCs w:val="0"/>
          <w:kern w:val="2"/>
          <w:sz w:val="21"/>
          <w:szCs w:val="21"/>
        </w:rPr>
      </w:pPr>
      <w:bookmarkStart w:id="1224" w:name="_Toc532377308"/>
      <w:bookmarkStart w:id="1225" w:name="_Toc532375605"/>
      <w:r>
        <w:rPr>
          <w:rFonts w:hint="eastAsia"/>
          <w:kern w:val="2"/>
          <w:sz w:val="21"/>
          <w:szCs w:val="21"/>
        </w:rPr>
        <w:t>19. 索赔</w:t>
      </w:r>
      <w:bookmarkEnd w:id="1224"/>
      <w:bookmarkEnd w:id="1225"/>
    </w:p>
    <w:p w14:paraId="6D2A397B">
      <w:pPr>
        <w:pStyle w:val="7"/>
        <w:spacing w:before="0" w:beforeAutospacing="0" w:after="0" w:afterAutospacing="0" w:line="360" w:lineRule="auto"/>
        <w:ind w:firstLine="420" w:firstLineChars="200"/>
        <w:rPr>
          <w:sz w:val="21"/>
          <w:szCs w:val="21"/>
        </w:rPr>
      </w:pPr>
      <w:bookmarkStart w:id="1226" w:name="_Toc532377309"/>
      <w:r>
        <w:rPr>
          <w:rFonts w:hint="eastAsia"/>
          <w:sz w:val="21"/>
          <w:szCs w:val="21"/>
        </w:rPr>
        <w:t>19.1承包人的索赔</w:t>
      </w:r>
      <w:bookmarkEnd w:id="1226"/>
    </w:p>
    <w:p w14:paraId="03C9D32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根据合同约定，承包人认为有权得到追加付款和（或）延长工期的，应按以下程序向发包人提出索赔：</w:t>
      </w:r>
    </w:p>
    <w:p w14:paraId="072DC93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67390E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（2）承包人应在发出索赔意向通知书后28天内，向监理人正式递交索赔报告；索赔报告应详细说明索赔理由以及要求追加的付款金额和（或）延长的工期，并附必要的记录和证明材料；</w:t>
      </w:r>
    </w:p>
    <w:p w14:paraId="6CDD769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（3）索赔事件具有持续影响的，承包人应按合理时间间隔继续递交延续索赔通知，说明持续影响的实际情况和记录，列出累计的追加付款金额和（或）工期延长天数；</w:t>
      </w:r>
    </w:p>
    <w:p w14:paraId="24C7549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（4）在索赔事件影响结束后28天内，承包人应向监理人递交最终索赔报告，说明最终要求索赔的追加付款金额和（或）延长的工期，并附必要的记录和证明材料。</w:t>
      </w:r>
    </w:p>
    <w:p w14:paraId="25ADA5CD">
      <w:pPr>
        <w:pStyle w:val="7"/>
        <w:spacing w:before="0" w:beforeAutospacing="0" w:after="0" w:afterAutospacing="0" w:line="360" w:lineRule="auto"/>
        <w:ind w:firstLine="420" w:firstLineChars="200"/>
        <w:rPr>
          <w:sz w:val="21"/>
          <w:szCs w:val="21"/>
        </w:rPr>
      </w:pPr>
      <w:bookmarkStart w:id="1227" w:name="_Toc351203622"/>
      <w:bookmarkStart w:id="1228" w:name="_Toc532377310"/>
      <w:bookmarkStart w:id="1229" w:name="_Toc337558837"/>
      <w:bookmarkStart w:id="1230" w:name="_Toc296346643"/>
      <w:bookmarkStart w:id="1231" w:name="_Toc296503142"/>
      <w:r>
        <w:rPr>
          <w:rFonts w:hint="eastAsia"/>
          <w:sz w:val="21"/>
          <w:szCs w:val="21"/>
        </w:rPr>
        <w:t>19.2 对承包人索赔的处理</w:t>
      </w:r>
      <w:bookmarkEnd w:id="1227"/>
      <w:bookmarkEnd w:id="1228"/>
    </w:p>
    <w:bookmarkEnd w:id="1229"/>
    <w:bookmarkEnd w:id="1230"/>
    <w:bookmarkEnd w:id="1231"/>
    <w:p w14:paraId="24F13D4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对承包人索赔的处理如下：</w:t>
      </w:r>
    </w:p>
    <w:p w14:paraId="607A131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（1）监理人应在收到索赔报告后14天内完成审查并报送发包人。监理人对索赔报告存在异议的，有权要求承包人提交全部原始记录副本；</w:t>
      </w:r>
    </w:p>
    <w:p w14:paraId="722319F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（2）发包人应在监理人收到索赔报告或有关索赔的进一步证明材料后的28天内，由监理人向承包人出具经发包人签认的索赔处理结果。发包人逾期答复的，则视为认可承包人的索赔要求；</w:t>
      </w:r>
    </w:p>
    <w:p w14:paraId="509C13D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（3）承包人接受索赔处理结果的，索赔款项在当期进度款中进行支付；承包人不接受索赔处理结果的，按照第20条〔争议解决〕约定处理。</w:t>
      </w:r>
    </w:p>
    <w:p w14:paraId="2BCAEEEE">
      <w:pPr>
        <w:pStyle w:val="7"/>
        <w:spacing w:before="0" w:beforeAutospacing="0" w:after="0" w:afterAutospacing="0" w:line="360" w:lineRule="auto"/>
        <w:ind w:firstLine="420" w:firstLineChars="200"/>
        <w:rPr>
          <w:sz w:val="21"/>
          <w:szCs w:val="21"/>
        </w:rPr>
      </w:pPr>
      <w:bookmarkStart w:id="1232" w:name="_Toc351203623"/>
      <w:bookmarkStart w:id="1233" w:name="_Toc532377311"/>
      <w:bookmarkStart w:id="1234" w:name="_Toc296346644"/>
      <w:bookmarkStart w:id="1235" w:name="_Toc296503143"/>
      <w:bookmarkStart w:id="1236" w:name="_Toc337558838"/>
      <w:r>
        <w:rPr>
          <w:rFonts w:hint="eastAsia"/>
          <w:sz w:val="21"/>
          <w:szCs w:val="21"/>
        </w:rPr>
        <w:t>19.3发包人的索赔</w:t>
      </w:r>
      <w:bookmarkEnd w:id="1232"/>
      <w:bookmarkEnd w:id="1233"/>
    </w:p>
    <w:bookmarkEnd w:id="1234"/>
    <w:bookmarkEnd w:id="1235"/>
    <w:bookmarkEnd w:id="1236"/>
    <w:p w14:paraId="04C16F4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根据合同约定，发包人认为有权得到赔付金额和（或）延长缺陷责任期的，监理人应向承包人发出通知并附有详细的证明。</w:t>
      </w:r>
    </w:p>
    <w:p w14:paraId="62A0206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4F1B69CD">
      <w:pPr>
        <w:pStyle w:val="7"/>
        <w:spacing w:before="0" w:beforeAutospacing="0" w:after="0" w:afterAutospacing="0" w:line="360" w:lineRule="auto"/>
        <w:ind w:firstLine="420" w:firstLineChars="200"/>
        <w:rPr>
          <w:sz w:val="21"/>
          <w:szCs w:val="21"/>
        </w:rPr>
      </w:pPr>
      <w:bookmarkStart w:id="1237" w:name="_Toc351203624"/>
      <w:bookmarkStart w:id="1238" w:name="_Toc532377312"/>
      <w:bookmarkStart w:id="1239" w:name="_Toc296503144"/>
      <w:bookmarkStart w:id="1240" w:name="_Toc296346645"/>
      <w:bookmarkStart w:id="1241" w:name="_Toc337558839"/>
      <w:r>
        <w:rPr>
          <w:rFonts w:hint="eastAsia"/>
          <w:sz w:val="21"/>
          <w:szCs w:val="21"/>
        </w:rPr>
        <w:t>19.4 对发包人索赔的处理</w:t>
      </w:r>
      <w:bookmarkEnd w:id="1237"/>
      <w:bookmarkEnd w:id="1238"/>
    </w:p>
    <w:bookmarkEnd w:id="1239"/>
    <w:bookmarkEnd w:id="1240"/>
    <w:bookmarkEnd w:id="1241"/>
    <w:p w14:paraId="5DB83B9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对发包人索赔的处理如下：</w:t>
      </w:r>
    </w:p>
    <w:p w14:paraId="409F890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（1）承包人收到发包人提交的索赔报告后，应及时审查索赔报告的内容、查验发包人证明材料；</w:t>
      </w:r>
    </w:p>
    <w:p w14:paraId="667B171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（2）承包人应在收到索赔报告或有关索赔的进一步证明材料后28天内，将索赔处理结果答复发包人。如果承包人未在上述期限内作出答复的，则视为对发包人索赔要求的认可；</w:t>
      </w:r>
    </w:p>
    <w:p w14:paraId="3798ACA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（3）承包人接受索赔处理结果的，发包人可从应支付给承包人的合同价款中扣除赔付的金额或延长缺陷责任期；发包人不接受索赔处理结果的，按第20条〔争议解决〕约定处理。</w:t>
      </w:r>
    </w:p>
    <w:p w14:paraId="390F13C4">
      <w:pPr>
        <w:pStyle w:val="7"/>
        <w:spacing w:before="0" w:beforeAutospacing="0" w:after="0" w:afterAutospacing="0" w:line="360" w:lineRule="auto"/>
        <w:ind w:firstLine="420" w:firstLineChars="200"/>
        <w:rPr>
          <w:b w:val="0"/>
          <w:sz w:val="21"/>
          <w:szCs w:val="21"/>
        </w:rPr>
      </w:pPr>
      <w:bookmarkStart w:id="1242" w:name="_Toc351203625"/>
      <w:bookmarkStart w:id="1243" w:name="_Toc532377313"/>
      <w:r>
        <w:rPr>
          <w:rFonts w:hint="eastAsia"/>
          <w:b w:val="0"/>
          <w:sz w:val="21"/>
          <w:szCs w:val="21"/>
        </w:rPr>
        <w:t>19.5 提出索赔的期限</w:t>
      </w:r>
      <w:bookmarkEnd w:id="1242"/>
      <w:bookmarkEnd w:id="1243"/>
    </w:p>
    <w:p w14:paraId="7AD59D0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（1）承包人按第14.2款〔竣工结算审核〕约定接收竣工付款证书后，应被视为已无权再提出在工程接收证书颁发前所发生的任何索赔。</w:t>
      </w:r>
    </w:p>
    <w:p w14:paraId="5A97ECB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（2）承包人按第14.4款〔最终结清〕提交的最终结清申请单中，只限于提出工程接收证书颁发后发生的索赔。提出索赔的期限自接受最终结清证书时终止。</w:t>
      </w:r>
    </w:p>
    <w:p w14:paraId="20F02668">
      <w:pPr>
        <w:pStyle w:val="6"/>
        <w:keepNext/>
        <w:keepLines/>
        <w:spacing w:before="156" w:beforeLines="50" w:beforeAutospacing="0" w:after="156" w:afterLines="50" w:afterAutospacing="0" w:line="360" w:lineRule="auto"/>
        <w:jc w:val="both"/>
        <w:rPr>
          <w:bCs w:val="0"/>
          <w:kern w:val="2"/>
          <w:sz w:val="21"/>
          <w:szCs w:val="21"/>
        </w:rPr>
      </w:pPr>
      <w:bookmarkStart w:id="1244" w:name="_Toc532377314"/>
      <w:bookmarkStart w:id="1245" w:name="_Toc351203626"/>
      <w:bookmarkStart w:id="1246" w:name="_Toc532375606"/>
      <w:r>
        <w:rPr>
          <w:rFonts w:hint="eastAsia"/>
          <w:kern w:val="2"/>
          <w:sz w:val="21"/>
          <w:szCs w:val="21"/>
        </w:rPr>
        <w:t>20</w:t>
      </w:r>
      <w:bookmarkStart w:id="1247" w:name="_Toc296346647"/>
      <w:bookmarkStart w:id="1248" w:name="_Toc337558840"/>
      <w:bookmarkStart w:id="1249" w:name="_Toc296503146"/>
      <w:r>
        <w:rPr>
          <w:rFonts w:hint="eastAsia"/>
          <w:kern w:val="2"/>
          <w:sz w:val="21"/>
          <w:szCs w:val="21"/>
        </w:rPr>
        <w:t>. 争议解决</w:t>
      </w:r>
      <w:bookmarkEnd w:id="1244"/>
      <w:bookmarkEnd w:id="1245"/>
      <w:bookmarkEnd w:id="1246"/>
    </w:p>
    <w:bookmarkEnd w:id="1247"/>
    <w:bookmarkEnd w:id="1248"/>
    <w:bookmarkEnd w:id="1249"/>
    <w:p w14:paraId="79FF570F">
      <w:pPr>
        <w:pStyle w:val="7"/>
        <w:spacing w:before="0" w:beforeAutospacing="0" w:after="0" w:afterAutospacing="0" w:line="360" w:lineRule="auto"/>
        <w:ind w:firstLine="420" w:firstLineChars="200"/>
        <w:rPr>
          <w:sz w:val="21"/>
          <w:szCs w:val="21"/>
        </w:rPr>
      </w:pPr>
      <w:bookmarkStart w:id="1250" w:name="_Toc351203627"/>
      <w:bookmarkStart w:id="1251" w:name="_Toc532377315"/>
      <w:bookmarkStart w:id="1252" w:name="_Toc296346648"/>
      <w:bookmarkStart w:id="1253" w:name="_Toc337558841"/>
      <w:bookmarkStart w:id="1254" w:name="_Toc296503147"/>
      <w:r>
        <w:rPr>
          <w:rFonts w:hint="eastAsia"/>
          <w:sz w:val="21"/>
          <w:szCs w:val="21"/>
        </w:rPr>
        <w:t>20.1和解</w:t>
      </w:r>
      <w:bookmarkEnd w:id="1250"/>
      <w:bookmarkEnd w:id="1251"/>
    </w:p>
    <w:bookmarkEnd w:id="1252"/>
    <w:bookmarkEnd w:id="1253"/>
    <w:bookmarkEnd w:id="1254"/>
    <w:p w14:paraId="465E5D7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合同当事人可以就争议自行和解，自行和解达成协议的经双方签名并盖章后作为合同补充文件，双方均应遵照执行。</w:t>
      </w:r>
    </w:p>
    <w:p w14:paraId="37C5B5E8">
      <w:pPr>
        <w:pStyle w:val="7"/>
        <w:spacing w:before="0" w:beforeAutospacing="0" w:after="0" w:afterAutospacing="0" w:line="360" w:lineRule="auto"/>
        <w:ind w:firstLine="420" w:firstLineChars="200"/>
        <w:rPr>
          <w:sz w:val="21"/>
          <w:szCs w:val="21"/>
        </w:rPr>
      </w:pPr>
      <w:bookmarkStart w:id="1255" w:name="_Toc351203628"/>
      <w:bookmarkStart w:id="1256" w:name="_Toc532377316"/>
      <w:r>
        <w:rPr>
          <w:rFonts w:hint="eastAsia"/>
          <w:sz w:val="21"/>
          <w:szCs w:val="21"/>
        </w:rPr>
        <w:t>20</w:t>
      </w:r>
      <w:bookmarkStart w:id="1257" w:name="_Toc337558842"/>
      <w:bookmarkStart w:id="1258" w:name="_Toc296346649"/>
      <w:bookmarkStart w:id="1259" w:name="_Toc296503148"/>
      <w:r>
        <w:rPr>
          <w:rFonts w:hint="eastAsia"/>
          <w:sz w:val="21"/>
          <w:szCs w:val="21"/>
        </w:rPr>
        <w:t>.2调解</w:t>
      </w:r>
      <w:bookmarkEnd w:id="1255"/>
      <w:bookmarkEnd w:id="1256"/>
    </w:p>
    <w:bookmarkEnd w:id="1257"/>
    <w:bookmarkEnd w:id="1258"/>
    <w:bookmarkEnd w:id="1259"/>
    <w:p w14:paraId="5681CB6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合同当事人可以就争议请求建设行政主管部门、行业协会或其他第三方进行调解，调解达成协议的，经双方签名并盖章后作为合同补充文件，双方均应遵照执行。</w:t>
      </w:r>
    </w:p>
    <w:p w14:paraId="64BC84E8">
      <w:pPr>
        <w:pStyle w:val="7"/>
        <w:spacing w:before="0" w:beforeAutospacing="0" w:after="0" w:afterAutospacing="0" w:line="360" w:lineRule="auto"/>
        <w:ind w:firstLine="420" w:firstLineChars="200"/>
        <w:rPr>
          <w:sz w:val="21"/>
          <w:szCs w:val="21"/>
        </w:rPr>
      </w:pPr>
      <w:bookmarkStart w:id="1260" w:name="_Toc351203629"/>
      <w:bookmarkStart w:id="1261" w:name="_Toc532377317"/>
      <w:bookmarkStart w:id="1262" w:name="_Toc296503149"/>
      <w:bookmarkStart w:id="1263" w:name="_Toc337558843"/>
      <w:bookmarkStart w:id="1264" w:name="_Toc296346650"/>
      <w:r>
        <w:rPr>
          <w:rFonts w:hint="eastAsia"/>
          <w:sz w:val="21"/>
          <w:szCs w:val="21"/>
        </w:rPr>
        <w:t>20.3争议评审</w:t>
      </w:r>
      <w:bookmarkEnd w:id="1260"/>
      <w:bookmarkEnd w:id="1261"/>
    </w:p>
    <w:bookmarkEnd w:id="1262"/>
    <w:bookmarkEnd w:id="1263"/>
    <w:bookmarkEnd w:id="1264"/>
    <w:p w14:paraId="78ADDD6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合同当事人在专用合同条款中约定采取争议评审方式解决争议以及评审规则，并按下列约定执行： </w:t>
      </w:r>
    </w:p>
    <w:p w14:paraId="2C0C69F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20.3.1 争议评审小组的确定</w:t>
      </w:r>
    </w:p>
    <w:p w14:paraId="4F84FF0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合同当事人可以共同选择一名或三名争议评审员，组成争议评审小组。除专用合同条款另有约定外，合同当事人应当自合同签订后28天内，或者争议发生后14天内，选定争议评审员。</w:t>
      </w:r>
    </w:p>
    <w:p w14:paraId="26B2909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39F688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除专用合同条款另有约定外，评审员报酬由发包人和承包人各承担一半。</w:t>
      </w:r>
    </w:p>
    <w:p w14:paraId="2730C38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20.3.2 争议评审小组的决定</w:t>
      </w:r>
    </w:p>
    <w:p w14:paraId="1018695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21A131F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20.3.3 争议评审小组决定的效力</w:t>
      </w:r>
    </w:p>
    <w:p w14:paraId="0D81F2E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争议评审小组作出的书面决定经合同当事人签名确认后，对双方具有约束力，双方应遵照执行。</w:t>
      </w:r>
    </w:p>
    <w:p w14:paraId="3BE77C2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任何一方当事人不接受争议评审小组决定或不履行争议评审小组决定的，双方可选择采用其他争议解决方式。</w:t>
      </w:r>
    </w:p>
    <w:p w14:paraId="2019027A">
      <w:pPr>
        <w:pStyle w:val="7"/>
        <w:spacing w:before="0" w:beforeAutospacing="0" w:after="0" w:afterAutospacing="0" w:line="360" w:lineRule="auto"/>
        <w:ind w:firstLine="420" w:firstLineChars="200"/>
        <w:rPr>
          <w:sz w:val="21"/>
          <w:szCs w:val="21"/>
        </w:rPr>
      </w:pPr>
      <w:bookmarkStart w:id="1265" w:name="_Toc351203630"/>
      <w:bookmarkStart w:id="1266" w:name="_Toc532377318"/>
      <w:bookmarkStart w:id="1267" w:name="_Toc337558844"/>
      <w:bookmarkStart w:id="1268" w:name="_Toc296346651"/>
      <w:bookmarkStart w:id="1269" w:name="_Toc296503150"/>
      <w:r>
        <w:rPr>
          <w:rFonts w:hint="eastAsia"/>
          <w:sz w:val="21"/>
          <w:szCs w:val="21"/>
        </w:rPr>
        <w:t>20.4仲裁或诉讼</w:t>
      </w:r>
      <w:bookmarkEnd w:id="1265"/>
      <w:bookmarkEnd w:id="1266"/>
    </w:p>
    <w:bookmarkEnd w:id="1267"/>
    <w:bookmarkEnd w:id="1268"/>
    <w:bookmarkEnd w:id="1269"/>
    <w:p w14:paraId="44972BA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因合同及合同有关事项产生的争议，合同当事人可以在专用合同条款中约定以下一种方式解决争议：</w:t>
      </w:r>
    </w:p>
    <w:p w14:paraId="1EBC78B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（1）向约定的仲裁委员会申请仲裁；</w:t>
      </w:r>
    </w:p>
    <w:p w14:paraId="06B6970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（2）向有管辖权的人民法院起诉。</w:t>
      </w:r>
    </w:p>
    <w:p w14:paraId="00E7318C">
      <w:pPr>
        <w:pStyle w:val="7"/>
        <w:spacing w:before="0" w:beforeAutospacing="0" w:after="0" w:afterAutospacing="0" w:line="360" w:lineRule="auto"/>
        <w:ind w:firstLine="420" w:firstLineChars="200"/>
        <w:rPr>
          <w:b w:val="0"/>
          <w:sz w:val="21"/>
          <w:szCs w:val="21"/>
        </w:rPr>
      </w:pPr>
      <w:bookmarkStart w:id="1270" w:name="_Toc532377319"/>
      <w:bookmarkStart w:id="1271" w:name="_Toc351203631"/>
      <w:bookmarkStart w:id="1272" w:name="_Toc296503152"/>
      <w:bookmarkStart w:id="1273" w:name="_Toc337558845"/>
      <w:bookmarkStart w:id="1274" w:name="_Toc296346653"/>
      <w:r>
        <w:rPr>
          <w:rFonts w:hint="eastAsia"/>
          <w:b w:val="0"/>
          <w:sz w:val="21"/>
          <w:szCs w:val="21"/>
        </w:rPr>
        <w:t>20.5争议解决条款效力</w:t>
      </w:r>
      <w:bookmarkEnd w:id="1270"/>
      <w:bookmarkEnd w:id="1271"/>
    </w:p>
    <w:bookmarkEnd w:id="1272"/>
    <w:bookmarkEnd w:id="1273"/>
    <w:bookmarkEnd w:id="1274"/>
    <w:p w14:paraId="71AE6BE5">
      <w:pPr>
        <w:spacing w:line="360" w:lineRule="auto"/>
        <w:ind w:firstLine="420" w:firstLineChars="200"/>
        <w:jc w:val="left"/>
        <w:rPr>
          <w:rFonts w:ascii="宋体" w:hAnsi="宋体"/>
          <w:kern w:val="0"/>
          <w:szCs w:val="21"/>
        </w:rPr>
      </w:pPr>
      <w:r>
        <w:rPr>
          <w:rFonts w:hint="eastAsia" w:ascii="宋体" w:hAnsi="宋体"/>
          <w:kern w:val="0"/>
          <w:szCs w:val="21"/>
        </w:rPr>
        <w:t>合同有关争议解决的条款独立存在，合同的变更、解除、终止、无效或者被撤销均不影响其效力。</w:t>
      </w:r>
    </w:p>
    <w:p w14:paraId="1D9BA69E">
      <w:pPr>
        <w:keepNext/>
        <w:keepLines/>
        <w:snapToGrid w:val="0"/>
        <w:spacing w:before="260" w:after="260" w:line="360" w:lineRule="auto"/>
        <w:outlineLvl w:val="2"/>
        <w:rPr>
          <w:rFonts w:ascii="宋体" w:hAnsi="宋体"/>
          <w:b/>
          <w:bCs/>
          <w:szCs w:val="21"/>
          <w:lang w:val="zh-CN"/>
        </w:rPr>
      </w:pPr>
      <w:r>
        <w:rPr>
          <w:rFonts w:hint="eastAsia" w:ascii="宋体" w:hAnsi="宋体"/>
          <w:b/>
          <w:bCs/>
          <w:szCs w:val="21"/>
          <w:lang w:val="zh-CN"/>
        </w:rPr>
        <w:br w:type="page"/>
      </w:r>
    </w:p>
    <w:p w14:paraId="2D0F1FEE">
      <w:pPr>
        <w:pStyle w:val="5"/>
        <w:jc w:val="center"/>
        <w:rPr>
          <w:rFonts w:ascii="宋体" w:hAnsi="宋体"/>
          <w:sz w:val="44"/>
          <w:szCs w:val="44"/>
        </w:rPr>
      </w:pPr>
      <w:bookmarkStart w:id="1275" w:name="_Toc532377320"/>
      <w:bookmarkStart w:id="1276" w:name="_Toc19066"/>
      <w:bookmarkStart w:id="1277" w:name="_Toc529388290"/>
      <w:bookmarkStart w:id="1278" w:name="_Toc532375607"/>
      <w:bookmarkStart w:id="1279" w:name="_Toc29664"/>
      <w:r>
        <w:rPr>
          <w:rFonts w:hint="eastAsia" w:ascii="宋体" w:hAnsi="宋体"/>
          <w:sz w:val="44"/>
          <w:szCs w:val="44"/>
        </w:rPr>
        <w:t>第三部分 专用合同条款</w:t>
      </w:r>
      <w:bookmarkEnd w:id="1275"/>
      <w:bookmarkEnd w:id="1276"/>
      <w:bookmarkEnd w:id="1277"/>
      <w:bookmarkEnd w:id="1278"/>
      <w:bookmarkEnd w:id="1279"/>
    </w:p>
    <w:bookmarkEnd w:id="675"/>
    <w:p w14:paraId="1E9588B8">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280" w:name="招标文件05章工程量清单"/>
      <w:bookmarkEnd w:id="1280"/>
      <w:bookmarkStart w:id="1281" w:name="_Toc351203633"/>
      <w:bookmarkStart w:id="1282" w:name="_Toc532375608"/>
      <w:bookmarkStart w:id="1283" w:name="_Toc532377321"/>
      <w:bookmarkStart w:id="1284" w:name="_Hlk528927191"/>
      <w:r>
        <w:rPr>
          <w:rFonts w:hint="eastAsia"/>
          <w:kern w:val="2"/>
          <w:sz w:val="21"/>
          <w:szCs w:val="21"/>
        </w:rPr>
        <w:t>1</w:t>
      </w:r>
      <w:bookmarkStart w:id="1285" w:name="_Toc296346657"/>
      <w:bookmarkStart w:id="1286" w:name="_Toc296503156"/>
      <w:bookmarkStart w:id="1287" w:name="_Toc296891196"/>
      <w:bookmarkStart w:id="1288" w:name="_Toc297048342"/>
      <w:bookmarkStart w:id="1289" w:name="_Toc292559361"/>
      <w:bookmarkStart w:id="1290" w:name="_Toc296347155"/>
      <w:bookmarkStart w:id="1291" w:name="_Toc296890984"/>
      <w:bookmarkStart w:id="1292" w:name="_Toc292559866"/>
      <w:bookmarkStart w:id="1293" w:name="_Toc296944495"/>
      <w:bookmarkStart w:id="1294" w:name="_Toc297120456"/>
      <w:r>
        <w:rPr>
          <w:rFonts w:hint="eastAsia"/>
          <w:kern w:val="2"/>
          <w:sz w:val="21"/>
          <w:szCs w:val="21"/>
        </w:rPr>
        <w:t>. 一般约定</w:t>
      </w:r>
      <w:bookmarkEnd w:id="1281"/>
      <w:bookmarkEnd w:id="1282"/>
      <w:bookmarkEnd w:id="1283"/>
    </w:p>
    <w:bookmarkEnd w:id="1285"/>
    <w:bookmarkEnd w:id="1286"/>
    <w:bookmarkEnd w:id="1287"/>
    <w:bookmarkEnd w:id="1288"/>
    <w:bookmarkEnd w:id="1289"/>
    <w:bookmarkEnd w:id="1290"/>
    <w:bookmarkEnd w:id="1291"/>
    <w:bookmarkEnd w:id="1292"/>
    <w:bookmarkEnd w:id="1293"/>
    <w:bookmarkEnd w:id="1294"/>
    <w:p w14:paraId="5295F788">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95" w:name="_Toc532377322"/>
      <w:r>
        <w:rPr>
          <w:rFonts w:hint="eastAsia"/>
          <w:sz w:val="21"/>
          <w:szCs w:val="21"/>
        </w:rPr>
        <w:t>1.1词语定义与解释</w:t>
      </w:r>
      <w:bookmarkEnd w:id="1295"/>
    </w:p>
    <w:p w14:paraId="5D9F4758">
      <w:pPr>
        <w:pageBreakBefore w:val="0"/>
        <w:kinsoku/>
        <w:wordWrap/>
        <w:overflowPunct/>
        <w:topLinePunct w:val="0"/>
        <w:bidi w:val="0"/>
        <w:adjustRightInd/>
        <w:spacing w:line="360" w:lineRule="auto"/>
        <w:ind w:right="0" w:rightChars="0" w:firstLine="420" w:firstLineChars="200"/>
        <w:jc w:val="left"/>
        <w:rPr>
          <w:rFonts w:ascii="宋体" w:hAnsi="宋体"/>
          <w:kern w:val="0"/>
          <w:szCs w:val="21"/>
        </w:rPr>
      </w:pPr>
      <w:r>
        <w:rPr>
          <w:rFonts w:hint="eastAsia" w:ascii="宋体" w:hAnsi="宋体"/>
          <w:kern w:val="0"/>
          <w:szCs w:val="21"/>
        </w:rPr>
        <w:t>1.1.1 合同</w:t>
      </w:r>
    </w:p>
    <w:p w14:paraId="1FA1B2B3">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kern w:val="0"/>
          <w:szCs w:val="21"/>
        </w:rPr>
        <w:t>1.1.1.10 其他合同文件包括：</w:t>
      </w:r>
      <w:r>
        <w:rPr>
          <w:rFonts w:hint="eastAsia" w:ascii="宋体" w:hAnsi="宋体"/>
          <w:szCs w:val="21"/>
          <w:u w:val="single"/>
          <w:lang w:val="en-US" w:eastAsia="zh-CN"/>
        </w:rPr>
        <w:t xml:space="preserve">            </w:t>
      </w:r>
      <w:r>
        <w:rPr>
          <w:rFonts w:hint="eastAsia" w:ascii="宋体" w:hAnsi="宋体"/>
          <w:szCs w:val="21"/>
        </w:rPr>
        <w:t>。</w:t>
      </w:r>
    </w:p>
    <w:bookmarkEnd w:id="1284"/>
    <w:p w14:paraId="60E6F387">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1.1.2 合同当事人及其他相关方</w:t>
      </w:r>
    </w:p>
    <w:p w14:paraId="75CE49F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1.1.2.4 监理人：</w:t>
      </w:r>
    </w:p>
    <w:p w14:paraId="0DFCD75E">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14:paraId="47DE3420">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14:paraId="0F0B534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14:paraId="69703BCA">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1.1.2.5 设计人：</w:t>
      </w:r>
    </w:p>
    <w:p w14:paraId="208D9330">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14:paraId="13B95DA5">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14:paraId="4D6AEEFD">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14:paraId="5D7DF13D">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1.1.3 工程和设备</w:t>
      </w:r>
    </w:p>
    <w:p w14:paraId="08525CCB">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kern w:val="0"/>
          <w:szCs w:val="21"/>
        </w:rPr>
        <w:t>1.1.3.7 作为施工现场组成部分的其他场所包括：</w:t>
      </w:r>
      <w:r>
        <w:rPr>
          <w:rFonts w:hint="eastAsia" w:ascii="宋体" w:hAnsi="宋体"/>
          <w:kern w:val="0"/>
          <w:szCs w:val="21"/>
          <w:u w:val="single"/>
          <w:lang w:val="en-US" w:eastAsia="zh-CN"/>
        </w:rPr>
        <w:t xml:space="preserve">            </w:t>
      </w:r>
      <w:r>
        <w:rPr>
          <w:rFonts w:hint="eastAsia" w:ascii="宋体" w:hAnsi="宋体"/>
          <w:szCs w:val="21"/>
        </w:rPr>
        <w:t>。</w:t>
      </w:r>
    </w:p>
    <w:p w14:paraId="32131BD0">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kern w:val="0"/>
          <w:szCs w:val="21"/>
        </w:rPr>
        <w:t>1.1.3.9 永久占地包括：</w:t>
      </w:r>
      <w:r>
        <w:rPr>
          <w:rFonts w:hint="eastAsia" w:ascii="宋体" w:hAnsi="宋体"/>
          <w:kern w:val="0"/>
          <w:szCs w:val="21"/>
          <w:u w:val="single"/>
          <w:lang w:val="en-US" w:eastAsia="zh-CN"/>
        </w:rPr>
        <w:t xml:space="preserve">            </w:t>
      </w:r>
      <w:r>
        <w:rPr>
          <w:rFonts w:hint="eastAsia" w:ascii="宋体" w:hAnsi="宋体"/>
          <w:szCs w:val="21"/>
        </w:rPr>
        <w:t>。</w:t>
      </w:r>
    </w:p>
    <w:p w14:paraId="0283D7D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1.1.3.10 临时占地包括：</w:t>
      </w:r>
      <w:r>
        <w:rPr>
          <w:rFonts w:hint="eastAsia" w:ascii="宋体" w:hAnsi="宋体"/>
          <w:szCs w:val="21"/>
          <w:u w:val="single"/>
          <w:lang w:val="en-US" w:eastAsia="zh-CN"/>
        </w:rPr>
        <w:t xml:space="preserve">        </w:t>
      </w:r>
      <w:r>
        <w:rPr>
          <w:rFonts w:hint="eastAsia" w:ascii="宋体" w:hAnsi="宋体"/>
          <w:szCs w:val="21"/>
        </w:rPr>
        <w:t>。</w:t>
      </w:r>
    </w:p>
    <w:p w14:paraId="646BF93E">
      <w:pPr>
        <w:pStyle w:val="7"/>
        <w:pageBreakBefore w:val="0"/>
        <w:kinsoku/>
        <w:wordWrap/>
        <w:overflowPunct/>
        <w:topLinePunct w:val="0"/>
        <w:bidi w:val="0"/>
        <w:adjustRightInd/>
        <w:spacing w:before="0" w:beforeAutospacing="0" w:after="0" w:afterAutospacing="0" w:line="360" w:lineRule="auto"/>
        <w:ind w:right="0" w:rightChars="0" w:firstLine="420" w:firstLineChars="200"/>
        <w:rPr>
          <w:rFonts w:hint="eastAsia" w:eastAsia="宋体"/>
          <w:sz w:val="21"/>
          <w:szCs w:val="21"/>
          <w:lang w:eastAsia="zh-CN"/>
        </w:rPr>
      </w:pPr>
      <w:r>
        <w:rPr>
          <w:rFonts w:hint="eastAsia"/>
          <w:sz w:val="21"/>
          <w:szCs w:val="21"/>
        </w:rPr>
        <w:t>1.</w:t>
      </w:r>
      <w:r>
        <w:rPr>
          <w:rFonts w:hint="eastAsia"/>
          <w:sz w:val="21"/>
          <w:szCs w:val="21"/>
          <w:lang w:val="en-US" w:eastAsia="zh-CN"/>
        </w:rPr>
        <w:t>3</w:t>
      </w:r>
      <w:r>
        <w:rPr>
          <w:rFonts w:hint="eastAsia"/>
          <w:sz w:val="21"/>
          <w:szCs w:val="21"/>
        </w:rPr>
        <w:t xml:space="preserve"> </w:t>
      </w:r>
      <w:r>
        <w:rPr>
          <w:rFonts w:hint="eastAsia"/>
          <w:sz w:val="21"/>
          <w:szCs w:val="21"/>
          <w:lang w:val="en-US" w:eastAsia="zh-CN"/>
        </w:rPr>
        <w:t>法律</w:t>
      </w:r>
    </w:p>
    <w:p w14:paraId="3EC3500A">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适用于合同的其他规范性文件</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rPr>
        <w:t>。</w:t>
      </w:r>
    </w:p>
    <w:p w14:paraId="54DD5CB6">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96" w:name="_Toc532377323"/>
      <w:r>
        <w:rPr>
          <w:rFonts w:hint="eastAsia"/>
          <w:sz w:val="21"/>
          <w:szCs w:val="21"/>
        </w:rPr>
        <w:t>1.4 标准和规范</w:t>
      </w:r>
      <w:bookmarkEnd w:id="1296"/>
    </w:p>
    <w:p w14:paraId="2C96836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1.4.1 适用于工程的标准规范包括：</w:t>
      </w:r>
      <w:r>
        <w:rPr>
          <w:rFonts w:hint="eastAsia" w:ascii="宋体" w:hAnsi="宋体"/>
          <w:szCs w:val="21"/>
          <w:u w:val="single"/>
          <w:lang w:val="en-US" w:eastAsia="zh-CN"/>
        </w:rPr>
        <w:t xml:space="preserve">            </w:t>
      </w:r>
      <w:r>
        <w:rPr>
          <w:rFonts w:hint="eastAsia" w:ascii="宋体" w:hAnsi="宋体"/>
          <w:szCs w:val="21"/>
        </w:rPr>
        <w:t>。</w:t>
      </w:r>
    </w:p>
    <w:p w14:paraId="21F09016">
      <w:pPr>
        <w:pageBreakBefore w:val="0"/>
        <w:kinsoku/>
        <w:wordWrap/>
        <w:overflowPunct/>
        <w:topLinePunct w:val="0"/>
        <w:bidi w:val="0"/>
        <w:adjustRightInd/>
        <w:spacing w:line="360" w:lineRule="auto"/>
        <w:ind w:right="0" w:rightChars="0" w:firstLine="420" w:firstLineChars="200"/>
        <w:jc w:val="left"/>
        <w:rPr>
          <w:rFonts w:ascii="宋体" w:hAnsi="宋体"/>
          <w:kern w:val="0"/>
          <w:szCs w:val="21"/>
        </w:rPr>
      </w:pPr>
      <w:r>
        <w:rPr>
          <w:rFonts w:hint="eastAsia" w:ascii="宋体" w:hAnsi="宋体"/>
          <w:kern w:val="0"/>
          <w:szCs w:val="21"/>
        </w:rPr>
        <w:t>1.4.2 发包人提供国外标准、规范的名称：</w:t>
      </w:r>
      <w:r>
        <w:rPr>
          <w:rFonts w:hint="eastAsia" w:ascii="宋体" w:hAnsi="宋体"/>
          <w:szCs w:val="21"/>
          <w:u w:val="single"/>
          <w:lang w:val="en-US" w:eastAsia="zh-CN"/>
        </w:rPr>
        <w:t xml:space="preserve">            </w:t>
      </w:r>
      <w:r>
        <w:rPr>
          <w:rFonts w:hint="eastAsia" w:ascii="宋体" w:hAnsi="宋体"/>
          <w:kern w:val="0"/>
          <w:szCs w:val="21"/>
        </w:rPr>
        <w:t>；</w:t>
      </w:r>
    </w:p>
    <w:p w14:paraId="1595198F">
      <w:pPr>
        <w:pageBreakBefore w:val="0"/>
        <w:kinsoku/>
        <w:wordWrap/>
        <w:overflowPunct/>
        <w:topLinePunct w:val="0"/>
        <w:bidi w:val="0"/>
        <w:adjustRightInd/>
        <w:spacing w:line="360" w:lineRule="auto"/>
        <w:ind w:right="0" w:rightChars="0" w:firstLine="420" w:firstLineChars="200"/>
        <w:jc w:val="left"/>
        <w:rPr>
          <w:rFonts w:ascii="宋体" w:hAnsi="宋体"/>
          <w:kern w:val="0"/>
          <w:szCs w:val="21"/>
        </w:rPr>
      </w:pPr>
      <w:r>
        <w:rPr>
          <w:rFonts w:hint="eastAsia" w:ascii="宋体" w:hAnsi="宋体"/>
          <w:kern w:val="0"/>
          <w:szCs w:val="21"/>
        </w:rPr>
        <w:t>发包人提供国外标准、规范的份数：</w:t>
      </w:r>
      <w:r>
        <w:rPr>
          <w:rFonts w:hint="eastAsia" w:ascii="宋体" w:hAnsi="宋体"/>
          <w:szCs w:val="21"/>
          <w:u w:val="single"/>
          <w:lang w:val="en-US" w:eastAsia="zh-CN"/>
        </w:rPr>
        <w:t xml:space="preserve">            </w:t>
      </w:r>
      <w:r>
        <w:rPr>
          <w:rFonts w:hint="eastAsia" w:ascii="宋体" w:hAnsi="宋体"/>
          <w:kern w:val="0"/>
          <w:szCs w:val="21"/>
        </w:rPr>
        <w:t>；</w:t>
      </w:r>
    </w:p>
    <w:p w14:paraId="7AEB4435">
      <w:pPr>
        <w:pageBreakBefore w:val="0"/>
        <w:kinsoku/>
        <w:wordWrap/>
        <w:overflowPunct/>
        <w:topLinePunct w:val="0"/>
        <w:bidi w:val="0"/>
        <w:adjustRightInd/>
        <w:spacing w:line="360" w:lineRule="auto"/>
        <w:ind w:right="0" w:rightChars="0" w:firstLine="420" w:firstLineChars="200"/>
        <w:jc w:val="left"/>
        <w:rPr>
          <w:rFonts w:ascii="宋体" w:hAnsi="宋体"/>
          <w:kern w:val="0"/>
          <w:szCs w:val="21"/>
        </w:rPr>
      </w:pPr>
      <w:r>
        <w:rPr>
          <w:rFonts w:hint="eastAsia" w:ascii="宋体" w:hAnsi="宋体"/>
          <w:kern w:val="0"/>
          <w:szCs w:val="21"/>
        </w:rPr>
        <w:t>发包人提供国外标准、规范的名称：</w:t>
      </w:r>
      <w:r>
        <w:rPr>
          <w:rFonts w:hint="eastAsia" w:ascii="宋体" w:hAnsi="宋体"/>
          <w:szCs w:val="21"/>
          <w:u w:val="single"/>
          <w:lang w:val="en-US" w:eastAsia="zh-CN"/>
        </w:rPr>
        <w:t xml:space="preserve">            </w:t>
      </w:r>
      <w:r>
        <w:rPr>
          <w:rFonts w:hint="eastAsia" w:ascii="宋体" w:hAnsi="宋体"/>
          <w:kern w:val="0"/>
          <w:szCs w:val="21"/>
        </w:rPr>
        <w:t>。</w:t>
      </w:r>
    </w:p>
    <w:p w14:paraId="187D2A77">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1.4.3 发包人对工程的技术标准和功能要求的特殊要求：</w:t>
      </w:r>
      <w:r>
        <w:rPr>
          <w:rFonts w:hint="eastAsia" w:ascii="宋体" w:hAnsi="宋体"/>
          <w:szCs w:val="21"/>
          <w:u w:val="single"/>
          <w:lang w:val="en-US" w:eastAsia="zh-CN"/>
        </w:rPr>
        <w:t xml:space="preserve">            </w:t>
      </w:r>
      <w:r>
        <w:rPr>
          <w:rFonts w:hint="eastAsia" w:ascii="宋体" w:hAnsi="宋体"/>
          <w:szCs w:val="21"/>
        </w:rPr>
        <w:t>。</w:t>
      </w:r>
    </w:p>
    <w:p w14:paraId="14398F72">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97" w:name="_Toc532377324"/>
      <w:r>
        <w:rPr>
          <w:rFonts w:hint="eastAsia"/>
          <w:sz w:val="21"/>
          <w:szCs w:val="21"/>
        </w:rPr>
        <w:t>1.5 合同文件的优先顺序</w:t>
      </w:r>
      <w:bookmarkEnd w:id="1297"/>
    </w:p>
    <w:p w14:paraId="1A5F8A2A">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合同文件组成及优先顺序为：</w:t>
      </w:r>
      <w:r>
        <w:rPr>
          <w:rFonts w:hint="eastAsia" w:ascii="宋体" w:hAnsi="宋体"/>
          <w:szCs w:val="21"/>
          <w:u w:val="single"/>
          <w:lang w:val="en-US" w:eastAsia="zh-CN"/>
        </w:rPr>
        <w:t xml:space="preserve">            </w:t>
      </w:r>
      <w:r>
        <w:rPr>
          <w:rFonts w:hint="eastAsia" w:ascii="宋体" w:hAnsi="宋体"/>
          <w:szCs w:val="21"/>
        </w:rPr>
        <w:t>。</w:t>
      </w:r>
    </w:p>
    <w:p w14:paraId="74275379">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98" w:name="_Toc532377325"/>
      <w:r>
        <w:rPr>
          <w:rFonts w:hint="eastAsia"/>
          <w:sz w:val="21"/>
          <w:szCs w:val="21"/>
        </w:rPr>
        <w:t>1.6 图纸和承包人文件</w:t>
      </w:r>
      <w:bookmarkEnd w:id="1298"/>
    </w:p>
    <w:p w14:paraId="24C66288">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1.6.1 图纸的提供和交底</w:t>
      </w:r>
    </w:p>
    <w:p w14:paraId="59D20F7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发包人向承包人提供图纸的期限：</w:t>
      </w:r>
      <w:r>
        <w:rPr>
          <w:rFonts w:hint="eastAsia" w:ascii="宋体" w:hAnsi="宋体"/>
          <w:szCs w:val="21"/>
          <w:u w:val="single"/>
          <w:lang w:val="en-US" w:eastAsia="zh-CN"/>
        </w:rPr>
        <w:t xml:space="preserve">            </w:t>
      </w:r>
      <w:r>
        <w:rPr>
          <w:rFonts w:hint="eastAsia" w:ascii="宋体" w:hAnsi="宋体"/>
          <w:szCs w:val="21"/>
        </w:rPr>
        <w:t>；</w:t>
      </w:r>
    </w:p>
    <w:p w14:paraId="0CE2DC0E">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发包人向承包人提供图纸的数量：</w:t>
      </w:r>
      <w:r>
        <w:rPr>
          <w:rFonts w:hint="eastAsia" w:ascii="宋体" w:hAnsi="宋体"/>
          <w:szCs w:val="21"/>
          <w:u w:val="single"/>
          <w:lang w:val="en-US" w:eastAsia="zh-CN"/>
        </w:rPr>
        <w:t xml:space="preserve">            </w:t>
      </w:r>
      <w:r>
        <w:rPr>
          <w:rFonts w:hint="eastAsia" w:ascii="宋体" w:hAnsi="宋体"/>
          <w:szCs w:val="21"/>
        </w:rPr>
        <w:t xml:space="preserve">； </w:t>
      </w:r>
    </w:p>
    <w:p w14:paraId="266C4AB3">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发包人向承包人提供图纸的内容：</w:t>
      </w:r>
      <w:r>
        <w:rPr>
          <w:rFonts w:hint="eastAsia" w:ascii="宋体" w:hAnsi="宋体"/>
          <w:szCs w:val="21"/>
          <w:u w:val="single"/>
          <w:lang w:val="en-US" w:eastAsia="zh-CN"/>
        </w:rPr>
        <w:t xml:space="preserve">            </w:t>
      </w:r>
      <w:r>
        <w:rPr>
          <w:rFonts w:hint="eastAsia" w:ascii="宋体" w:hAnsi="宋体"/>
          <w:szCs w:val="21"/>
          <w:u w:val="none"/>
          <w:lang w:val="en-US" w:eastAsia="zh-CN"/>
        </w:rPr>
        <w:t>。</w:t>
      </w:r>
    </w:p>
    <w:p w14:paraId="0C9FD2C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1.6.4 承包人文件</w:t>
      </w:r>
    </w:p>
    <w:p w14:paraId="7DB2335B">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需要由承包人提供的文件，包括：</w:t>
      </w:r>
      <w:r>
        <w:rPr>
          <w:rFonts w:hint="eastAsia" w:ascii="宋体" w:hAnsi="宋体"/>
          <w:szCs w:val="21"/>
          <w:u w:val="single"/>
          <w:lang w:val="en-US" w:eastAsia="zh-CN"/>
        </w:rPr>
        <w:t xml:space="preserve">            </w:t>
      </w:r>
      <w:r>
        <w:rPr>
          <w:rFonts w:hint="eastAsia" w:ascii="宋体" w:hAnsi="宋体"/>
          <w:szCs w:val="21"/>
        </w:rPr>
        <w:t>。</w:t>
      </w:r>
    </w:p>
    <w:p w14:paraId="5A05A002">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u w:val="none"/>
          <w:lang w:val="en-US" w:eastAsia="zh-CN"/>
        </w:rPr>
      </w:pPr>
      <w:r>
        <w:rPr>
          <w:rFonts w:hint="eastAsia" w:ascii="宋体" w:hAnsi="宋体"/>
          <w:szCs w:val="21"/>
        </w:rPr>
        <w:t>承包人提供的文件的期限为</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w:t>
      </w:r>
    </w:p>
    <w:p w14:paraId="6347BA50">
      <w:pPr>
        <w:pageBreakBefore w:val="0"/>
        <w:kinsoku/>
        <w:wordWrap/>
        <w:overflowPunct/>
        <w:topLinePunct w:val="0"/>
        <w:bidi w:val="0"/>
        <w:adjustRightInd/>
        <w:spacing w:line="360" w:lineRule="auto"/>
        <w:ind w:right="0" w:rightChars="0" w:firstLine="420" w:firstLineChars="200"/>
        <w:jc w:val="left"/>
        <w:rPr>
          <w:rFonts w:hint="eastAsia" w:ascii="宋体" w:hAnsi="宋体" w:eastAsia="宋体"/>
          <w:szCs w:val="21"/>
          <w:lang w:eastAsia="zh-CN"/>
        </w:rPr>
      </w:pPr>
      <w:r>
        <w:rPr>
          <w:rFonts w:hint="eastAsia" w:ascii="宋体" w:hAnsi="宋体"/>
          <w:szCs w:val="21"/>
        </w:rPr>
        <w:t>承包人提供的文件的形式为</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w:t>
      </w:r>
    </w:p>
    <w:p w14:paraId="09A1EA27">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发包人审批承包人文件的期限：</w:t>
      </w:r>
      <w:r>
        <w:rPr>
          <w:rFonts w:hint="eastAsia" w:ascii="宋体" w:hAnsi="宋体"/>
          <w:szCs w:val="21"/>
          <w:u w:val="single"/>
          <w:lang w:val="en-US" w:eastAsia="zh-CN"/>
        </w:rPr>
        <w:t xml:space="preserve">            </w:t>
      </w:r>
      <w:r>
        <w:rPr>
          <w:rFonts w:hint="eastAsia" w:ascii="宋体" w:hAnsi="宋体"/>
          <w:szCs w:val="21"/>
        </w:rPr>
        <w:t>。</w:t>
      </w:r>
    </w:p>
    <w:p w14:paraId="02697B9F">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1.6.5 现场图纸准备</w:t>
      </w:r>
    </w:p>
    <w:p w14:paraId="3510DF3C">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关于现场图纸准备的约定：</w:t>
      </w:r>
      <w:r>
        <w:rPr>
          <w:rFonts w:hint="eastAsia" w:ascii="宋体" w:hAnsi="宋体"/>
          <w:szCs w:val="21"/>
          <w:u w:val="single"/>
          <w:lang w:val="en-US" w:eastAsia="zh-CN"/>
        </w:rPr>
        <w:t xml:space="preserve">            </w:t>
      </w:r>
      <w:r>
        <w:rPr>
          <w:rFonts w:hint="eastAsia" w:ascii="宋体" w:hAnsi="宋体"/>
          <w:szCs w:val="21"/>
        </w:rPr>
        <w:t>。</w:t>
      </w:r>
    </w:p>
    <w:p w14:paraId="6EC9611D">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299" w:name="_Toc532377326"/>
      <w:r>
        <w:rPr>
          <w:rFonts w:hint="eastAsia"/>
          <w:sz w:val="21"/>
          <w:szCs w:val="21"/>
        </w:rPr>
        <w:t>1.7 联络</w:t>
      </w:r>
      <w:bookmarkEnd w:id="1299"/>
    </w:p>
    <w:p w14:paraId="37FA0C07">
      <w:pPr>
        <w:pageBreakBefore w:val="0"/>
        <w:kinsoku/>
        <w:wordWrap/>
        <w:overflowPunct/>
        <w:topLinePunct w:val="0"/>
        <w:bidi w:val="0"/>
        <w:adjustRightInd/>
        <w:spacing w:line="360" w:lineRule="auto"/>
        <w:ind w:right="0" w:rightChars="0" w:firstLine="420" w:firstLineChars="200"/>
        <w:jc w:val="left"/>
        <w:rPr>
          <w:rFonts w:ascii="宋体" w:hAnsi="宋体"/>
          <w:kern w:val="0"/>
          <w:szCs w:val="21"/>
        </w:rPr>
      </w:pPr>
      <w:r>
        <w:rPr>
          <w:rFonts w:hint="eastAsia" w:ascii="宋体" w:hAnsi="宋体"/>
          <w:kern w:val="0"/>
          <w:szCs w:val="21"/>
        </w:rPr>
        <w:t>1.7.1 发包人和承包人应当在</w:t>
      </w:r>
      <w:r>
        <w:rPr>
          <w:rFonts w:hint="eastAsia" w:ascii="宋体" w:hAnsi="宋体"/>
          <w:szCs w:val="21"/>
          <w:u w:val="single"/>
          <w:lang w:val="en-US" w:eastAsia="zh-CN"/>
        </w:rPr>
        <w:t xml:space="preserve">        </w:t>
      </w:r>
      <w:r>
        <w:rPr>
          <w:rFonts w:hint="eastAsia" w:ascii="宋体" w:hAnsi="宋体"/>
          <w:kern w:val="0"/>
          <w:szCs w:val="21"/>
        </w:rPr>
        <w:t>天内将与合同有关的通知、批准、证明、证书、指示、指令、要求、请求、同意、意见、确定和决定等书面函件送达对方当事人。</w:t>
      </w:r>
    </w:p>
    <w:p w14:paraId="15D26EF9">
      <w:pPr>
        <w:pageBreakBefore w:val="0"/>
        <w:tabs>
          <w:tab w:val="left" w:pos="7513"/>
        </w:tabs>
        <w:kinsoku/>
        <w:wordWrap/>
        <w:overflowPunct/>
        <w:topLinePunct w:val="0"/>
        <w:bidi w:val="0"/>
        <w:adjustRightInd/>
        <w:spacing w:line="360" w:lineRule="auto"/>
        <w:ind w:right="0" w:rightChars="0" w:firstLine="420" w:firstLineChars="200"/>
        <w:jc w:val="left"/>
        <w:rPr>
          <w:rFonts w:ascii="宋体" w:hAnsi="宋体"/>
          <w:kern w:val="0"/>
          <w:szCs w:val="21"/>
        </w:rPr>
      </w:pPr>
      <w:r>
        <w:rPr>
          <w:rFonts w:hint="eastAsia" w:ascii="宋体" w:hAnsi="宋体"/>
          <w:kern w:val="0"/>
          <w:szCs w:val="21"/>
        </w:rPr>
        <w:t>1.7.2 发包人接收文件的地点：</w:t>
      </w:r>
      <w:r>
        <w:rPr>
          <w:rFonts w:ascii="宋体" w:hAnsi="宋体"/>
          <w:kern w:val="0"/>
          <w:szCs w:val="21"/>
          <w:u w:val="single"/>
        </w:rPr>
        <w:t xml:space="preserve">                        </w:t>
      </w:r>
      <w:r>
        <w:rPr>
          <w:rFonts w:hint="eastAsia" w:ascii="宋体" w:hAnsi="宋体"/>
          <w:kern w:val="0"/>
          <w:szCs w:val="21"/>
        </w:rPr>
        <w:t>；</w:t>
      </w:r>
    </w:p>
    <w:p w14:paraId="414A7719">
      <w:pPr>
        <w:pageBreakBefore w:val="0"/>
        <w:kinsoku/>
        <w:wordWrap/>
        <w:overflowPunct/>
        <w:topLinePunct w:val="0"/>
        <w:bidi w:val="0"/>
        <w:adjustRightInd/>
        <w:spacing w:line="360" w:lineRule="auto"/>
        <w:ind w:right="0" w:rightChars="0" w:firstLine="420" w:firstLineChars="200"/>
        <w:jc w:val="left"/>
        <w:rPr>
          <w:rFonts w:ascii="宋体" w:hAnsi="宋体"/>
          <w:kern w:val="0"/>
          <w:szCs w:val="21"/>
        </w:rPr>
      </w:pPr>
      <w:r>
        <w:rPr>
          <w:rFonts w:hint="eastAsia" w:ascii="宋体" w:hAnsi="宋体"/>
          <w:kern w:val="0"/>
          <w:szCs w:val="21"/>
        </w:rPr>
        <w:t>发包人指定的接收人为：</w:t>
      </w:r>
      <w:bookmarkStart w:id="1300" w:name="_Hlk528493983"/>
      <w:bookmarkEnd w:id="1300"/>
      <w:r>
        <w:rPr>
          <w:rFonts w:ascii="宋体" w:hAnsi="宋体"/>
          <w:kern w:val="0"/>
          <w:szCs w:val="21"/>
          <w:u w:val="single"/>
        </w:rPr>
        <w:t xml:space="preserve">                             </w:t>
      </w:r>
      <w:r>
        <w:rPr>
          <w:rFonts w:hint="eastAsia" w:ascii="宋体" w:hAnsi="宋体"/>
          <w:kern w:val="0"/>
          <w:szCs w:val="21"/>
        </w:rPr>
        <w:t>；</w:t>
      </w:r>
    </w:p>
    <w:p w14:paraId="3125D101">
      <w:pPr>
        <w:pageBreakBefore w:val="0"/>
        <w:tabs>
          <w:tab w:val="left" w:pos="7513"/>
        </w:tabs>
        <w:kinsoku/>
        <w:wordWrap/>
        <w:overflowPunct/>
        <w:topLinePunct w:val="0"/>
        <w:bidi w:val="0"/>
        <w:adjustRightInd/>
        <w:spacing w:line="360" w:lineRule="auto"/>
        <w:ind w:right="0" w:rightChars="0" w:firstLine="420" w:firstLineChars="200"/>
        <w:jc w:val="left"/>
        <w:rPr>
          <w:rFonts w:ascii="宋体" w:hAnsi="宋体"/>
          <w:kern w:val="0"/>
          <w:szCs w:val="21"/>
        </w:rPr>
      </w:pPr>
      <w:r>
        <w:rPr>
          <w:rFonts w:hint="eastAsia" w:ascii="宋体" w:hAnsi="宋体"/>
          <w:kern w:val="0"/>
          <w:szCs w:val="21"/>
        </w:rPr>
        <w:t>承包人接收文件的地点：</w:t>
      </w:r>
      <w:r>
        <w:rPr>
          <w:rFonts w:ascii="宋体" w:hAnsi="宋体"/>
          <w:kern w:val="0"/>
          <w:szCs w:val="21"/>
          <w:u w:val="single"/>
        </w:rPr>
        <w:t xml:space="preserve">                             </w:t>
      </w:r>
      <w:r>
        <w:rPr>
          <w:rFonts w:hint="eastAsia" w:ascii="宋体" w:hAnsi="宋体"/>
          <w:kern w:val="0"/>
          <w:szCs w:val="21"/>
        </w:rPr>
        <w:t>；</w:t>
      </w:r>
    </w:p>
    <w:p w14:paraId="6A2075CE">
      <w:pPr>
        <w:pageBreakBefore w:val="0"/>
        <w:kinsoku/>
        <w:wordWrap/>
        <w:overflowPunct/>
        <w:topLinePunct w:val="0"/>
        <w:bidi w:val="0"/>
        <w:adjustRightInd/>
        <w:spacing w:line="360" w:lineRule="auto"/>
        <w:ind w:right="0" w:rightChars="0" w:firstLine="420" w:firstLineChars="200"/>
        <w:jc w:val="left"/>
        <w:rPr>
          <w:rFonts w:ascii="宋体" w:hAnsi="宋体"/>
          <w:kern w:val="0"/>
          <w:szCs w:val="21"/>
        </w:rPr>
      </w:pPr>
      <w:r>
        <w:rPr>
          <w:rFonts w:hint="eastAsia" w:ascii="宋体" w:hAnsi="宋体"/>
          <w:kern w:val="0"/>
          <w:szCs w:val="21"/>
        </w:rPr>
        <w:t>承包人指定的接收人为：</w:t>
      </w:r>
      <w:r>
        <w:rPr>
          <w:rFonts w:ascii="宋体" w:hAnsi="宋体"/>
          <w:kern w:val="0"/>
          <w:szCs w:val="21"/>
          <w:u w:val="single"/>
        </w:rPr>
        <w:t xml:space="preserve">                             </w:t>
      </w:r>
      <w:r>
        <w:rPr>
          <w:rFonts w:hint="eastAsia" w:ascii="宋体" w:hAnsi="宋体"/>
          <w:kern w:val="0"/>
          <w:szCs w:val="21"/>
        </w:rPr>
        <w:t>；</w:t>
      </w:r>
    </w:p>
    <w:p w14:paraId="3098CA99">
      <w:pPr>
        <w:pageBreakBefore w:val="0"/>
        <w:tabs>
          <w:tab w:val="left" w:pos="7371"/>
        </w:tabs>
        <w:kinsoku/>
        <w:wordWrap/>
        <w:overflowPunct/>
        <w:topLinePunct w:val="0"/>
        <w:bidi w:val="0"/>
        <w:adjustRightInd/>
        <w:spacing w:line="360" w:lineRule="auto"/>
        <w:ind w:right="0" w:rightChars="0" w:firstLine="420" w:firstLineChars="200"/>
        <w:jc w:val="left"/>
        <w:rPr>
          <w:rFonts w:ascii="宋体" w:hAnsi="宋体"/>
          <w:kern w:val="0"/>
          <w:szCs w:val="21"/>
        </w:rPr>
      </w:pPr>
      <w:r>
        <w:rPr>
          <w:rFonts w:hint="eastAsia" w:ascii="宋体" w:hAnsi="宋体"/>
          <w:kern w:val="0"/>
          <w:szCs w:val="21"/>
        </w:rPr>
        <w:t>监理人接收文件的地点：</w:t>
      </w:r>
      <w:r>
        <w:rPr>
          <w:rFonts w:ascii="宋体" w:hAnsi="宋体"/>
          <w:kern w:val="0"/>
          <w:szCs w:val="21"/>
          <w:u w:val="single"/>
        </w:rPr>
        <w:t xml:space="preserve">                             </w:t>
      </w:r>
      <w:r>
        <w:rPr>
          <w:rFonts w:hint="eastAsia" w:ascii="宋体" w:hAnsi="宋体"/>
          <w:kern w:val="0"/>
          <w:szCs w:val="21"/>
        </w:rPr>
        <w:t>；</w:t>
      </w:r>
    </w:p>
    <w:p w14:paraId="456BF95A">
      <w:pPr>
        <w:pageBreakBefore w:val="0"/>
        <w:kinsoku/>
        <w:wordWrap/>
        <w:overflowPunct/>
        <w:topLinePunct w:val="0"/>
        <w:bidi w:val="0"/>
        <w:adjustRightInd/>
        <w:spacing w:line="360" w:lineRule="auto"/>
        <w:ind w:right="0" w:rightChars="0" w:firstLine="420" w:firstLineChars="200"/>
        <w:jc w:val="left"/>
        <w:rPr>
          <w:rFonts w:ascii="宋体" w:hAnsi="宋体"/>
          <w:kern w:val="0"/>
          <w:szCs w:val="21"/>
          <w:u w:val="single"/>
        </w:rPr>
      </w:pPr>
      <w:r>
        <w:rPr>
          <w:rFonts w:hint="eastAsia" w:ascii="宋体" w:hAnsi="宋体"/>
          <w:kern w:val="0"/>
          <w:szCs w:val="21"/>
        </w:rPr>
        <w:t>监理人指定的接收人为：</w:t>
      </w:r>
      <w:r>
        <w:rPr>
          <w:rFonts w:ascii="宋体" w:hAnsi="宋体"/>
          <w:kern w:val="0"/>
          <w:szCs w:val="21"/>
          <w:u w:val="single"/>
        </w:rPr>
        <w:t xml:space="preserve">                             </w:t>
      </w:r>
      <w:r>
        <w:rPr>
          <w:rFonts w:hint="eastAsia" w:ascii="宋体" w:hAnsi="宋体"/>
          <w:kern w:val="0"/>
          <w:szCs w:val="21"/>
        </w:rPr>
        <w:t>。</w:t>
      </w:r>
    </w:p>
    <w:p w14:paraId="7DBD3A21">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301" w:name="_Toc532377328"/>
      <w:r>
        <w:rPr>
          <w:rFonts w:hint="eastAsia"/>
          <w:sz w:val="21"/>
          <w:szCs w:val="21"/>
        </w:rPr>
        <w:t>1.10 交通运输</w:t>
      </w:r>
      <w:bookmarkEnd w:id="1301"/>
    </w:p>
    <w:p w14:paraId="60EBC263">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w:t>
      </w:r>
      <w:bookmarkStart w:id="1302" w:name="_Toc312677986"/>
      <w:bookmarkStart w:id="1303" w:name="_Toc318581155"/>
      <w:bookmarkStart w:id="1304" w:name="_Toc300934943"/>
      <w:bookmarkStart w:id="1305" w:name="_Toc303539100"/>
      <w:bookmarkStart w:id="1306" w:name="_Toc304295521"/>
      <w:r>
        <w:rPr>
          <w:rFonts w:hint="eastAsia" w:ascii="宋体" w:hAnsi="宋体"/>
          <w:szCs w:val="21"/>
        </w:rPr>
        <w:t>.10.1 出入现场的权利</w:t>
      </w:r>
    </w:p>
    <w:p w14:paraId="6B59865E">
      <w:pPr>
        <w:pageBreakBefore w:val="0"/>
        <w:kinsoku/>
        <w:wordWrap/>
        <w:overflowPunct/>
        <w:topLinePunct w:val="0"/>
        <w:bidi w:val="0"/>
        <w:adjustRightInd/>
        <w:spacing w:line="360" w:lineRule="auto"/>
        <w:ind w:right="0" w:rightChars="0" w:firstLine="420" w:firstLineChars="200"/>
        <w:jc w:val="left"/>
        <w:rPr>
          <w:rFonts w:ascii="宋体" w:hAnsi="宋体"/>
          <w:kern w:val="0"/>
          <w:szCs w:val="21"/>
        </w:rPr>
      </w:pPr>
      <w:r>
        <w:rPr>
          <w:rFonts w:hint="eastAsia" w:ascii="宋体" w:hAnsi="宋体"/>
          <w:szCs w:val="21"/>
        </w:rPr>
        <w:t>关于出入现场的权利的约定：</w:t>
      </w:r>
      <w:r>
        <w:rPr>
          <w:rFonts w:hint="eastAsia" w:ascii="宋体" w:hAnsi="宋体"/>
          <w:szCs w:val="21"/>
          <w:u w:val="single"/>
          <w:lang w:val="en-US" w:eastAsia="zh-CN"/>
        </w:rPr>
        <w:t xml:space="preserve">            </w:t>
      </w:r>
      <w:r>
        <w:rPr>
          <w:rFonts w:hint="eastAsia" w:ascii="宋体" w:hAnsi="宋体"/>
          <w:szCs w:val="21"/>
        </w:rPr>
        <w:t>。</w:t>
      </w:r>
    </w:p>
    <w:bookmarkEnd w:id="1302"/>
    <w:bookmarkEnd w:id="1303"/>
    <w:bookmarkEnd w:id="1304"/>
    <w:bookmarkEnd w:id="1305"/>
    <w:bookmarkEnd w:id="1306"/>
    <w:p w14:paraId="47E68F19">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w:t>
      </w:r>
      <w:bookmarkStart w:id="1307" w:name="_Toc304295522"/>
      <w:bookmarkStart w:id="1308" w:name="_Toc300934944"/>
      <w:bookmarkStart w:id="1309" w:name="_Toc312677987"/>
      <w:bookmarkStart w:id="1310" w:name="_Toc318581156"/>
      <w:bookmarkStart w:id="1311" w:name="_Toc303539101"/>
      <w:r>
        <w:rPr>
          <w:rFonts w:hint="eastAsia" w:ascii="宋体" w:hAnsi="宋体"/>
          <w:szCs w:val="21"/>
        </w:rPr>
        <w:t>.10.3 场内交通</w:t>
      </w:r>
    </w:p>
    <w:p w14:paraId="2DD70291">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kern w:val="0"/>
          <w:szCs w:val="21"/>
        </w:rPr>
        <w:t>关于场外交通和场内交通的边界的约定：</w:t>
      </w:r>
      <w:r>
        <w:rPr>
          <w:rFonts w:hint="eastAsia" w:ascii="宋体" w:hAnsi="宋体"/>
          <w:szCs w:val="21"/>
          <w:u w:val="single"/>
          <w:lang w:val="en-US" w:eastAsia="zh-CN"/>
        </w:rPr>
        <w:t xml:space="preserve">            </w:t>
      </w:r>
      <w:r>
        <w:rPr>
          <w:rFonts w:hint="eastAsia" w:ascii="宋体" w:hAnsi="宋体"/>
          <w:szCs w:val="21"/>
        </w:rPr>
        <w:t>。</w:t>
      </w:r>
    </w:p>
    <w:p w14:paraId="743DADBC">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kern w:val="0"/>
          <w:szCs w:val="21"/>
        </w:rPr>
        <w:t>关于发包人向承包人免费提供满足工程施工需要的场内道路和交通设施的约定：</w:t>
      </w:r>
      <w:r>
        <w:rPr>
          <w:rFonts w:hint="eastAsia" w:ascii="宋体" w:hAnsi="宋体"/>
          <w:kern w:val="0"/>
          <w:szCs w:val="21"/>
          <w:u w:val="single"/>
          <w:lang w:val="en-US" w:eastAsia="zh-CN"/>
        </w:rPr>
        <w:t xml:space="preserve">            </w:t>
      </w:r>
      <w:r>
        <w:rPr>
          <w:rFonts w:hint="eastAsia" w:ascii="宋体" w:hAnsi="宋体"/>
          <w:szCs w:val="21"/>
        </w:rPr>
        <w:t>。</w:t>
      </w:r>
    </w:p>
    <w:bookmarkEnd w:id="1307"/>
    <w:bookmarkEnd w:id="1308"/>
    <w:bookmarkEnd w:id="1309"/>
    <w:bookmarkEnd w:id="1310"/>
    <w:bookmarkEnd w:id="1311"/>
    <w:p w14:paraId="0DF48766">
      <w:pPr>
        <w:pageBreakBefore w:val="0"/>
        <w:kinsoku/>
        <w:wordWrap/>
        <w:overflowPunct/>
        <w:topLinePunct w:val="0"/>
        <w:bidi w:val="0"/>
        <w:adjustRightInd/>
        <w:spacing w:line="360" w:lineRule="auto"/>
        <w:ind w:right="0" w:rightChars="0" w:firstLine="420" w:firstLineChars="200"/>
        <w:jc w:val="left"/>
        <w:rPr>
          <w:rFonts w:ascii="宋体" w:hAnsi="宋体"/>
          <w:szCs w:val="21"/>
        </w:rPr>
      </w:pPr>
      <w:bookmarkStart w:id="1312" w:name="_Toc318581157"/>
      <w:r>
        <w:rPr>
          <w:rFonts w:hint="eastAsia" w:ascii="宋体" w:hAnsi="宋体"/>
          <w:szCs w:val="21"/>
        </w:rPr>
        <w:t>1.10.4 超大件和超重件的运输</w:t>
      </w:r>
    </w:p>
    <w:p w14:paraId="433FFD0E">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运输超大件或超重件所需的道路和桥梁临时加固改造费用和其他有关费用由</w:t>
      </w:r>
      <w:r>
        <w:rPr>
          <w:rFonts w:hint="eastAsia" w:ascii="宋体" w:hAnsi="宋体"/>
          <w:szCs w:val="21"/>
          <w:u w:val="single"/>
          <w:lang w:val="en-US" w:eastAsia="zh-CN"/>
        </w:rPr>
        <w:t xml:space="preserve">            </w:t>
      </w:r>
      <w:r>
        <w:rPr>
          <w:rFonts w:hint="eastAsia" w:ascii="宋体" w:hAnsi="宋体"/>
          <w:szCs w:val="21"/>
        </w:rPr>
        <w:t>承担。</w:t>
      </w:r>
    </w:p>
    <w:bookmarkEnd w:id="1312"/>
    <w:p w14:paraId="6F06F8C2">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313" w:name="_Toc532377329"/>
      <w:r>
        <w:rPr>
          <w:rFonts w:hint="eastAsia"/>
          <w:sz w:val="21"/>
          <w:szCs w:val="21"/>
        </w:rPr>
        <w:t>1.11 知识产权</w:t>
      </w:r>
      <w:bookmarkEnd w:id="1313"/>
    </w:p>
    <w:p w14:paraId="6102DC57">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szCs w:val="21"/>
          <w:u w:val="single"/>
          <w:lang w:val="en-US" w:eastAsia="zh-CN"/>
        </w:rPr>
        <w:t xml:space="preserve">            </w:t>
      </w:r>
      <w:r>
        <w:rPr>
          <w:rFonts w:hint="eastAsia" w:ascii="宋体" w:hAnsi="宋体"/>
          <w:szCs w:val="21"/>
        </w:rPr>
        <w:t>。</w:t>
      </w:r>
    </w:p>
    <w:p w14:paraId="14A43C9F">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关于发包人提供的上述文件的使用限制的要求：</w:t>
      </w:r>
      <w:r>
        <w:rPr>
          <w:rFonts w:hint="eastAsia" w:ascii="宋体" w:hAnsi="宋体"/>
          <w:szCs w:val="21"/>
          <w:u w:val="single"/>
          <w:lang w:val="en-US" w:eastAsia="zh-CN"/>
        </w:rPr>
        <w:t xml:space="preserve">            </w:t>
      </w:r>
      <w:r>
        <w:rPr>
          <w:rFonts w:hint="eastAsia" w:ascii="宋体" w:hAnsi="宋体"/>
          <w:szCs w:val="21"/>
        </w:rPr>
        <w:t>。</w:t>
      </w:r>
    </w:p>
    <w:p w14:paraId="2EF9F562">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1.11.2 关于承包人为实施工程所编制文件的著作权的归属：</w:t>
      </w:r>
      <w:r>
        <w:rPr>
          <w:rFonts w:hint="eastAsia" w:ascii="宋体" w:hAnsi="宋体"/>
          <w:szCs w:val="21"/>
          <w:u w:val="single"/>
          <w:lang w:val="en-US" w:eastAsia="zh-CN"/>
        </w:rPr>
        <w:t xml:space="preserve">            </w:t>
      </w:r>
      <w:r>
        <w:rPr>
          <w:rFonts w:hint="eastAsia" w:ascii="宋体" w:hAnsi="宋体"/>
          <w:szCs w:val="21"/>
        </w:rPr>
        <w:t>。</w:t>
      </w:r>
    </w:p>
    <w:p w14:paraId="7F24EBF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关于承包人提供的上述文件的使用限制的要求：</w:t>
      </w:r>
      <w:r>
        <w:rPr>
          <w:rFonts w:hint="eastAsia" w:ascii="宋体" w:hAnsi="宋体"/>
          <w:szCs w:val="21"/>
          <w:u w:val="single"/>
          <w:lang w:val="en-US" w:eastAsia="zh-CN"/>
        </w:rPr>
        <w:t xml:space="preserve">            </w:t>
      </w:r>
      <w:r>
        <w:rPr>
          <w:rFonts w:hint="eastAsia" w:ascii="宋体" w:hAnsi="宋体"/>
          <w:szCs w:val="21"/>
        </w:rPr>
        <w:t>。</w:t>
      </w:r>
    </w:p>
    <w:p w14:paraId="7FEE9DBC">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1.11.4 承包人在施工过程中所采用的专利、专有技术、技术秘密的使用费的承担方式：</w:t>
      </w:r>
      <w:r>
        <w:rPr>
          <w:rFonts w:hint="eastAsia" w:ascii="宋体" w:hAnsi="宋体"/>
          <w:szCs w:val="21"/>
          <w:u w:val="single"/>
          <w:lang w:val="en-US" w:eastAsia="zh-CN"/>
        </w:rPr>
        <w:t xml:space="preserve">            </w:t>
      </w:r>
      <w:r>
        <w:rPr>
          <w:rFonts w:hint="eastAsia" w:ascii="宋体" w:hAnsi="宋体"/>
          <w:szCs w:val="21"/>
        </w:rPr>
        <w:t>。</w:t>
      </w:r>
    </w:p>
    <w:p w14:paraId="17A17630">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314" w:name="_Toc532377330"/>
      <w:r>
        <w:rPr>
          <w:rFonts w:hint="eastAsia"/>
          <w:sz w:val="21"/>
          <w:szCs w:val="21"/>
        </w:rPr>
        <w:t>1.13工程量清单错误的修正</w:t>
      </w:r>
      <w:bookmarkEnd w:id="1314"/>
    </w:p>
    <w:p w14:paraId="5B3B5D81">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出现工程量清单错误时，是否调整合同价格：</w:t>
      </w:r>
      <w:r>
        <w:rPr>
          <w:rFonts w:hint="eastAsia" w:ascii="宋体" w:hAnsi="宋体"/>
          <w:szCs w:val="21"/>
          <w:u w:val="single"/>
          <w:lang w:val="en-US" w:eastAsia="zh-CN"/>
        </w:rPr>
        <w:t xml:space="preserve">            </w:t>
      </w:r>
      <w:r>
        <w:rPr>
          <w:rFonts w:hint="eastAsia" w:ascii="宋体" w:hAnsi="宋体"/>
          <w:szCs w:val="21"/>
        </w:rPr>
        <w:t>。</w:t>
      </w:r>
    </w:p>
    <w:p w14:paraId="7B23DACF">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允许调整合同价格的工程量偏差范围：</w:t>
      </w:r>
      <w:r>
        <w:rPr>
          <w:rFonts w:hint="eastAsia" w:ascii="宋体" w:hAnsi="宋体"/>
          <w:szCs w:val="21"/>
          <w:u w:val="single"/>
          <w:lang w:val="en-US" w:eastAsia="zh-CN"/>
        </w:rPr>
        <w:t xml:space="preserve">            </w:t>
      </w:r>
      <w:r>
        <w:rPr>
          <w:rFonts w:hint="eastAsia" w:ascii="宋体" w:hAnsi="宋体"/>
          <w:szCs w:val="21"/>
        </w:rPr>
        <w:t>。</w:t>
      </w:r>
    </w:p>
    <w:p w14:paraId="246CEACC">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315" w:name="_Toc351203634"/>
      <w:bookmarkStart w:id="1316" w:name="_Toc532375609"/>
      <w:bookmarkStart w:id="1317" w:name="_Toc532377331"/>
      <w:r>
        <w:rPr>
          <w:rFonts w:hint="eastAsia"/>
          <w:kern w:val="2"/>
          <w:sz w:val="21"/>
          <w:szCs w:val="21"/>
        </w:rPr>
        <w:t>2</w:t>
      </w:r>
      <w:bookmarkStart w:id="1318" w:name="_Toc296347156"/>
      <w:bookmarkStart w:id="1319" w:name="_Toc297120457"/>
      <w:bookmarkStart w:id="1320" w:name="_Toc296346658"/>
      <w:bookmarkStart w:id="1321" w:name="_Toc296944496"/>
      <w:bookmarkStart w:id="1322" w:name="_Toc292559362"/>
      <w:bookmarkStart w:id="1323" w:name="_Toc296890985"/>
      <w:bookmarkStart w:id="1324" w:name="_Toc296891197"/>
      <w:bookmarkStart w:id="1325" w:name="_Toc292559867"/>
      <w:bookmarkStart w:id="1326" w:name="_Toc296503157"/>
      <w:bookmarkStart w:id="1327" w:name="_Toc297048343"/>
      <w:r>
        <w:rPr>
          <w:rFonts w:hint="eastAsia"/>
          <w:kern w:val="2"/>
          <w:sz w:val="21"/>
          <w:szCs w:val="21"/>
        </w:rPr>
        <w:t>. 发包人</w:t>
      </w:r>
      <w:bookmarkEnd w:id="1315"/>
      <w:bookmarkEnd w:id="1316"/>
      <w:bookmarkEnd w:id="1317"/>
    </w:p>
    <w:bookmarkEnd w:id="1318"/>
    <w:bookmarkEnd w:id="1319"/>
    <w:bookmarkEnd w:id="1320"/>
    <w:bookmarkEnd w:id="1321"/>
    <w:bookmarkEnd w:id="1322"/>
    <w:bookmarkEnd w:id="1323"/>
    <w:bookmarkEnd w:id="1324"/>
    <w:bookmarkEnd w:id="1325"/>
    <w:bookmarkEnd w:id="1326"/>
    <w:bookmarkEnd w:id="1327"/>
    <w:p w14:paraId="7688461B">
      <w:pPr>
        <w:pageBreakBefore w:val="0"/>
        <w:kinsoku/>
        <w:wordWrap/>
        <w:overflowPunct/>
        <w:topLinePunct w:val="0"/>
        <w:bidi w:val="0"/>
        <w:adjustRightInd/>
        <w:spacing w:line="360" w:lineRule="auto"/>
        <w:ind w:right="0" w:rightChars="0" w:firstLine="420" w:firstLineChars="200"/>
        <w:jc w:val="left"/>
        <w:rPr>
          <w:rFonts w:ascii="宋体" w:hAnsi="宋体"/>
          <w:b/>
          <w:bCs/>
          <w:szCs w:val="21"/>
        </w:rPr>
      </w:pPr>
      <w:r>
        <w:rPr>
          <w:rFonts w:hint="eastAsia" w:ascii="宋体" w:hAnsi="宋体"/>
          <w:b/>
          <w:bCs/>
          <w:szCs w:val="21"/>
        </w:rPr>
        <w:t>2.2 发包人代表</w:t>
      </w:r>
    </w:p>
    <w:p w14:paraId="7E2414A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发包人代表：</w:t>
      </w:r>
    </w:p>
    <w:p w14:paraId="2FF66A0B">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w:t>
      </w:r>
      <w:r>
        <w:rPr>
          <w:rFonts w:hint="eastAsia" w:ascii="宋体" w:hAnsi="宋体"/>
          <w:szCs w:val="21"/>
        </w:rPr>
        <w:t>；</w:t>
      </w:r>
    </w:p>
    <w:p w14:paraId="07C4A1A0">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xml:space="preserve">              </w:t>
      </w:r>
      <w:r>
        <w:rPr>
          <w:rFonts w:hint="eastAsia" w:ascii="宋体" w:hAnsi="宋体"/>
          <w:szCs w:val="21"/>
        </w:rPr>
        <w:t>；</w:t>
      </w:r>
    </w:p>
    <w:p w14:paraId="0A4D30D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职    务：</w:t>
      </w:r>
      <w:r>
        <w:rPr>
          <w:rFonts w:ascii="宋体" w:hAnsi="宋体"/>
          <w:szCs w:val="21"/>
          <w:u w:val="single"/>
        </w:rPr>
        <w:t xml:space="preserve">              </w:t>
      </w:r>
      <w:r>
        <w:rPr>
          <w:rFonts w:hint="eastAsia" w:ascii="宋体" w:hAnsi="宋体"/>
          <w:szCs w:val="21"/>
        </w:rPr>
        <w:t>；</w:t>
      </w:r>
    </w:p>
    <w:p w14:paraId="093C49CE">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w:t>
      </w:r>
      <w:r>
        <w:rPr>
          <w:rFonts w:hint="eastAsia" w:ascii="宋体" w:hAnsi="宋体"/>
          <w:szCs w:val="21"/>
        </w:rPr>
        <w:t>；</w:t>
      </w:r>
    </w:p>
    <w:p w14:paraId="02C09351">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邮    编：</w:t>
      </w:r>
      <w:r>
        <w:rPr>
          <w:rFonts w:ascii="宋体" w:hAnsi="宋体"/>
          <w:szCs w:val="21"/>
          <w:u w:val="single"/>
        </w:rPr>
        <w:t xml:space="preserve">              </w:t>
      </w:r>
      <w:r>
        <w:rPr>
          <w:rFonts w:hint="eastAsia" w:ascii="宋体" w:hAnsi="宋体"/>
          <w:szCs w:val="21"/>
        </w:rPr>
        <w:t>；</w:t>
      </w:r>
    </w:p>
    <w:p w14:paraId="0168947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发包人对发包人代表的授权范围如下：</w:t>
      </w:r>
      <w:r>
        <w:rPr>
          <w:rFonts w:hint="eastAsia" w:ascii="宋体" w:hAnsi="宋体"/>
          <w:szCs w:val="21"/>
          <w:u w:val="single"/>
          <w:lang w:val="en-US" w:eastAsia="zh-CN"/>
        </w:rPr>
        <w:t xml:space="preserve">            </w:t>
      </w:r>
      <w:r>
        <w:rPr>
          <w:rFonts w:hint="eastAsia" w:ascii="宋体" w:hAnsi="宋体"/>
          <w:szCs w:val="21"/>
        </w:rPr>
        <w:t>。</w:t>
      </w:r>
    </w:p>
    <w:p w14:paraId="6DEFE6F8">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328" w:name="_Toc532377332"/>
      <w:r>
        <w:rPr>
          <w:rFonts w:hint="eastAsia"/>
          <w:sz w:val="21"/>
          <w:szCs w:val="21"/>
        </w:rPr>
        <w:t xml:space="preserve">2.4 </w:t>
      </w:r>
      <w:bookmarkEnd w:id="1328"/>
      <w:r>
        <w:rPr>
          <w:rFonts w:hint="eastAsia"/>
          <w:sz w:val="21"/>
          <w:szCs w:val="21"/>
        </w:rPr>
        <w:t>施工现场、施工条件和基础资料的提供</w:t>
      </w:r>
    </w:p>
    <w:p w14:paraId="1FBE660B">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2.4.1 提供施工现场</w:t>
      </w:r>
    </w:p>
    <w:p w14:paraId="4FCE9392">
      <w:pPr>
        <w:pageBreakBefore w:val="0"/>
        <w:kinsoku/>
        <w:wordWrap/>
        <w:overflowPunct/>
        <w:topLinePunct w:val="0"/>
        <w:bidi w:val="0"/>
        <w:adjustRightInd/>
        <w:spacing w:line="360" w:lineRule="auto"/>
        <w:ind w:right="0" w:rightChars="0" w:firstLine="420" w:firstLineChars="200"/>
        <w:jc w:val="left"/>
        <w:rPr>
          <w:rFonts w:hint="eastAsia" w:ascii="宋体" w:hAnsi="宋体" w:eastAsia="宋体"/>
          <w:szCs w:val="21"/>
          <w:lang w:eastAsia="zh-CN"/>
        </w:rPr>
      </w:pPr>
      <w:r>
        <w:rPr>
          <w:rFonts w:hint="eastAsia" w:ascii="宋体" w:hAnsi="宋体"/>
          <w:szCs w:val="21"/>
        </w:rPr>
        <w:t>关于发包人移交施工现场的期限要求：</w:t>
      </w:r>
      <w:r>
        <w:rPr>
          <w:rFonts w:hint="eastAsia" w:ascii="宋体" w:hAnsi="宋体"/>
          <w:szCs w:val="21"/>
          <w:u w:val="single"/>
          <w:lang w:val="en-US" w:eastAsia="zh-CN"/>
        </w:rPr>
        <w:t xml:space="preserve">            </w:t>
      </w:r>
      <w:r>
        <w:rPr>
          <w:rFonts w:hint="eastAsia" w:ascii="宋体" w:hAnsi="宋体"/>
          <w:szCs w:val="21"/>
          <w:lang w:eastAsia="zh-CN"/>
        </w:rPr>
        <w:t>。</w:t>
      </w:r>
    </w:p>
    <w:p w14:paraId="37554492">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2.4.2 提供施工条件</w:t>
      </w:r>
    </w:p>
    <w:p w14:paraId="1857739C">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关于发包人应负责提供施工所需要的条件，包括：</w:t>
      </w:r>
      <w:r>
        <w:rPr>
          <w:rFonts w:hint="eastAsia" w:ascii="宋体" w:hAnsi="宋体"/>
          <w:szCs w:val="21"/>
          <w:u w:val="single"/>
          <w:lang w:val="en-US" w:eastAsia="zh-CN"/>
        </w:rPr>
        <w:t xml:space="preserve">            </w:t>
      </w:r>
      <w:r>
        <w:rPr>
          <w:rFonts w:hint="eastAsia" w:ascii="宋体" w:hAnsi="宋体"/>
          <w:szCs w:val="21"/>
        </w:rPr>
        <w:t>。</w:t>
      </w:r>
    </w:p>
    <w:p w14:paraId="565A706B">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329" w:name="_Toc532377333"/>
      <w:r>
        <w:rPr>
          <w:rFonts w:hint="eastAsia"/>
          <w:sz w:val="21"/>
          <w:szCs w:val="21"/>
        </w:rPr>
        <w:t xml:space="preserve">2.5 </w:t>
      </w:r>
      <w:bookmarkEnd w:id="1329"/>
      <w:r>
        <w:rPr>
          <w:rFonts w:hint="eastAsia"/>
          <w:sz w:val="21"/>
          <w:szCs w:val="21"/>
        </w:rPr>
        <w:t>资金来源证明及支付担保</w:t>
      </w:r>
    </w:p>
    <w:p w14:paraId="2309AEFF">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发包人提供资金来源证明的期限要求：</w:t>
      </w:r>
      <w:r>
        <w:rPr>
          <w:rFonts w:hint="eastAsia" w:ascii="宋体" w:hAnsi="宋体"/>
          <w:szCs w:val="21"/>
          <w:u w:val="single"/>
          <w:lang w:val="en-US" w:eastAsia="zh-CN"/>
        </w:rPr>
        <w:t xml:space="preserve"> / </w:t>
      </w:r>
      <w:r>
        <w:rPr>
          <w:rFonts w:hint="eastAsia" w:ascii="宋体" w:hAnsi="宋体"/>
          <w:szCs w:val="21"/>
        </w:rPr>
        <w:t>。</w:t>
      </w:r>
    </w:p>
    <w:p w14:paraId="39369A19">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发包人是否提供支付担保：</w:t>
      </w:r>
      <w:r>
        <w:rPr>
          <w:rFonts w:hint="eastAsia" w:ascii="宋体" w:hAnsi="宋体"/>
          <w:szCs w:val="21"/>
          <w:u w:val="single"/>
          <w:lang w:val="en-US" w:eastAsia="zh-CN"/>
        </w:rPr>
        <w:t xml:space="preserve"> 不提供 </w:t>
      </w:r>
      <w:r>
        <w:rPr>
          <w:rFonts w:hint="eastAsia" w:ascii="宋体" w:hAnsi="宋体"/>
          <w:szCs w:val="21"/>
        </w:rPr>
        <w:t>。</w:t>
      </w:r>
    </w:p>
    <w:p w14:paraId="62D7CEDC">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发包人提供支付担保的形式：</w:t>
      </w:r>
      <w:r>
        <w:rPr>
          <w:rFonts w:hint="eastAsia" w:ascii="宋体" w:hAnsi="宋体"/>
          <w:szCs w:val="21"/>
          <w:u w:val="single"/>
          <w:lang w:val="en-US" w:eastAsia="zh-CN"/>
        </w:rPr>
        <w:t xml:space="preserve"> / </w:t>
      </w:r>
      <w:r>
        <w:rPr>
          <w:rFonts w:hint="eastAsia" w:ascii="宋体" w:hAnsi="宋体"/>
          <w:szCs w:val="21"/>
        </w:rPr>
        <w:t>。</w:t>
      </w:r>
    </w:p>
    <w:p w14:paraId="65AB0425">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330" w:name="_Toc532375610"/>
      <w:bookmarkStart w:id="1331" w:name="_Toc351203635"/>
      <w:bookmarkStart w:id="1332" w:name="_Toc532377334"/>
      <w:r>
        <w:rPr>
          <w:rFonts w:hint="eastAsia"/>
          <w:kern w:val="2"/>
          <w:sz w:val="21"/>
          <w:szCs w:val="21"/>
        </w:rPr>
        <w:t>3</w:t>
      </w:r>
      <w:bookmarkStart w:id="1333" w:name="_Toc297048344"/>
      <w:bookmarkStart w:id="1334" w:name="_Toc296347157"/>
      <w:bookmarkStart w:id="1335" w:name="_Toc296890986"/>
      <w:bookmarkStart w:id="1336" w:name="_Toc292559868"/>
      <w:bookmarkStart w:id="1337" w:name="_Toc296503158"/>
      <w:bookmarkStart w:id="1338" w:name="_Toc296944497"/>
      <w:bookmarkStart w:id="1339" w:name="_Toc292559363"/>
      <w:bookmarkStart w:id="1340" w:name="_Toc297120458"/>
      <w:bookmarkStart w:id="1341" w:name="_Toc296891198"/>
      <w:bookmarkStart w:id="1342" w:name="_Toc296346659"/>
      <w:r>
        <w:rPr>
          <w:rFonts w:hint="eastAsia"/>
          <w:kern w:val="2"/>
          <w:sz w:val="21"/>
          <w:szCs w:val="21"/>
        </w:rPr>
        <w:t>. 承包人</w:t>
      </w:r>
      <w:bookmarkEnd w:id="1330"/>
      <w:bookmarkEnd w:id="1331"/>
      <w:bookmarkEnd w:id="1332"/>
    </w:p>
    <w:bookmarkEnd w:id="1333"/>
    <w:bookmarkEnd w:id="1334"/>
    <w:bookmarkEnd w:id="1335"/>
    <w:bookmarkEnd w:id="1336"/>
    <w:bookmarkEnd w:id="1337"/>
    <w:bookmarkEnd w:id="1338"/>
    <w:bookmarkEnd w:id="1339"/>
    <w:bookmarkEnd w:id="1340"/>
    <w:bookmarkEnd w:id="1341"/>
    <w:bookmarkEnd w:id="1342"/>
    <w:p w14:paraId="79E9A488">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343" w:name="_Toc532377335"/>
      <w:r>
        <w:rPr>
          <w:rFonts w:hint="eastAsia"/>
          <w:sz w:val="21"/>
          <w:szCs w:val="21"/>
        </w:rPr>
        <w:t>3.1 承包人的一般义务</w:t>
      </w:r>
      <w:bookmarkEnd w:id="1343"/>
    </w:p>
    <w:p w14:paraId="1A0E34C5">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（9）承包人提交的竣工资料的内容：</w:t>
      </w:r>
      <w:r>
        <w:rPr>
          <w:rFonts w:hint="eastAsia" w:ascii="宋体" w:hAnsi="宋体"/>
          <w:szCs w:val="21"/>
          <w:u w:val="single"/>
          <w:lang w:val="en-US" w:eastAsia="zh-CN"/>
        </w:rPr>
        <w:t xml:space="preserve">            </w:t>
      </w:r>
      <w:r>
        <w:rPr>
          <w:rFonts w:hint="eastAsia" w:ascii="宋体" w:hAnsi="宋体"/>
          <w:szCs w:val="21"/>
        </w:rPr>
        <w:t>。</w:t>
      </w:r>
    </w:p>
    <w:p w14:paraId="7EEFFC42">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承包人需要提交的竣工资料套数：</w:t>
      </w:r>
      <w:r>
        <w:rPr>
          <w:rFonts w:hint="eastAsia" w:ascii="宋体" w:hAnsi="宋体"/>
          <w:szCs w:val="21"/>
          <w:u w:val="single"/>
          <w:lang w:val="en-US" w:eastAsia="zh-CN"/>
        </w:rPr>
        <w:t xml:space="preserve">            </w:t>
      </w:r>
      <w:r>
        <w:rPr>
          <w:rFonts w:hint="eastAsia" w:ascii="宋体" w:hAnsi="宋体"/>
          <w:szCs w:val="21"/>
        </w:rPr>
        <w:t>。</w:t>
      </w:r>
    </w:p>
    <w:p w14:paraId="0858F9BB">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承包人提交的竣工资料的费用承担：</w:t>
      </w:r>
      <w:r>
        <w:rPr>
          <w:rFonts w:hint="eastAsia" w:ascii="宋体" w:hAnsi="宋体"/>
          <w:szCs w:val="21"/>
          <w:u w:val="single"/>
          <w:lang w:val="en-US" w:eastAsia="zh-CN"/>
        </w:rPr>
        <w:t xml:space="preserve">            </w:t>
      </w:r>
      <w:r>
        <w:rPr>
          <w:rFonts w:hint="eastAsia" w:ascii="宋体" w:hAnsi="宋体"/>
          <w:szCs w:val="21"/>
        </w:rPr>
        <w:t>。</w:t>
      </w:r>
    </w:p>
    <w:p w14:paraId="0DD35FCC">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承包人提交的竣工资料移交时间：</w:t>
      </w:r>
      <w:r>
        <w:rPr>
          <w:rFonts w:hint="eastAsia" w:ascii="宋体" w:hAnsi="宋体"/>
          <w:szCs w:val="21"/>
          <w:u w:val="single"/>
          <w:lang w:val="en-US" w:eastAsia="zh-CN"/>
        </w:rPr>
        <w:t xml:space="preserve">            </w:t>
      </w:r>
      <w:r>
        <w:rPr>
          <w:rFonts w:hint="eastAsia" w:ascii="宋体" w:hAnsi="宋体"/>
          <w:szCs w:val="21"/>
        </w:rPr>
        <w:t>。</w:t>
      </w:r>
    </w:p>
    <w:p w14:paraId="15277E6B">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承包人提交的竣工资料形式要求：</w:t>
      </w:r>
      <w:r>
        <w:rPr>
          <w:rFonts w:hint="eastAsia" w:ascii="宋体" w:hAnsi="宋体"/>
          <w:szCs w:val="21"/>
          <w:u w:val="single"/>
          <w:lang w:val="en-US" w:eastAsia="zh-CN"/>
        </w:rPr>
        <w:t xml:space="preserve">            </w:t>
      </w:r>
      <w:r>
        <w:rPr>
          <w:rFonts w:hint="eastAsia" w:ascii="宋体" w:hAnsi="宋体"/>
          <w:szCs w:val="21"/>
        </w:rPr>
        <w:t>。</w:t>
      </w:r>
    </w:p>
    <w:p w14:paraId="65A369A7">
      <w:pPr>
        <w:pageBreakBefore w:val="0"/>
        <w:kinsoku/>
        <w:wordWrap/>
        <w:overflowPunct/>
        <w:topLinePunct w:val="0"/>
        <w:bidi w:val="0"/>
        <w:adjustRightInd/>
        <w:spacing w:line="360" w:lineRule="auto"/>
        <w:ind w:right="0" w:rightChars="0" w:firstLine="420" w:firstLineChars="200"/>
        <w:jc w:val="left"/>
        <w:rPr>
          <w:rFonts w:hint="eastAsia" w:ascii="宋体" w:hAnsi="宋体" w:eastAsia="宋体"/>
          <w:szCs w:val="21"/>
          <w:u w:val="single"/>
          <w:lang w:eastAsia="zh-CN"/>
        </w:rPr>
      </w:pPr>
      <w:r>
        <w:rPr>
          <w:rFonts w:hint="eastAsia" w:ascii="宋体" w:hAnsi="宋体"/>
          <w:szCs w:val="21"/>
        </w:rPr>
        <w:t>（10）承包人应履行的其他义务</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rPr>
        <w:t>。</w:t>
      </w:r>
    </w:p>
    <w:p w14:paraId="651BEC5B">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344" w:name="_Toc532377336"/>
      <w:r>
        <w:rPr>
          <w:rFonts w:hint="eastAsia"/>
          <w:sz w:val="21"/>
          <w:szCs w:val="21"/>
        </w:rPr>
        <w:t>3.2 项目经理</w:t>
      </w:r>
      <w:bookmarkEnd w:id="1344"/>
    </w:p>
    <w:p w14:paraId="2401341A">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kern w:val="0"/>
          <w:szCs w:val="21"/>
        </w:rPr>
        <w:t xml:space="preserve">3.2.1 </w:t>
      </w:r>
      <w:r>
        <w:rPr>
          <w:rFonts w:hint="eastAsia" w:ascii="宋体" w:hAnsi="宋体"/>
          <w:szCs w:val="21"/>
        </w:rPr>
        <w:t>项目经理：</w:t>
      </w:r>
    </w:p>
    <w:p w14:paraId="108B034B">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姓    名：</w:t>
      </w:r>
      <w:r>
        <w:rPr>
          <w:rFonts w:hint="eastAsia" w:ascii="宋体" w:hAnsi="宋体"/>
          <w:szCs w:val="21"/>
          <w:u w:val="single"/>
          <w:lang w:val="en-US" w:eastAsia="zh-CN"/>
        </w:rPr>
        <w:t xml:space="preserve">                                    </w:t>
      </w:r>
      <w:r>
        <w:rPr>
          <w:rFonts w:hint="eastAsia" w:ascii="宋体" w:hAnsi="宋体"/>
          <w:szCs w:val="21"/>
        </w:rPr>
        <w:t>；</w:t>
      </w:r>
    </w:p>
    <w:p w14:paraId="2DECE9D8">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身份证号：</w:t>
      </w:r>
      <w:r>
        <w:rPr>
          <w:rFonts w:hint="eastAsia" w:ascii="宋体" w:hAnsi="宋体"/>
          <w:szCs w:val="21"/>
          <w:u w:val="single"/>
          <w:lang w:val="en-US" w:eastAsia="zh-CN"/>
        </w:rPr>
        <w:t xml:space="preserve">                                    </w:t>
      </w:r>
      <w:r>
        <w:rPr>
          <w:rFonts w:hint="eastAsia" w:ascii="宋体" w:hAnsi="宋体"/>
          <w:szCs w:val="21"/>
        </w:rPr>
        <w:t>；</w:t>
      </w:r>
    </w:p>
    <w:p w14:paraId="5F66BEB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建造师执业资格等级：</w:t>
      </w:r>
      <w:r>
        <w:rPr>
          <w:rFonts w:hint="eastAsia" w:ascii="宋体" w:hAnsi="宋体"/>
          <w:szCs w:val="21"/>
          <w:u w:val="single"/>
          <w:lang w:val="en-US" w:eastAsia="zh-CN"/>
        </w:rPr>
        <w:t xml:space="preserve">                          </w:t>
      </w:r>
      <w:r>
        <w:rPr>
          <w:rFonts w:hint="eastAsia" w:ascii="宋体" w:hAnsi="宋体"/>
          <w:szCs w:val="21"/>
        </w:rPr>
        <w:t>；</w:t>
      </w:r>
    </w:p>
    <w:p w14:paraId="0EB6BB63">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建造师注册证书号：</w:t>
      </w:r>
      <w:r>
        <w:rPr>
          <w:rFonts w:hint="eastAsia" w:ascii="宋体" w:hAnsi="宋体"/>
          <w:szCs w:val="21"/>
          <w:u w:val="single"/>
          <w:lang w:val="en-US" w:eastAsia="zh-CN"/>
        </w:rPr>
        <w:t xml:space="preserve">                            </w:t>
      </w:r>
      <w:r>
        <w:rPr>
          <w:rFonts w:hint="eastAsia" w:ascii="宋体" w:hAnsi="宋体"/>
          <w:szCs w:val="21"/>
        </w:rPr>
        <w:t>；</w:t>
      </w:r>
    </w:p>
    <w:p w14:paraId="3142264C">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建造师执业印章号：</w:t>
      </w:r>
      <w:r>
        <w:rPr>
          <w:rFonts w:hint="eastAsia" w:ascii="宋体" w:hAnsi="宋体"/>
          <w:szCs w:val="21"/>
          <w:u w:val="single"/>
          <w:lang w:val="en-US" w:eastAsia="zh-CN"/>
        </w:rPr>
        <w:t xml:space="preserve">                            </w:t>
      </w:r>
      <w:r>
        <w:rPr>
          <w:rFonts w:hint="eastAsia" w:ascii="宋体" w:hAnsi="宋体"/>
          <w:szCs w:val="21"/>
        </w:rPr>
        <w:t>；</w:t>
      </w:r>
    </w:p>
    <w:p w14:paraId="44AC6C5D">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安全生产考核合格证书号：</w:t>
      </w:r>
      <w:r>
        <w:rPr>
          <w:rFonts w:hint="eastAsia" w:ascii="宋体" w:hAnsi="宋体"/>
          <w:szCs w:val="21"/>
          <w:u w:val="single"/>
          <w:lang w:val="en-US" w:eastAsia="zh-CN"/>
        </w:rPr>
        <w:t xml:space="preserve">                      </w:t>
      </w:r>
      <w:r>
        <w:rPr>
          <w:rFonts w:hint="eastAsia" w:ascii="宋体" w:hAnsi="宋体"/>
          <w:szCs w:val="21"/>
        </w:rPr>
        <w:t>；</w:t>
      </w:r>
    </w:p>
    <w:p w14:paraId="52033140">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联系方式：</w:t>
      </w:r>
      <w:r>
        <w:rPr>
          <w:rFonts w:hint="eastAsia" w:ascii="宋体" w:hAnsi="宋体"/>
          <w:szCs w:val="21"/>
          <w:u w:val="single"/>
          <w:lang w:val="en-US" w:eastAsia="zh-CN"/>
        </w:rPr>
        <w:t xml:space="preserve">                                    </w:t>
      </w:r>
      <w:r>
        <w:rPr>
          <w:rFonts w:hint="eastAsia" w:ascii="宋体" w:hAnsi="宋体"/>
          <w:szCs w:val="21"/>
        </w:rPr>
        <w:t>。</w:t>
      </w:r>
    </w:p>
    <w:p w14:paraId="68382B01">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承包人对项目经理的授权范围如下：</w:t>
      </w:r>
      <w:r>
        <w:rPr>
          <w:rFonts w:hint="eastAsia" w:ascii="宋体" w:hAnsi="宋体"/>
          <w:szCs w:val="21"/>
          <w:u w:val="single"/>
          <w:lang w:val="en-US" w:eastAsia="zh-CN"/>
        </w:rPr>
        <w:t xml:space="preserve">            </w:t>
      </w:r>
      <w:r>
        <w:rPr>
          <w:rFonts w:hint="eastAsia" w:ascii="宋体" w:hAnsi="宋体"/>
          <w:szCs w:val="21"/>
        </w:rPr>
        <w:t>。</w:t>
      </w:r>
    </w:p>
    <w:p w14:paraId="2ED8E913">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关于项目经理每月在施工现场的时间要求：</w:t>
      </w:r>
      <w:r>
        <w:rPr>
          <w:rFonts w:hint="eastAsia" w:ascii="宋体" w:hAnsi="宋体"/>
          <w:szCs w:val="21"/>
          <w:u w:val="single"/>
          <w:lang w:val="en-US" w:eastAsia="zh-CN"/>
        </w:rPr>
        <w:t xml:space="preserve">            </w:t>
      </w:r>
      <w:r>
        <w:rPr>
          <w:rFonts w:hint="eastAsia" w:ascii="宋体" w:hAnsi="宋体"/>
          <w:szCs w:val="21"/>
        </w:rPr>
        <w:t>。</w:t>
      </w:r>
    </w:p>
    <w:p w14:paraId="208CE1C9">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u w:val="none"/>
        </w:rPr>
        <w:t>承包人未提交劳动合同，以及没有为项目经理缴纳社会保险证明的违约责任：</w:t>
      </w:r>
      <w:r>
        <w:rPr>
          <w:rFonts w:hint="eastAsia" w:ascii="宋体" w:hAnsi="宋体"/>
          <w:szCs w:val="21"/>
          <w:u w:val="single"/>
          <w:lang w:val="en-US" w:eastAsia="zh-CN"/>
        </w:rPr>
        <w:t xml:space="preserve">            </w:t>
      </w:r>
      <w:r>
        <w:rPr>
          <w:rFonts w:hint="eastAsia" w:ascii="宋体" w:hAnsi="宋体"/>
          <w:szCs w:val="21"/>
        </w:rPr>
        <w:t>。</w:t>
      </w:r>
    </w:p>
    <w:p w14:paraId="4EE28D1B">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项目经理未经批准，擅自离开施工现场的违约责任</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rPr>
        <w:t>。</w:t>
      </w:r>
      <w:bookmarkStart w:id="1345" w:name="_Hlk528927599"/>
    </w:p>
    <w:bookmarkEnd w:id="1345"/>
    <w:p w14:paraId="37C9A77A">
      <w:pPr>
        <w:pageBreakBefore w:val="0"/>
        <w:kinsoku/>
        <w:wordWrap/>
        <w:overflowPunct/>
        <w:topLinePunct w:val="0"/>
        <w:bidi w:val="0"/>
        <w:adjustRightInd/>
        <w:spacing w:line="360" w:lineRule="auto"/>
        <w:ind w:right="0" w:rightChars="0" w:firstLine="420" w:firstLineChars="200"/>
        <w:jc w:val="left"/>
        <w:rPr>
          <w:rFonts w:ascii="宋体" w:hAnsi="宋体"/>
          <w:szCs w:val="21"/>
        </w:rPr>
      </w:pPr>
      <w:bookmarkStart w:id="1346" w:name="_Hlk528927718"/>
      <w:r>
        <w:rPr>
          <w:rFonts w:hint="eastAsia" w:ascii="宋体" w:hAnsi="宋体"/>
          <w:szCs w:val="21"/>
        </w:rPr>
        <w:t xml:space="preserve">3.2.3 </w:t>
      </w:r>
      <w:bookmarkEnd w:id="1346"/>
      <w:r>
        <w:rPr>
          <w:rFonts w:hint="eastAsia" w:ascii="宋体" w:hAnsi="宋体"/>
          <w:szCs w:val="21"/>
        </w:rPr>
        <w:t>承包人擅自更换项目经理的违约责任</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rPr>
        <w:t>。</w:t>
      </w:r>
    </w:p>
    <w:p w14:paraId="062BD14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3.2.4 承包人无正当理由拒绝更换项目经理的违约责任</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rPr>
        <w:t>。</w:t>
      </w:r>
    </w:p>
    <w:p w14:paraId="25C71281">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347" w:name="_Toc532377337"/>
      <w:r>
        <w:rPr>
          <w:rFonts w:hint="eastAsia"/>
          <w:sz w:val="21"/>
          <w:szCs w:val="21"/>
        </w:rPr>
        <w:t>3.3 承包人人员</w:t>
      </w:r>
      <w:bookmarkEnd w:id="1347"/>
    </w:p>
    <w:p w14:paraId="7D16997B">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3.3.1 承包人提交项目管理机构及施工现场管理人员安排报告的期限：</w:t>
      </w:r>
      <w:r>
        <w:rPr>
          <w:rFonts w:hint="eastAsia" w:ascii="宋体" w:hAnsi="宋体"/>
          <w:szCs w:val="21"/>
          <w:u w:val="single"/>
          <w:lang w:val="en-US" w:eastAsia="zh-CN"/>
        </w:rPr>
        <w:t xml:space="preserve">            </w:t>
      </w:r>
      <w:r>
        <w:rPr>
          <w:rFonts w:hint="eastAsia" w:ascii="宋体" w:hAnsi="宋体"/>
          <w:szCs w:val="21"/>
        </w:rPr>
        <w:t>。</w:t>
      </w:r>
    </w:p>
    <w:p w14:paraId="0A382493">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3.3.3 承包人无正当理由拒绝撤换主要施工管理人员的违约责任：</w:t>
      </w:r>
      <w:r>
        <w:rPr>
          <w:rFonts w:hint="eastAsia" w:ascii="宋体" w:hAnsi="宋体"/>
          <w:szCs w:val="21"/>
          <w:u w:val="single"/>
          <w:lang w:val="en-US" w:eastAsia="zh-CN"/>
        </w:rPr>
        <w:t xml:space="preserve">            </w:t>
      </w:r>
      <w:r>
        <w:rPr>
          <w:rFonts w:hint="eastAsia" w:ascii="宋体" w:hAnsi="宋体"/>
          <w:szCs w:val="21"/>
        </w:rPr>
        <w:t>。</w:t>
      </w:r>
    </w:p>
    <w:p w14:paraId="0EAF2063">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3.3.4 承包人主要施工管理人员离开施工现场的批准要求：</w:t>
      </w:r>
      <w:r>
        <w:rPr>
          <w:rFonts w:hint="eastAsia" w:ascii="宋体" w:hAnsi="宋体"/>
          <w:szCs w:val="21"/>
          <w:u w:val="single"/>
          <w:lang w:val="en-US" w:eastAsia="zh-CN"/>
        </w:rPr>
        <w:t xml:space="preserve">            </w:t>
      </w:r>
      <w:r>
        <w:rPr>
          <w:rFonts w:hint="eastAsia" w:ascii="宋体" w:hAnsi="宋体"/>
          <w:szCs w:val="21"/>
        </w:rPr>
        <w:t>。</w:t>
      </w:r>
    </w:p>
    <w:p w14:paraId="25AA99B3">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3.3.5承包人擅自更换主要施工管理人员的违约责任：</w:t>
      </w:r>
      <w:r>
        <w:rPr>
          <w:rFonts w:hint="eastAsia" w:ascii="宋体" w:hAnsi="宋体"/>
          <w:szCs w:val="21"/>
          <w:u w:val="single"/>
          <w:lang w:val="en-US" w:eastAsia="zh-CN"/>
        </w:rPr>
        <w:t xml:space="preserve">            </w:t>
      </w:r>
      <w:r>
        <w:rPr>
          <w:rFonts w:hint="eastAsia" w:ascii="宋体" w:hAnsi="宋体"/>
          <w:szCs w:val="21"/>
        </w:rPr>
        <w:t>。</w:t>
      </w:r>
    </w:p>
    <w:p w14:paraId="533664B8">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承包人主要施工管理人员擅自离开施工现场的违约责任：</w:t>
      </w:r>
      <w:r>
        <w:rPr>
          <w:rFonts w:hint="eastAsia" w:ascii="宋体" w:hAnsi="宋体"/>
          <w:szCs w:val="21"/>
          <w:u w:val="single"/>
          <w:lang w:val="en-US" w:eastAsia="zh-CN"/>
        </w:rPr>
        <w:t xml:space="preserve">            </w:t>
      </w:r>
      <w:r>
        <w:rPr>
          <w:rFonts w:hint="eastAsia" w:ascii="宋体" w:hAnsi="宋体"/>
          <w:szCs w:val="21"/>
        </w:rPr>
        <w:t>。</w:t>
      </w:r>
    </w:p>
    <w:p w14:paraId="7D6E5FE3">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348" w:name="_Toc532377338"/>
      <w:r>
        <w:rPr>
          <w:rFonts w:hint="eastAsia"/>
          <w:sz w:val="21"/>
          <w:szCs w:val="21"/>
        </w:rPr>
        <w:t>3</w:t>
      </w:r>
      <w:bookmarkStart w:id="1349" w:name="_Toc297120459"/>
      <w:bookmarkStart w:id="1350" w:name="_Toc296346660"/>
      <w:bookmarkStart w:id="1351" w:name="_Toc297048345"/>
      <w:bookmarkStart w:id="1352" w:name="_Toc297123492"/>
      <w:bookmarkStart w:id="1353" w:name="_Toc303539102"/>
      <w:bookmarkStart w:id="1354" w:name="_Toc296944498"/>
      <w:bookmarkStart w:id="1355" w:name="_Toc296347158"/>
      <w:bookmarkStart w:id="1356" w:name="_Toc292559364"/>
      <w:bookmarkStart w:id="1357" w:name="_Toc296890987"/>
      <w:bookmarkStart w:id="1358" w:name="_Toc312677988"/>
      <w:bookmarkStart w:id="1359" w:name="_Toc304295523"/>
      <w:bookmarkStart w:id="1360" w:name="_Toc300934945"/>
      <w:bookmarkStart w:id="1361" w:name="_Toc297216151"/>
      <w:bookmarkStart w:id="1362" w:name="_Toc292559869"/>
      <w:bookmarkStart w:id="1363" w:name="_Toc296891199"/>
      <w:bookmarkStart w:id="1364" w:name="_Toc296503159"/>
      <w:r>
        <w:rPr>
          <w:rFonts w:hint="eastAsia"/>
          <w:sz w:val="21"/>
          <w:szCs w:val="21"/>
        </w:rPr>
        <w:t>.5 分包</w:t>
      </w:r>
      <w:bookmarkEnd w:id="1348"/>
    </w:p>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p w14:paraId="469A58EA">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3.5.1 分包的一般约定</w:t>
      </w:r>
    </w:p>
    <w:p w14:paraId="2CCFE8A7">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禁止分包的工程包括：</w:t>
      </w:r>
      <w:r>
        <w:rPr>
          <w:rFonts w:hint="eastAsia" w:ascii="宋体" w:hAnsi="宋体"/>
          <w:szCs w:val="21"/>
          <w:u w:val="single"/>
          <w:lang w:val="en-US" w:eastAsia="zh-CN"/>
        </w:rPr>
        <w:t xml:space="preserve">            </w:t>
      </w:r>
      <w:r>
        <w:rPr>
          <w:rFonts w:hint="eastAsia" w:ascii="宋体" w:hAnsi="宋体"/>
          <w:szCs w:val="21"/>
        </w:rPr>
        <w:t>。</w:t>
      </w:r>
    </w:p>
    <w:p w14:paraId="62F920F4">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主体结构、关键性工作的范围：</w:t>
      </w:r>
      <w:r>
        <w:rPr>
          <w:rFonts w:hint="eastAsia" w:ascii="宋体" w:hAnsi="宋体"/>
          <w:szCs w:val="21"/>
          <w:u w:val="single"/>
          <w:lang w:val="en-US" w:eastAsia="zh-CN"/>
        </w:rPr>
        <w:t xml:space="preserve">            </w:t>
      </w:r>
      <w:r>
        <w:rPr>
          <w:rFonts w:hint="eastAsia" w:ascii="宋体" w:hAnsi="宋体"/>
          <w:szCs w:val="21"/>
        </w:rPr>
        <w:t>。</w:t>
      </w:r>
    </w:p>
    <w:p w14:paraId="4BEE055C">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3.5.2分包的确定</w:t>
      </w:r>
    </w:p>
    <w:p w14:paraId="4C9F7481">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允许分包的专业工程包括：</w:t>
      </w:r>
      <w:r>
        <w:rPr>
          <w:rFonts w:hint="eastAsia" w:ascii="宋体" w:hAnsi="宋体"/>
          <w:szCs w:val="21"/>
          <w:u w:val="single"/>
          <w:lang w:val="en-US" w:eastAsia="zh-CN"/>
        </w:rPr>
        <w:t xml:space="preserve">            </w:t>
      </w:r>
      <w:r>
        <w:rPr>
          <w:rFonts w:hint="eastAsia" w:ascii="宋体" w:hAnsi="宋体"/>
          <w:szCs w:val="21"/>
        </w:rPr>
        <w:t>。</w:t>
      </w:r>
    </w:p>
    <w:p w14:paraId="59968D38">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其他关于分包的约定：</w:t>
      </w:r>
      <w:r>
        <w:rPr>
          <w:rFonts w:hint="eastAsia" w:ascii="宋体" w:hAnsi="宋体"/>
          <w:szCs w:val="21"/>
          <w:u w:val="single"/>
          <w:lang w:val="en-US" w:eastAsia="zh-CN"/>
        </w:rPr>
        <w:t xml:space="preserve">            </w:t>
      </w:r>
      <w:r>
        <w:rPr>
          <w:rFonts w:hint="eastAsia" w:ascii="宋体" w:hAnsi="宋体"/>
          <w:szCs w:val="21"/>
        </w:rPr>
        <w:t>。</w:t>
      </w:r>
    </w:p>
    <w:p w14:paraId="141D0040">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3.5.4 分包合同价款</w:t>
      </w:r>
    </w:p>
    <w:p w14:paraId="72B7FF3B">
      <w:pPr>
        <w:pStyle w:val="7"/>
        <w:pageBreakBefore w:val="0"/>
        <w:kinsoku/>
        <w:wordWrap/>
        <w:overflowPunct/>
        <w:topLinePunct w:val="0"/>
        <w:bidi w:val="0"/>
        <w:adjustRightInd/>
        <w:spacing w:before="0" w:beforeAutospacing="0" w:after="0" w:afterAutospacing="0" w:line="360" w:lineRule="auto"/>
        <w:ind w:right="0" w:rightChars="0" w:firstLine="400" w:firstLineChars="200"/>
        <w:rPr>
          <w:rFonts w:hint="eastAsia" w:ascii="宋体" w:hAnsi="宋体"/>
          <w:szCs w:val="21"/>
        </w:rPr>
      </w:pPr>
      <w:r>
        <w:rPr>
          <w:rFonts w:hint="eastAsia" w:ascii="宋体" w:hAnsi="宋体"/>
          <w:szCs w:val="21"/>
        </w:rPr>
        <w:t>关于分包合同价款支付的约定：</w:t>
      </w:r>
      <w:r>
        <w:rPr>
          <w:rFonts w:hint="eastAsia" w:ascii="宋体" w:hAnsi="宋体"/>
          <w:szCs w:val="21"/>
          <w:u w:val="single"/>
          <w:lang w:val="en-US" w:eastAsia="zh-CN"/>
        </w:rPr>
        <w:t xml:space="preserve">            </w:t>
      </w:r>
      <w:r>
        <w:rPr>
          <w:rFonts w:hint="eastAsia" w:ascii="宋体" w:hAnsi="宋体"/>
          <w:szCs w:val="21"/>
        </w:rPr>
        <w:t>。</w:t>
      </w:r>
    </w:p>
    <w:p w14:paraId="01F9C8E1">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r>
        <w:rPr>
          <w:rFonts w:hint="eastAsia"/>
          <w:sz w:val="21"/>
          <w:szCs w:val="21"/>
        </w:rPr>
        <w:t>3.</w:t>
      </w:r>
      <w:r>
        <w:rPr>
          <w:rFonts w:hint="eastAsia"/>
          <w:sz w:val="21"/>
          <w:szCs w:val="21"/>
          <w:lang w:val="en-US" w:eastAsia="zh-CN"/>
        </w:rPr>
        <w:t>6</w:t>
      </w:r>
      <w:r>
        <w:rPr>
          <w:rFonts w:hint="eastAsia"/>
          <w:sz w:val="21"/>
          <w:szCs w:val="21"/>
        </w:rPr>
        <w:t xml:space="preserve"> 工程照管与成品、半成品保护</w:t>
      </w:r>
    </w:p>
    <w:p w14:paraId="265AE04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承包人负责照管工程及工程相关的材料、工程设备的起始时间：</w:t>
      </w:r>
      <w:r>
        <w:rPr>
          <w:rFonts w:hint="eastAsia" w:ascii="宋体" w:hAnsi="宋体"/>
          <w:szCs w:val="21"/>
          <w:u w:val="single"/>
          <w:lang w:val="en-US" w:eastAsia="zh-CN"/>
        </w:rPr>
        <w:t xml:space="preserve">            </w:t>
      </w:r>
      <w:r>
        <w:rPr>
          <w:rFonts w:hint="eastAsia" w:ascii="宋体" w:hAnsi="宋体"/>
          <w:szCs w:val="21"/>
        </w:rPr>
        <w:t>。</w:t>
      </w:r>
    </w:p>
    <w:p w14:paraId="30C2A4C5">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365" w:name="_Toc532377339"/>
      <w:r>
        <w:rPr>
          <w:rFonts w:hint="eastAsia"/>
          <w:sz w:val="21"/>
          <w:szCs w:val="21"/>
        </w:rPr>
        <w:t>3.7 履约担保</w:t>
      </w:r>
      <w:bookmarkEnd w:id="1365"/>
    </w:p>
    <w:p w14:paraId="5DC59EA9">
      <w:pPr>
        <w:keepNext w:val="0"/>
        <w:keepLines w:val="0"/>
        <w:pageBreakBefore w:val="0"/>
        <w:widowControl w:val="0"/>
        <w:tabs>
          <w:tab w:val="left" w:pos="1134"/>
        </w:tabs>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szCs w:val="21"/>
        </w:rPr>
      </w:pPr>
      <w:r>
        <w:rPr>
          <w:rFonts w:hint="eastAsia" w:ascii="宋体" w:hAnsi="宋体"/>
          <w:szCs w:val="21"/>
        </w:rPr>
        <w:t>承包人是否提供履约担保：</w:t>
      </w:r>
      <w:r>
        <w:rPr>
          <w:rFonts w:hint="eastAsia" w:ascii="宋体" w:hAnsi="宋体"/>
          <w:szCs w:val="21"/>
          <w:u w:val="single"/>
          <w:lang w:val="en-US" w:eastAsia="zh-CN"/>
        </w:rPr>
        <w:t xml:space="preserve"> 提供 </w:t>
      </w:r>
      <w:r>
        <w:rPr>
          <w:rFonts w:hint="eastAsia" w:ascii="宋体" w:hAnsi="宋体"/>
          <w:szCs w:val="21"/>
        </w:rPr>
        <w:t>。</w:t>
      </w:r>
    </w:p>
    <w:p w14:paraId="366D0675">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rPr>
      </w:pPr>
      <w:r>
        <w:rPr>
          <w:rFonts w:hint="eastAsia" w:ascii="宋体" w:hAnsi="宋体"/>
          <w:szCs w:val="21"/>
        </w:rPr>
        <w:t>承包人提供履约担保的形式、金额及期限：</w:t>
      </w:r>
    </w:p>
    <w:p w14:paraId="11560050">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履约担保的形式：现金或履约保函或现金+履约保函的组合，履约保函包括银行保函、保证保险和担保保函，其示范文本详见合同附件。承包人提交的履约保函应严格执行其示范文本，不得对示范文本中的实质性内容进行修改。承包人若采用现金提交履约担保的，允许使用符合《关于在全市工程建设领域全面推行工程保函工作的通知》（渝公管发〔2022〕25号）、《关于进一步规范工程建设领域工程保函示范文本的通知》（渝公管发〔2022〕26号）要求的履约保函置换。</w:t>
      </w:r>
    </w:p>
    <w:p w14:paraId="4B929B51">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注：根据《关于印发重庆市融资担保公司监管评级及分类监管办法的通知》（渝金发〔2021〕5号）文件，担保公司须在《重庆市地方金融监督管理局关于开展202</w:t>
      </w:r>
      <w:r>
        <w:rPr>
          <w:rFonts w:hint="eastAsia" w:ascii="宋体" w:hAnsi="宋体" w:cs="宋体"/>
          <w:kern w:val="0"/>
          <w:szCs w:val="21"/>
          <w:lang w:val="en-US" w:eastAsia="zh-CN"/>
        </w:rPr>
        <w:t>3</w:t>
      </w:r>
      <w:r>
        <w:rPr>
          <w:rFonts w:hint="eastAsia" w:ascii="宋体" w:hAnsi="宋体" w:eastAsia="宋体" w:cs="宋体"/>
          <w:kern w:val="0"/>
          <w:szCs w:val="21"/>
          <w:lang w:val="en-US" w:eastAsia="zh-CN"/>
        </w:rPr>
        <w:t>年度监管评级有关工作的通知》、《重庆市地方金融监督管理局关于开展202</w:t>
      </w:r>
      <w:r>
        <w:rPr>
          <w:rFonts w:hint="eastAsia" w:ascii="宋体" w:hAnsi="宋体" w:cs="宋体"/>
          <w:kern w:val="0"/>
          <w:szCs w:val="21"/>
          <w:lang w:val="en-US" w:eastAsia="zh-CN"/>
        </w:rPr>
        <w:t>4</w:t>
      </w:r>
      <w:r>
        <w:rPr>
          <w:rFonts w:hint="eastAsia" w:ascii="宋体" w:hAnsi="宋体" w:eastAsia="宋体" w:cs="宋体"/>
          <w:kern w:val="0"/>
          <w:szCs w:val="21"/>
          <w:lang w:val="en-US" w:eastAsia="zh-CN"/>
        </w:rPr>
        <w:t>年度监管评级有关工作的通知》中监管评级等级在B级及以上。</w:t>
      </w:r>
    </w:p>
    <w:p w14:paraId="5E0BA469">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（2）具体要求：履约保函</w:t>
      </w:r>
      <w:r>
        <w:rPr>
          <w:rFonts w:hint="eastAsia" w:ascii="宋体" w:hAnsi="宋体" w:eastAsia="宋体" w:cs="宋体"/>
          <w:kern w:val="0"/>
          <w:szCs w:val="21"/>
        </w:rPr>
        <w:t>的开立人应当是具有相应资格的银行、保险机构、融资担保公司，其信用资质、履约能力、担保能力、赔付流程、安全保密等应符合</w:t>
      </w:r>
      <w:r>
        <w:rPr>
          <w:rFonts w:hint="eastAsia" w:ascii="宋体" w:hAnsi="宋体" w:eastAsia="宋体" w:cs="宋体"/>
          <w:kern w:val="0"/>
          <w:szCs w:val="21"/>
          <w:lang w:eastAsia="zh-CN"/>
        </w:rPr>
        <w:t>履约</w:t>
      </w:r>
      <w:r>
        <w:rPr>
          <w:rFonts w:hint="eastAsia" w:ascii="宋体" w:hAnsi="宋体" w:eastAsia="宋体" w:cs="宋体"/>
          <w:kern w:val="0"/>
          <w:szCs w:val="21"/>
        </w:rPr>
        <w:t>保函业务条件</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履约保函</w:t>
      </w:r>
      <w:r>
        <w:rPr>
          <w:rFonts w:hint="eastAsia" w:ascii="宋体" w:hAnsi="宋体" w:eastAsia="宋体" w:cs="宋体"/>
          <w:kern w:val="0"/>
          <w:szCs w:val="21"/>
          <w:lang w:eastAsia="zh-CN"/>
        </w:rPr>
        <w:t>应合法合规，符合招投标行政监督部门、行业主管部门和金融监管部门的相关规定，满足招标文件约定要求。</w:t>
      </w:r>
      <w:r>
        <w:rPr>
          <w:rFonts w:hint="eastAsia" w:ascii="宋体" w:hAnsi="宋体" w:eastAsia="宋体" w:cs="宋体"/>
          <w:kern w:val="0"/>
          <w:szCs w:val="21"/>
          <w:lang w:val="en-US" w:eastAsia="zh-CN"/>
        </w:rPr>
        <w:t>中标人</w:t>
      </w:r>
      <w:r>
        <w:rPr>
          <w:rFonts w:hint="eastAsia" w:ascii="宋体" w:hAnsi="宋体" w:eastAsia="宋体" w:cs="宋体"/>
          <w:kern w:val="0"/>
          <w:szCs w:val="21"/>
        </w:rPr>
        <w:t>应选择在渝依法设立总部或者设有分支机构的金融机构开具</w:t>
      </w:r>
      <w:r>
        <w:rPr>
          <w:rFonts w:hint="eastAsia" w:ascii="宋体" w:hAnsi="宋体" w:eastAsia="宋体" w:cs="宋体"/>
          <w:kern w:val="0"/>
          <w:szCs w:val="21"/>
          <w:lang w:val="en-US" w:eastAsia="zh-CN"/>
        </w:rPr>
        <w:t>履约保函（包括纸质保函或电子保函）</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履约保函为纸质保函的，纸质保函应注明在</w:t>
      </w:r>
      <w:r>
        <w:rPr>
          <w:rFonts w:hint="eastAsia" w:ascii="宋体" w:hAnsi="宋体" w:eastAsia="宋体" w:cs="宋体"/>
          <w:kern w:val="0"/>
          <w:szCs w:val="21"/>
        </w:rPr>
        <w:t>重庆市辖区范围内的核验地址和核验方式</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并确保该纸质保函能在开立人在渝的总部或者分支机构进行核验</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中标人对所提交的履约保函的真实性、合法性、有效性负责。</w:t>
      </w:r>
    </w:p>
    <w:p w14:paraId="0FF895DC">
      <w:pPr>
        <w:tabs>
          <w:tab w:val="left" w:pos="1134"/>
        </w:tabs>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）履约担保的金额：</w:t>
      </w:r>
      <w:r>
        <w:rPr>
          <w:rFonts w:hint="eastAsia" w:ascii="宋体" w:hAnsi="宋体"/>
          <w:szCs w:val="21"/>
          <w:u w:val="single"/>
        </w:rPr>
        <w:t xml:space="preserve"> </w:t>
      </w:r>
      <w:r>
        <w:rPr>
          <w:rFonts w:hint="eastAsia" w:ascii="宋体" w:hAnsi="宋体"/>
          <w:szCs w:val="21"/>
          <w:u w:val="single"/>
          <w:lang w:val="en-US" w:eastAsia="zh-CN"/>
        </w:rPr>
        <w:t>中标合同金额的10%</w:t>
      </w:r>
      <w:r>
        <w:rPr>
          <w:rFonts w:hint="eastAsia" w:ascii="宋体" w:hAnsi="宋体"/>
          <w:szCs w:val="21"/>
          <w:u w:val="single"/>
        </w:rPr>
        <w:t xml:space="preserve"> </w:t>
      </w:r>
      <w:r>
        <w:rPr>
          <w:rFonts w:hint="eastAsia" w:ascii="宋体" w:hAnsi="宋体"/>
          <w:szCs w:val="21"/>
        </w:rPr>
        <w:t>；</w:t>
      </w:r>
    </w:p>
    <w:p w14:paraId="09DAC867">
      <w:pPr>
        <w:tabs>
          <w:tab w:val="left" w:pos="1134"/>
        </w:tabs>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）履约担保的提交时间：</w:t>
      </w:r>
      <w:r>
        <w:rPr>
          <w:rFonts w:hint="eastAsia" w:ascii="宋体" w:hAnsi="宋体"/>
          <w:szCs w:val="21"/>
          <w:u w:val="single"/>
        </w:rPr>
        <w:t>在合同签订前，承包人按担保金额向发包人提交履约担保</w:t>
      </w:r>
      <w:r>
        <w:rPr>
          <w:rFonts w:hint="eastAsia" w:ascii="宋体" w:hAnsi="宋体"/>
          <w:szCs w:val="21"/>
        </w:rPr>
        <w:t>。</w:t>
      </w:r>
    </w:p>
    <w:p w14:paraId="086E98E3">
      <w:pPr>
        <w:tabs>
          <w:tab w:val="left" w:pos="1134"/>
        </w:tabs>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）履约担保的期限：</w:t>
      </w:r>
      <w:r>
        <w:rPr>
          <w:rFonts w:hint="eastAsia" w:ascii="宋体" w:hAnsi="宋体"/>
          <w:szCs w:val="21"/>
          <w:u w:val="single"/>
        </w:rPr>
        <w:t>自承包</w:t>
      </w:r>
      <w:r>
        <w:rPr>
          <w:rFonts w:hint="eastAsia" w:ascii="宋体" w:hAnsi="宋体"/>
          <w:szCs w:val="21"/>
          <w:u w:val="single"/>
          <w:lang w:val="en-US" w:eastAsia="zh-CN"/>
        </w:rPr>
        <w:t>方</w:t>
      </w:r>
      <w:r>
        <w:rPr>
          <w:rFonts w:hint="eastAsia" w:ascii="宋体" w:hAnsi="宋体"/>
          <w:szCs w:val="21"/>
          <w:u w:val="single"/>
        </w:rPr>
        <w:t>法定代表人（或其委托代理人）签名并加盖</w:t>
      </w:r>
      <w:r>
        <w:rPr>
          <w:rFonts w:hint="eastAsia" w:ascii="宋体" w:hAnsi="宋体"/>
          <w:szCs w:val="21"/>
          <w:u w:val="single"/>
          <w:lang w:val="en-US" w:eastAsia="zh-CN"/>
        </w:rPr>
        <w:t>单位</w:t>
      </w:r>
      <w:r>
        <w:rPr>
          <w:rFonts w:hint="eastAsia" w:ascii="宋体" w:hAnsi="宋体"/>
          <w:szCs w:val="21"/>
          <w:u w:val="single"/>
        </w:rPr>
        <w:t>公章之日起至发包</w:t>
      </w:r>
      <w:r>
        <w:rPr>
          <w:rFonts w:hint="eastAsia" w:ascii="宋体" w:hAnsi="宋体"/>
          <w:szCs w:val="21"/>
          <w:u w:val="single"/>
          <w:lang w:val="en-US" w:eastAsia="zh-CN"/>
        </w:rPr>
        <w:t>方</w:t>
      </w:r>
      <w:r>
        <w:rPr>
          <w:rFonts w:hint="eastAsia" w:ascii="宋体" w:hAnsi="宋体"/>
          <w:szCs w:val="21"/>
          <w:u w:val="single"/>
        </w:rPr>
        <w:t>签发或应签发工程接收证书之日止</w:t>
      </w:r>
      <w:r>
        <w:rPr>
          <w:rFonts w:hint="eastAsia" w:ascii="宋体" w:hAnsi="宋体"/>
          <w:szCs w:val="21"/>
        </w:rPr>
        <w:t>。</w:t>
      </w:r>
    </w:p>
    <w:p w14:paraId="458F085D">
      <w:pPr>
        <w:keepNext w:val="0"/>
        <w:keepLines w:val="0"/>
        <w:pageBreakBefore w:val="0"/>
        <w:widowControl w:val="0"/>
        <w:tabs>
          <w:tab w:val="left" w:pos="1134"/>
        </w:tabs>
        <w:kinsoku/>
        <w:wordWrap/>
        <w:overflowPunct/>
        <w:topLinePunct w:val="0"/>
        <w:autoSpaceDE/>
        <w:autoSpaceDN/>
        <w:bidi w:val="0"/>
        <w:adjustRightInd/>
        <w:snapToGrid/>
        <w:spacing w:line="360" w:lineRule="auto"/>
        <w:ind w:right="0" w:rightChars="0" w:firstLine="420" w:firstLineChars="200"/>
        <w:jc w:val="left"/>
        <w:textAlignment w:val="auto"/>
        <w:rPr>
          <w:rFonts w:hint="default" w:ascii="宋体" w:hAnsi="宋体" w:eastAsia="宋体"/>
          <w:szCs w:val="21"/>
          <w:lang w:val="en-US" w:eastAsia="zh-CN"/>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）履约担保的退还时间：</w:t>
      </w:r>
      <w:r>
        <w:rPr>
          <w:rFonts w:hint="eastAsia" w:ascii="宋体" w:hAnsi="宋体"/>
          <w:szCs w:val="21"/>
          <w:u w:val="single"/>
        </w:rPr>
        <w:t>采用现金担保的，工程竣工验收合格后14天内退还；采用</w:t>
      </w:r>
      <w:r>
        <w:rPr>
          <w:rFonts w:hint="eastAsia" w:ascii="宋体" w:hAnsi="宋体"/>
          <w:szCs w:val="21"/>
          <w:u w:val="single"/>
          <w:lang w:val="en-US" w:eastAsia="zh-CN"/>
        </w:rPr>
        <w:t>履约</w:t>
      </w:r>
      <w:r>
        <w:rPr>
          <w:rFonts w:hint="eastAsia" w:ascii="宋体" w:hAnsi="宋体"/>
          <w:szCs w:val="21"/>
          <w:u w:val="single"/>
        </w:rPr>
        <w:t>保函的，工程竣工验收合格后14天内退还</w:t>
      </w:r>
      <w:r>
        <w:rPr>
          <w:rFonts w:hint="eastAsia" w:ascii="宋体" w:hAnsi="宋体"/>
          <w:szCs w:val="21"/>
        </w:rPr>
        <w:t>。</w:t>
      </w:r>
    </w:p>
    <w:p w14:paraId="3496C583">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366" w:name="_Toc532377340"/>
      <w:bookmarkStart w:id="1367" w:name="_Toc351203636"/>
      <w:bookmarkStart w:id="1368" w:name="_Toc532375611"/>
      <w:r>
        <w:rPr>
          <w:rFonts w:hint="eastAsia"/>
          <w:kern w:val="2"/>
          <w:sz w:val="21"/>
          <w:szCs w:val="21"/>
        </w:rPr>
        <w:t>4</w:t>
      </w:r>
      <w:bookmarkStart w:id="1369" w:name="_Toc296346663"/>
      <w:bookmarkStart w:id="1370" w:name="_Toc297048348"/>
      <w:bookmarkStart w:id="1371" w:name="_Toc267251413"/>
      <w:bookmarkStart w:id="1372" w:name="_Toc296944501"/>
      <w:bookmarkStart w:id="1373" w:name="_Toc297120462"/>
      <w:bookmarkStart w:id="1374" w:name="_Toc296890990"/>
      <w:bookmarkStart w:id="1375" w:name="_Toc296891202"/>
      <w:bookmarkStart w:id="1376" w:name="_Toc296347161"/>
      <w:bookmarkStart w:id="1377" w:name="_Toc292559366"/>
      <w:bookmarkStart w:id="1378" w:name="_Toc296503162"/>
      <w:bookmarkStart w:id="1379" w:name="_Toc292559871"/>
      <w:r>
        <w:rPr>
          <w:rFonts w:hint="eastAsia"/>
          <w:kern w:val="2"/>
          <w:sz w:val="21"/>
          <w:szCs w:val="21"/>
        </w:rPr>
        <w:t>. 监</w:t>
      </w:r>
      <w:bookmarkEnd w:id="1369"/>
      <w:bookmarkEnd w:id="1370"/>
      <w:bookmarkEnd w:id="1371"/>
      <w:bookmarkEnd w:id="1372"/>
      <w:bookmarkEnd w:id="1373"/>
      <w:bookmarkEnd w:id="1374"/>
      <w:bookmarkEnd w:id="1375"/>
      <w:bookmarkEnd w:id="1376"/>
      <w:bookmarkEnd w:id="1377"/>
      <w:bookmarkEnd w:id="1378"/>
      <w:bookmarkEnd w:id="1379"/>
      <w:r>
        <w:rPr>
          <w:rFonts w:hint="eastAsia"/>
          <w:kern w:val="2"/>
          <w:sz w:val="21"/>
          <w:szCs w:val="21"/>
        </w:rPr>
        <w:t>理人</w:t>
      </w:r>
      <w:bookmarkEnd w:id="1366"/>
      <w:bookmarkEnd w:id="1367"/>
      <w:bookmarkEnd w:id="1368"/>
    </w:p>
    <w:p w14:paraId="49E4D5F8">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380" w:name="_Toc532377341"/>
      <w:r>
        <w:rPr>
          <w:rFonts w:hint="eastAsia"/>
          <w:sz w:val="21"/>
          <w:szCs w:val="21"/>
        </w:rPr>
        <w:t>4.1 监理人的一般规定</w:t>
      </w:r>
      <w:bookmarkEnd w:id="1380"/>
    </w:p>
    <w:p w14:paraId="58215AB9">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关于监理人的监理内容：</w:t>
      </w:r>
      <w:r>
        <w:rPr>
          <w:rFonts w:hint="eastAsia" w:ascii="宋体" w:hAnsi="宋体"/>
          <w:szCs w:val="21"/>
          <w:u w:val="single"/>
          <w:lang w:val="en-US" w:eastAsia="zh-CN"/>
        </w:rPr>
        <w:t xml:space="preserve">            </w:t>
      </w:r>
      <w:r>
        <w:rPr>
          <w:rFonts w:hint="eastAsia" w:ascii="宋体" w:hAnsi="宋体"/>
          <w:szCs w:val="21"/>
        </w:rPr>
        <w:t>。</w:t>
      </w:r>
    </w:p>
    <w:p w14:paraId="3E208C64">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关于监理人的监理权限：</w:t>
      </w:r>
      <w:r>
        <w:rPr>
          <w:rFonts w:hint="eastAsia" w:ascii="宋体" w:hAnsi="宋体"/>
          <w:szCs w:val="21"/>
          <w:u w:val="single"/>
          <w:lang w:val="en-US" w:eastAsia="zh-CN"/>
        </w:rPr>
        <w:t xml:space="preserve">            </w:t>
      </w:r>
      <w:r>
        <w:rPr>
          <w:rFonts w:hint="eastAsia" w:ascii="宋体" w:hAnsi="宋体"/>
          <w:szCs w:val="21"/>
        </w:rPr>
        <w:t>。</w:t>
      </w:r>
    </w:p>
    <w:p w14:paraId="67AF2B09">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关于监理人在施工现场的办公场所、生活场所的提供和费用承担的约定：</w:t>
      </w:r>
      <w:r>
        <w:rPr>
          <w:rFonts w:hint="eastAsia" w:ascii="宋体" w:hAnsi="宋体"/>
          <w:szCs w:val="21"/>
          <w:u w:val="single"/>
          <w:lang w:val="en-US" w:eastAsia="zh-CN"/>
        </w:rPr>
        <w:t xml:space="preserve">            </w:t>
      </w:r>
      <w:r>
        <w:rPr>
          <w:rFonts w:hint="eastAsia" w:ascii="宋体" w:hAnsi="宋体"/>
          <w:szCs w:val="21"/>
        </w:rPr>
        <w:t>。</w:t>
      </w:r>
    </w:p>
    <w:p w14:paraId="54B2D849">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381" w:name="_Toc532377342"/>
      <w:r>
        <w:rPr>
          <w:rFonts w:hint="eastAsia"/>
          <w:sz w:val="21"/>
          <w:szCs w:val="21"/>
        </w:rPr>
        <w:t>4.2 监理人员</w:t>
      </w:r>
      <w:bookmarkEnd w:id="1381"/>
    </w:p>
    <w:p w14:paraId="6EFBFB97">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总监理工程师：</w:t>
      </w:r>
    </w:p>
    <w:p w14:paraId="5F7FAF1B">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姓    名：</w:t>
      </w:r>
      <w:r>
        <w:rPr>
          <w:rFonts w:hint="eastAsia" w:ascii="宋体" w:hAnsi="宋体"/>
          <w:szCs w:val="21"/>
          <w:u w:val="single"/>
          <w:lang w:val="en-US" w:eastAsia="zh-CN"/>
        </w:rPr>
        <w:t xml:space="preserve">                                    </w:t>
      </w:r>
      <w:r>
        <w:rPr>
          <w:rFonts w:hint="eastAsia" w:ascii="宋体" w:hAnsi="宋体"/>
          <w:szCs w:val="21"/>
        </w:rPr>
        <w:t>；</w:t>
      </w:r>
    </w:p>
    <w:p w14:paraId="44CD7F7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职    务：</w:t>
      </w:r>
      <w:r>
        <w:rPr>
          <w:rFonts w:hint="eastAsia" w:ascii="宋体" w:hAnsi="宋体"/>
          <w:szCs w:val="21"/>
          <w:u w:val="single"/>
          <w:lang w:val="en-US" w:eastAsia="zh-CN"/>
        </w:rPr>
        <w:t xml:space="preserve">                                    </w:t>
      </w:r>
      <w:r>
        <w:rPr>
          <w:rFonts w:hint="eastAsia" w:ascii="宋体" w:hAnsi="宋体"/>
          <w:szCs w:val="21"/>
        </w:rPr>
        <w:t>；</w:t>
      </w:r>
    </w:p>
    <w:p w14:paraId="2BFD5965">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监理工程师执业资格证书号：</w:t>
      </w:r>
      <w:r>
        <w:rPr>
          <w:rFonts w:hint="eastAsia" w:ascii="宋体" w:hAnsi="宋体"/>
          <w:szCs w:val="21"/>
          <w:u w:val="single"/>
          <w:lang w:val="en-US" w:eastAsia="zh-CN"/>
        </w:rPr>
        <w:t xml:space="preserve">                    </w:t>
      </w:r>
      <w:r>
        <w:rPr>
          <w:rFonts w:hint="eastAsia" w:ascii="宋体" w:hAnsi="宋体"/>
          <w:szCs w:val="21"/>
        </w:rPr>
        <w:t>；</w:t>
      </w:r>
    </w:p>
    <w:p w14:paraId="630D4D8A">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联系方式：</w:t>
      </w:r>
      <w:r>
        <w:rPr>
          <w:rFonts w:hint="eastAsia" w:ascii="宋体" w:hAnsi="宋体"/>
          <w:szCs w:val="21"/>
          <w:u w:val="single"/>
          <w:lang w:val="en-US" w:eastAsia="zh-CN"/>
        </w:rPr>
        <w:t xml:space="preserve">                                    </w:t>
      </w:r>
      <w:r>
        <w:rPr>
          <w:rFonts w:hint="eastAsia" w:ascii="宋体" w:hAnsi="宋体"/>
          <w:szCs w:val="21"/>
        </w:rPr>
        <w:t>；</w:t>
      </w:r>
    </w:p>
    <w:p w14:paraId="3A735A5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关于监理人的其他约定：</w:t>
      </w:r>
      <w:r>
        <w:rPr>
          <w:rFonts w:hint="eastAsia" w:ascii="宋体" w:hAnsi="宋体"/>
          <w:szCs w:val="21"/>
          <w:u w:val="single"/>
          <w:lang w:val="en-US" w:eastAsia="zh-CN"/>
        </w:rPr>
        <w:t xml:space="preserve">            </w:t>
      </w:r>
      <w:r>
        <w:rPr>
          <w:rFonts w:hint="eastAsia" w:ascii="宋体" w:hAnsi="宋体"/>
          <w:szCs w:val="21"/>
        </w:rPr>
        <w:t>。</w:t>
      </w:r>
    </w:p>
    <w:p w14:paraId="4AD12717">
      <w:pPr>
        <w:pStyle w:val="7"/>
        <w:pageBreakBefore w:val="0"/>
        <w:kinsoku/>
        <w:wordWrap/>
        <w:overflowPunct/>
        <w:topLinePunct w:val="0"/>
        <w:bidi w:val="0"/>
        <w:adjustRightInd/>
        <w:spacing w:before="0" w:beforeAutospacing="0" w:after="0" w:afterAutospacing="0" w:line="360" w:lineRule="auto"/>
        <w:ind w:right="0" w:rightChars="0" w:firstLine="420" w:firstLineChars="200"/>
        <w:rPr>
          <w:b/>
          <w:bCs w:val="0"/>
          <w:sz w:val="21"/>
          <w:szCs w:val="21"/>
        </w:rPr>
      </w:pPr>
      <w:bookmarkStart w:id="1382" w:name="_Toc532377343"/>
      <w:r>
        <w:rPr>
          <w:rFonts w:hint="eastAsia"/>
          <w:b/>
          <w:bCs w:val="0"/>
          <w:sz w:val="21"/>
          <w:szCs w:val="21"/>
        </w:rPr>
        <w:t>4.4 商定或确定</w:t>
      </w:r>
      <w:bookmarkEnd w:id="1382"/>
    </w:p>
    <w:p w14:paraId="784165EA">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bookmarkStart w:id="1383" w:name="_Toc267251418"/>
      <w:r>
        <w:rPr>
          <w:rFonts w:hint="eastAsia" w:ascii="宋体" w:hAnsi="宋体"/>
          <w:szCs w:val="21"/>
        </w:rPr>
        <w:t>在发包人和承包人不能通过协商达成一致意见时，发包人授权监理人对以下事项进行确定：</w:t>
      </w:r>
    </w:p>
    <w:p w14:paraId="3DAEE7EB">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w:t>
      </w:r>
      <w:r>
        <w:rPr>
          <w:rFonts w:hint="eastAsia" w:ascii="宋体" w:hAnsi="宋体"/>
          <w:szCs w:val="21"/>
          <w:u w:val="single"/>
          <w:lang w:val="en-US" w:eastAsia="zh-CN"/>
        </w:rPr>
        <w:t xml:space="preserve">            </w:t>
      </w:r>
      <w:r>
        <w:rPr>
          <w:rFonts w:hint="eastAsia" w:ascii="宋体" w:hAnsi="宋体"/>
          <w:szCs w:val="21"/>
        </w:rPr>
        <w:t>；</w:t>
      </w:r>
    </w:p>
    <w:p w14:paraId="1E7F5458">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（2）</w:t>
      </w:r>
      <w:r>
        <w:rPr>
          <w:rFonts w:hint="eastAsia" w:ascii="宋体" w:hAnsi="宋体"/>
          <w:szCs w:val="21"/>
          <w:u w:val="single"/>
          <w:lang w:val="en-US" w:eastAsia="zh-CN"/>
        </w:rPr>
        <w:t xml:space="preserve">            </w:t>
      </w:r>
      <w:r>
        <w:rPr>
          <w:rFonts w:hint="eastAsia" w:ascii="宋体" w:hAnsi="宋体"/>
          <w:szCs w:val="21"/>
        </w:rPr>
        <w:t>；</w:t>
      </w:r>
    </w:p>
    <w:p w14:paraId="69B635D7">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（3）</w:t>
      </w:r>
      <w:r>
        <w:rPr>
          <w:rFonts w:hint="eastAsia" w:ascii="宋体" w:hAnsi="宋体"/>
          <w:szCs w:val="21"/>
          <w:u w:val="single"/>
          <w:lang w:val="en-US" w:eastAsia="zh-CN"/>
        </w:rPr>
        <w:t xml:space="preserve">            </w:t>
      </w:r>
      <w:r>
        <w:rPr>
          <w:rFonts w:hint="eastAsia" w:ascii="宋体" w:hAnsi="宋体"/>
          <w:szCs w:val="21"/>
        </w:rPr>
        <w:t>。</w:t>
      </w:r>
    </w:p>
    <w:p w14:paraId="710AFF7F">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384" w:name="_Toc532375612"/>
      <w:bookmarkStart w:id="1385" w:name="_Toc532377344"/>
      <w:bookmarkStart w:id="1386" w:name="_Toc351203637"/>
      <w:r>
        <w:rPr>
          <w:rFonts w:hint="eastAsia"/>
          <w:kern w:val="2"/>
          <w:sz w:val="21"/>
          <w:szCs w:val="21"/>
        </w:rPr>
        <w:t>5</w:t>
      </w:r>
      <w:bookmarkEnd w:id="1383"/>
      <w:bookmarkStart w:id="1387" w:name="_Toc296503163"/>
      <w:bookmarkStart w:id="1388" w:name="_Toc292559367"/>
      <w:bookmarkStart w:id="1389" w:name="_Toc297120463"/>
      <w:bookmarkStart w:id="1390" w:name="_Toc292559872"/>
      <w:bookmarkStart w:id="1391" w:name="_Toc296890991"/>
      <w:bookmarkStart w:id="1392" w:name="_Toc296347162"/>
      <w:bookmarkStart w:id="1393" w:name="_Toc296944502"/>
      <w:bookmarkStart w:id="1394" w:name="_Toc296346664"/>
      <w:bookmarkStart w:id="1395" w:name="_Toc297048349"/>
      <w:bookmarkStart w:id="1396" w:name="_Toc296891203"/>
      <w:r>
        <w:rPr>
          <w:rFonts w:hint="eastAsia"/>
          <w:kern w:val="2"/>
          <w:sz w:val="21"/>
          <w:szCs w:val="21"/>
        </w:rPr>
        <w:t>. 工程质量</w:t>
      </w:r>
      <w:bookmarkEnd w:id="1384"/>
      <w:bookmarkEnd w:id="1385"/>
      <w:bookmarkEnd w:id="1386"/>
    </w:p>
    <w:p w14:paraId="13F13D22">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397" w:name="_Toc532377345"/>
      <w:r>
        <w:rPr>
          <w:rFonts w:hint="eastAsia"/>
          <w:sz w:val="21"/>
          <w:szCs w:val="21"/>
        </w:rPr>
        <w:t>5.1 质量要求</w:t>
      </w:r>
      <w:bookmarkEnd w:id="1397"/>
      <w:bookmarkStart w:id="1398" w:name="_Hlk528909888"/>
      <w:bookmarkStart w:id="1399" w:name="_Toc318581164"/>
      <w:bookmarkStart w:id="1400" w:name="_Toc300934949"/>
      <w:bookmarkStart w:id="1401" w:name="_Toc297216155"/>
      <w:bookmarkStart w:id="1402" w:name="_Toc304295527"/>
      <w:bookmarkStart w:id="1403" w:name="_Toc297123496"/>
      <w:bookmarkStart w:id="1404" w:name="_Toc312677997"/>
      <w:bookmarkStart w:id="1405" w:name="_Toc303539106"/>
    </w:p>
    <w:p w14:paraId="3C8D4D30">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5.1.1 特殊质量标准和要求：</w:t>
      </w:r>
      <w:r>
        <w:rPr>
          <w:rFonts w:hint="eastAsia" w:ascii="宋体" w:hAnsi="宋体"/>
          <w:szCs w:val="21"/>
          <w:u w:val="single"/>
          <w:lang w:val="en-US" w:eastAsia="zh-CN"/>
        </w:rPr>
        <w:t xml:space="preserve">            </w:t>
      </w:r>
      <w:r>
        <w:rPr>
          <w:rFonts w:hint="eastAsia" w:ascii="宋体" w:hAnsi="宋体"/>
          <w:szCs w:val="21"/>
        </w:rPr>
        <w:t>。</w:t>
      </w:r>
    </w:p>
    <w:p w14:paraId="6A076CA4">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关于工程奖项的约定：</w:t>
      </w:r>
      <w:r>
        <w:rPr>
          <w:rFonts w:hint="eastAsia" w:ascii="宋体" w:hAnsi="宋体"/>
          <w:szCs w:val="21"/>
          <w:u w:val="single"/>
          <w:lang w:val="en-US" w:eastAsia="zh-CN"/>
        </w:rPr>
        <w:t xml:space="preserve">            </w:t>
      </w:r>
      <w:r>
        <w:rPr>
          <w:rFonts w:hint="eastAsia" w:ascii="宋体" w:hAnsi="宋体"/>
          <w:szCs w:val="21"/>
        </w:rPr>
        <w:t>。</w:t>
      </w:r>
    </w:p>
    <w:bookmarkEnd w:id="1398"/>
    <w:p w14:paraId="5E0CA9EF">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406" w:name="_Toc351203536"/>
      <w:bookmarkStart w:id="1407" w:name="_Hlk528927873"/>
      <w:bookmarkStart w:id="1408" w:name="_Toc532377347"/>
      <w:r>
        <w:rPr>
          <w:rFonts w:hint="eastAsia"/>
          <w:sz w:val="21"/>
          <w:szCs w:val="21"/>
        </w:rPr>
        <w:t>5.3隐蔽工程检查</w:t>
      </w:r>
    </w:p>
    <w:p w14:paraId="4786B172">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5.3.2承包人提前通知监理人隐蔽工程检查的期限的约定：</w:t>
      </w:r>
      <w:r>
        <w:rPr>
          <w:rFonts w:hint="eastAsia" w:ascii="宋体" w:hAnsi="宋体"/>
          <w:szCs w:val="21"/>
          <w:u w:val="single"/>
          <w:lang w:val="en-US" w:eastAsia="zh-CN"/>
        </w:rPr>
        <w:t xml:space="preserve">            </w:t>
      </w:r>
      <w:r>
        <w:rPr>
          <w:rFonts w:hint="eastAsia" w:ascii="宋体" w:hAnsi="宋体"/>
          <w:szCs w:val="21"/>
        </w:rPr>
        <w:t>。</w:t>
      </w:r>
    </w:p>
    <w:p w14:paraId="777F67AE">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监理人不能按时进行检查时，应提前</w:t>
      </w:r>
      <w:r>
        <w:rPr>
          <w:rFonts w:hint="eastAsia" w:ascii="宋体" w:hAnsi="宋体"/>
          <w:szCs w:val="21"/>
          <w:u w:val="single"/>
          <w:lang w:val="en-US" w:eastAsia="zh-CN"/>
        </w:rPr>
        <w:t xml:space="preserve">        </w:t>
      </w:r>
      <w:r>
        <w:rPr>
          <w:rFonts w:hint="eastAsia" w:ascii="宋体" w:hAnsi="宋体"/>
          <w:szCs w:val="21"/>
        </w:rPr>
        <w:t>小时提交书面延期要求。</w:t>
      </w:r>
    </w:p>
    <w:p w14:paraId="4C3F297C">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关于延期最长不得超过：</w:t>
      </w:r>
      <w:r>
        <w:rPr>
          <w:rFonts w:hint="eastAsia" w:ascii="宋体" w:hAnsi="宋体"/>
          <w:szCs w:val="21"/>
          <w:u w:val="single"/>
          <w:lang w:val="en-US" w:eastAsia="zh-CN"/>
        </w:rPr>
        <w:t xml:space="preserve">        </w:t>
      </w:r>
      <w:r>
        <w:rPr>
          <w:rFonts w:hint="eastAsia" w:ascii="宋体" w:hAnsi="宋体"/>
          <w:szCs w:val="21"/>
        </w:rPr>
        <w:t>小时。</w:t>
      </w:r>
    </w:p>
    <w:bookmarkEnd w:id="1387"/>
    <w:bookmarkEnd w:id="1388"/>
    <w:bookmarkEnd w:id="1389"/>
    <w:bookmarkEnd w:id="1390"/>
    <w:bookmarkEnd w:id="1391"/>
    <w:bookmarkEnd w:id="1392"/>
    <w:bookmarkEnd w:id="1393"/>
    <w:bookmarkEnd w:id="1394"/>
    <w:bookmarkEnd w:id="1395"/>
    <w:bookmarkEnd w:id="1396"/>
    <w:bookmarkEnd w:id="1399"/>
    <w:bookmarkEnd w:id="1400"/>
    <w:bookmarkEnd w:id="1401"/>
    <w:bookmarkEnd w:id="1402"/>
    <w:bookmarkEnd w:id="1403"/>
    <w:bookmarkEnd w:id="1404"/>
    <w:bookmarkEnd w:id="1405"/>
    <w:bookmarkEnd w:id="1406"/>
    <w:bookmarkEnd w:id="1407"/>
    <w:bookmarkEnd w:id="1408"/>
    <w:p w14:paraId="71C6C098">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409" w:name="_Toc532375613"/>
      <w:bookmarkStart w:id="1410" w:name="_Toc351203638"/>
      <w:bookmarkStart w:id="1411" w:name="_Toc532377349"/>
      <w:bookmarkStart w:id="1412" w:name="_Toc292559378"/>
      <w:bookmarkStart w:id="1413" w:name="_Toc296346674"/>
      <w:bookmarkStart w:id="1414" w:name="_Toc296347172"/>
      <w:bookmarkStart w:id="1415" w:name="_Toc267251427"/>
      <w:bookmarkStart w:id="1416" w:name="_Toc296503173"/>
      <w:bookmarkStart w:id="1417" w:name="_Toc292559883"/>
      <w:bookmarkStart w:id="1418" w:name="_Toc297048359"/>
      <w:bookmarkStart w:id="1419" w:name="_Toc296944512"/>
      <w:bookmarkStart w:id="1420" w:name="_Toc267251428"/>
      <w:bookmarkStart w:id="1421" w:name="_Toc296891213"/>
      <w:bookmarkStart w:id="1422" w:name="_Toc297120473"/>
      <w:bookmarkStart w:id="1423" w:name="_Toc351203642"/>
      <w:bookmarkStart w:id="1424" w:name="_Toc296891001"/>
      <w:r>
        <w:rPr>
          <w:rFonts w:hint="eastAsia"/>
          <w:kern w:val="2"/>
          <w:sz w:val="21"/>
          <w:szCs w:val="21"/>
        </w:rPr>
        <w:t>6. 安全文明施工与环境保护</w:t>
      </w:r>
      <w:bookmarkEnd w:id="1409"/>
      <w:bookmarkEnd w:id="1410"/>
      <w:bookmarkEnd w:id="1411"/>
    </w:p>
    <w:p w14:paraId="109499B5">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425" w:name="_Toc532375614"/>
      <w:bookmarkStart w:id="1426" w:name="_Toc532377350"/>
      <w:r>
        <w:rPr>
          <w:rFonts w:hint="eastAsia"/>
          <w:sz w:val="21"/>
          <w:szCs w:val="21"/>
        </w:rPr>
        <w:t>6.1 安全文明施工</w:t>
      </w:r>
      <w:bookmarkEnd w:id="1425"/>
      <w:bookmarkEnd w:id="1426"/>
    </w:p>
    <w:p w14:paraId="18768CF1">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6.1.1 项目安全生产的达标目标及相应事项的约定：</w:t>
      </w:r>
      <w:r>
        <w:rPr>
          <w:rFonts w:hint="eastAsia" w:ascii="宋体" w:hAnsi="宋体"/>
          <w:szCs w:val="21"/>
          <w:u w:val="single"/>
          <w:lang w:val="en-US" w:eastAsia="zh-CN"/>
        </w:rPr>
        <w:t xml:space="preserve">            </w:t>
      </w:r>
      <w:r>
        <w:rPr>
          <w:rFonts w:hint="eastAsia" w:ascii="宋体" w:hAnsi="宋体"/>
          <w:szCs w:val="21"/>
        </w:rPr>
        <w:t>。</w:t>
      </w:r>
    </w:p>
    <w:p w14:paraId="6FE207D8">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6.1.4 关于治安保卫的特别约定：</w:t>
      </w:r>
      <w:r>
        <w:rPr>
          <w:rFonts w:hint="eastAsia" w:ascii="宋体" w:hAnsi="宋体"/>
          <w:szCs w:val="21"/>
          <w:u w:val="single"/>
          <w:lang w:val="en-US" w:eastAsia="zh-CN"/>
        </w:rPr>
        <w:t xml:space="preserve">            </w:t>
      </w:r>
      <w:r>
        <w:rPr>
          <w:rFonts w:hint="eastAsia" w:ascii="宋体" w:hAnsi="宋体"/>
          <w:szCs w:val="21"/>
        </w:rPr>
        <w:t>。</w:t>
      </w:r>
    </w:p>
    <w:p w14:paraId="7A6547EB">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关于编制施工场地治安管理计划的约定：</w:t>
      </w:r>
      <w:r>
        <w:rPr>
          <w:rFonts w:hint="eastAsia" w:ascii="宋体" w:hAnsi="宋体"/>
          <w:szCs w:val="21"/>
          <w:u w:val="single"/>
          <w:lang w:val="en-US" w:eastAsia="zh-CN"/>
        </w:rPr>
        <w:t xml:space="preserve">            </w:t>
      </w:r>
      <w:r>
        <w:rPr>
          <w:rFonts w:hint="eastAsia" w:ascii="宋体" w:hAnsi="宋体"/>
          <w:szCs w:val="21"/>
        </w:rPr>
        <w:t>。</w:t>
      </w:r>
    </w:p>
    <w:p w14:paraId="562D0409">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6.1.5 文明施工</w:t>
      </w:r>
    </w:p>
    <w:p w14:paraId="750E6C26">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合同当事人对文明施工的要求：</w:t>
      </w:r>
      <w:r>
        <w:rPr>
          <w:rFonts w:hint="eastAsia" w:ascii="宋体" w:hAnsi="宋体"/>
          <w:szCs w:val="21"/>
          <w:u w:val="single"/>
          <w:lang w:val="en-US" w:eastAsia="zh-CN"/>
        </w:rPr>
        <w:t xml:space="preserve">            </w:t>
      </w:r>
      <w:r>
        <w:rPr>
          <w:rFonts w:hint="eastAsia" w:ascii="宋体" w:hAnsi="宋体"/>
          <w:szCs w:val="21"/>
        </w:rPr>
        <w:t>。</w:t>
      </w:r>
    </w:p>
    <w:p w14:paraId="5EB1CEB0">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6.1.6 关于安全文明施工费支付比例和支付期限的约定：</w:t>
      </w:r>
      <w:r>
        <w:rPr>
          <w:rFonts w:hint="eastAsia" w:ascii="宋体" w:hAnsi="宋体"/>
          <w:szCs w:val="21"/>
          <w:u w:val="single"/>
          <w:lang w:val="en-US" w:eastAsia="zh-CN"/>
        </w:rPr>
        <w:t xml:space="preserve">            </w:t>
      </w:r>
      <w:r>
        <w:rPr>
          <w:rFonts w:hint="eastAsia" w:ascii="宋体" w:hAnsi="宋体"/>
          <w:szCs w:val="21"/>
        </w:rPr>
        <w:t>。</w:t>
      </w:r>
    </w:p>
    <w:p w14:paraId="17C47DC3">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427" w:name="_Toc532377352"/>
      <w:bookmarkStart w:id="1428" w:name="_Toc532375616"/>
      <w:bookmarkStart w:id="1429" w:name="_Toc351203639"/>
      <w:r>
        <w:rPr>
          <w:rFonts w:hint="eastAsia"/>
          <w:kern w:val="2"/>
          <w:sz w:val="21"/>
          <w:szCs w:val="21"/>
        </w:rPr>
        <w:t>7. 工期和进度</w:t>
      </w:r>
      <w:bookmarkEnd w:id="1427"/>
      <w:bookmarkEnd w:id="1428"/>
      <w:bookmarkEnd w:id="1429"/>
    </w:p>
    <w:p w14:paraId="293D65CB">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430" w:name="_Toc532377353"/>
      <w:bookmarkStart w:id="1431" w:name="_Toc532375617"/>
      <w:r>
        <w:rPr>
          <w:rFonts w:hint="eastAsia"/>
          <w:sz w:val="21"/>
          <w:szCs w:val="21"/>
        </w:rPr>
        <w:t>7.1 施工组织设计</w:t>
      </w:r>
      <w:bookmarkEnd w:id="1430"/>
      <w:bookmarkEnd w:id="1431"/>
    </w:p>
    <w:p w14:paraId="4CEB93F9">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7.1.1 合同当事人约定的施工组织设计应包括的其他内容：</w:t>
      </w:r>
      <w:r>
        <w:rPr>
          <w:rFonts w:hint="eastAsia" w:ascii="宋体" w:hAnsi="宋体"/>
          <w:szCs w:val="21"/>
          <w:u w:val="single"/>
          <w:lang w:val="en-US" w:eastAsia="zh-CN"/>
        </w:rPr>
        <w:t xml:space="preserve">            </w:t>
      </w:r>
      <w:r>
        <w:rPr>
          <w:rFonts w:hint="eastAsia" w:ascii="宋体" w:hAnsi="宋体"/>
          <w:szCs w:val="21"/>
        </w:rPr>
        <w:t>。</w:t>
      </w:r>
    </w:p>
    <w:p w14:paraId="7AE2B485">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7.1.2 施工组织设计的提交和修改</w:t>
      </w:r>
    </w:p>
    <w:p w14:paraId="4F2A709E">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承包人提交详细施工组织设计的期限的约定：</w:t>
      </w:r>
      <w:r>
        <w:rPr>
          <w:rFonts w:hint="eastAsia" w:ascii="宋体" w:hAnsi="宋体"/>
          <w:szCs w:val="21"/>
          <w:u w:val="single"/>
          <w:lang w:val="en-US" w:eastAsia="zh-CN"/>
        </w:rPr>
        <w:t xml:space="preserve">            </w:t>
      </w:r>
      <w:r>
        <w:rPr>
          <w:rFonts w:hint="eastAsia" w:ascii="宋体" w:hAnsi="宋体"/>
          <w:szCs w:val="21"/>
        </w:rPr>
        <w:t>。</w:t>
      </w:r>
    </w:p>
    <w:p w14:paraId="36AA31A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发包人和监理人在收到详细的施工组织设计后确认或提出修改意见的期限：</w:t>
      </w:r>
      <w:r>
        <w:rPr>
          <w:rFonts w:hint="eastAsia" w:ascii="宋体" w:hAnsi="宋体"/>
          <w:szCs w:val="21"/>
          <w:u w:val="single"/>
          <w:lang w:val="en-US" w:eastAsia="zh-CN"/>
        </w:rPr>
        <w:t xml:space="preserve">            </w:t>
      </w:r>
      <w:r>
        <w:rPr>
          <w:rFonts w:hint="eastAsia" w:ascii="宋体" w:hAnsi="宋体"/>
          <w:szCs w:val="21"/>
        </w:rPr>
        <w:t>。</w:t>
      </w:r>
    </w:p>
    <w:p w14:paraId="57CEFD72">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432" w:name="_Toc532375618"/>
      <w:bookmarkStart w:id="1433" w:name="_Toc532377354"/>
      <w:r>
        <w:rPr>
          <w:rFonts w:hint="eastAsia"/>
          <w:sz w:val="21"/>
          <w:szCs w:val="21"/>
        </w:rPr>
        <w:t>7.2 施工进度计划</w:t>
      </w:r>
      <w:bookmarkEnd w:id="1432"/>
      <w:bookmarkEnd w:id="1433"/>
    </w:p>
    <w:p w14:paraId="0782BD8B">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7.2.2 施工进度计划的修订</w:t>
      </w:r>
    </w:p>
    <w:p w14:paraId="574F3881">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发包人和监理人在收到修订的施工进度计划后确认或提出修改意见的期限：</w:t>
      </w:r>
      <w:r>
        <w:rPr>
          <w:rFonts w:hint="eastAsia" w:ascii="宋体" w:hAnsi="宋体"/>
          <w:szCs w:val="21"/>
          <w:u w:val="single"/>
          <w:lang w:val="en-US" w:eastAsia="zh-CN"/>
        </w:rPr>
        <w:t xml:space="preserve">            </w:t>
      </w:r>
      <w:r>
        <w:rPr>
          <w:rFonts w:hint="eastAsia" w:ascii="宋体" w:hAnsi="宋体"/>
          <w:szCs w:val="21"/>
        </w:rPr>
        <w:t>。</w:t>
      </w:r>
    </w:p>
    <w:p w14:paraId="5C5FE093">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434" w:name="_Toc532377355"/>
      <w:bookmarkStart w:id="1435" w:name="_Toc532375619"/>
      <w:bookmarkStart w:id="1436" w:name="_Toc312677479"/>
      <w:bookmarkStart w:id="1437" w:name="_Toc300934966"/>
      <w:bookmarkStart w:id="1438" w:name="_Toc297216173"/>
      <w:bookmarkStart w:id="1439" w:name="_Toc312678005"/>
      <w:bookmarkStart w:id="1440" w:name="_Toc303539123"/>
      <w:bookmarkStart w:id="1441" w:name="_Toc297123514"/>
      <w:bookmarkStart w:id="1442" w:name="_Toc304295541"/>
      <w:r>
        <w:rPr>
          <w:rFonts w:hint="eastAsia"/>
          <w:sz w:val="21"/>
          <w:szCs w:val="21"/>
        </w:rPr>
        <w:t>7.3 开工</w:t>
      </w:r>
      <w:bookmarkEnd w:id="1434"/>
      <w:bookmarkEnd w:id="1435"/>
    </w:p>
    <w:p w14:paraId="2749A810">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7.3.1 开工准备</w:t>
      </w:r>
    </w:p>
    <w:p w14:paraId="0AA9DFD7">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关于承包人提交工程开工报审表的期限：</w:t>
      </w:r>
      <w:r>
        <w:rPr>
          <w:rFonts w:hint="eastAsia" w:ascii="宋体" w:hAnsi="宋体"/>
          <w:szCs w:val="21"/>
          <w:u w:val="single"/>
          <w:lang w:val="en-US" w:eastAsia="zh-CN"/>
        </w:rPr>
        <w:t xml:space="preserve">            </w:t>
      </w:r>
      <w:r>
        <w:rPr>
          <w:rFonts w:hint="eastAsia" w:ascii="宋体" w:hAnsi="宋体"/>
          <w:szCs w:val="21"/>
        </w:rPr>
        <w:t>。</w:t>
      </w:r>
    </w:p>
    <w:p w14:paraId="2D59C48B">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关于发包人应完成的其他开工准备工作及期限：</w:t>
      </w:r>
      <w:r>
        <w:rPr>
          <w:rFonts w:hint="eastAsia" w:ascii="宋体" w:hAnsi="宋体"/>
          <w:szCs w:val="21"/>
          <w:u w:val="single"/>
          <w:lang w:val="en-US" w:eastAsia="zh-CN"/>
        </w:rPr>
        <w:t xml:space="preserve">            </w:t>
      </w:r>
      <w:r>
        <w:rPr>
          <w:rFonts w:hint="eastAsia" w:ascii="宋体" w:hAnsi="宋体"/>
          <w:szCs w:val="21"/>
        </w:rPr>
        <w:t>。</w:t>
      </w:r>
    </w:p>
    <w:p w14:paraId="2DCA2A4C">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关于承包人应完成的其他开工准备工作及期限：</w:t>
      </w:r>
      <w:r>
        <w:rPr>
          <w:rFonts w:hint="eastAsia" w:ascii="宋体" w:hAnsi="宋体"/>
          <w:szCs w:val="21"/>
          <w:u w:val="single"/>
          <w:lang w:val="en-US" w:eastAsia="zh-CN"/>
        </w:rPr>
        <w:t xml:space="preserve">            </w:t>
      </w:r>
      <w:r>
        <w:rPr>
          <w:rFonts w:hint="eastAsia" w:ascii="宋体" w:hAnsi="宋体"/>
          <w:szCs w:val="21"/>
        </w:rPr>
        <w:t>。</w:t>
      </w:r>
    </w:p>
    <w:bookmarkEnd w:id="1436"/>
    <w:bookmarkEnd w:id="1437"/>
    <w:bookmarkEnd w:id="1438"/>
    <w:bookmarkEnd w:id="1439"/>
    <w:bookmarkEnd w:id="1440"/>
    <w:bookmarkEnd w:id="1441"/>
    <w:bookmarkEnd w:id="1442"/>
    <w:p w14:paraId="2EB57990">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443" w:name="_Toc532377356"/>
      <w:bookmarkStart w:id="1444" w:name="_Toc532375620"/>
      <w:r>
        <w:rPr>
          <w:rFonts w:hint="eastAsia"/>
          <w:sz w:val="21"/>
          <w:szCs w:val="21"/>
        </w:rPr>
        <w:t>7.4 测量放线</w:t>
      </w:r>
      <w:bookmarkEnd w:id="1443"/>
      <w:bookmarkEnd w:id="1444"/>
    </w:p>
    <w:p w14:paraId="62AD7FC7">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7.4.1发包人通过监理人向承包人提供测量基准点、基准线和水准点及其书面资料的期限：</w:t>
      </w:r>
      <w:r>
        <w:rPr>
          <w:rFonts w:hint="eastAsia" w:ascii="宋体" w:hAnsi="宋体"/>
          <w:szCs w:val="21"/>
          <w:u w:val="single"/>
          <w:lang w:val="en-US" w:eastAsia="zh-CN"/>
        </w:rPr>
        <w:t xml:space="preserve">            </w:t>
      </w:r>
      <w:r>
        <w:rPr>
          <w:rFonts w:hint="eastAsia" w:ascii="宋体" w:hAnsi="宋体"/>
          <w:szCs w:val="21"/>
        </w:rPr>
        <w:t>。</w:t>
      </w:r>
    </w:p>
    <w:p w14:paraId="518AB697">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445" w:name="_Toc532375621"/>
      <w:bookmarkStart w:id="1446" w:name="_Toc532377357"/>
      <w:r>
        <w:rPr>
          <w:rFonts w:hint="eastAsia"/>
          <w:sz w:val="21"/>
          <w:szCs w:val="21"/>
        </w:rPr>
        <w:t>7</w:t>
      </w:r>
      <w:bookmarkStart w:id="1447" w:name="_Toc300934968"/>
      <w:bookmarkStart w:id="1448" w:name="_Toc297216175"/>
      <w:bookmarkStart w:id="1449" w:name="_Toc312678010"/>
      <w:bookmarkStart w:id="1450" w:name="_Toc304295546"/>
      <w:bookmarkStart w:id="1451" w:name="_Toc303539125"/>
      <w:bookmarkStart w:id="1452" w:name="_Toc297123516"/>
      <w:bookmarkStart w:id="1453" w:name="_Toc312677484"/>
      <w:r>
        <w:rPr>
          <w:rFonts w:hint="eastAsia"/>
          <w:sz w:val="21"/>
          <w:szCs w:val="21"/>
        </w:rPr>
        <w:t>.5 工期延误</w:t>
      </w:r>
      <w:bookmarkEnd w:id="1445"/>
      <w:bookmarkEnd w:id="1446"/>
    </w:p>
    <w:bookmarkEnd w:id="1447"/>
    <w:bookmarkEnd w:id="1448"/>
    <w:bookmarkEnd w:id="1449"/>
    <w:bookmarkEnd w:id="1450"/>
    <w:bookmarkEnd w:id="1451"/>
    <w:bookmarkEnd w:id="1452"/>
    <w:bookmarkEnd w:id="1453"/>
    <w:p w14:paraId="5504E733">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bookmarkStart w:id="1454" w:name="_Hlk528927940"/>
      <w:r>
        <w:rPr>
          <w:rFonts w:hint="eastAsia" w:ascii="宋体" w:hAnsi="宋体"/>
          <w:szCs w:val="21"/>
        </w:rPr>
        <w:t>7.5.1 因发包人原因导致工期延误</w:t>
      </w:r>
    </w:p>
    <w:p w14:paraId="73036C15">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（7）因发包人原因导致工期延误的其他情形：</w:t>
      </w:r>
      <w:r>
        <w:rPr>
          <w:rFonts w:hint="eastAsia" w:ascii="宋体" w:hAnsi="宋体"/>
          <w:szCs w:val="21"/>
          <w:u w:val="single"/>
          <w:lang w:val="en-US" w:eastAsia="zh-CN"/>
        </w:rPr>
        <w:t xml:space="preserve">            </w:t>
      </w:r>
      <w:r>
        <w:rPr>
          <w:rFonts w:hint="eastAsia" w:ascii="宋体" w:hAnsi="宋体"/>
          <w:szCs w:val="21"/>
        </w:rPr>
        <w:t>。</w:t>
      </w:r>
    </w:p>
    <w:p w14:paraId="192903BA">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7.5.2 因承包人原因导致工期延误</w:t>
      </w:r>
    </w:p>
    <w:p w14:paraId="3B0F570D">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因承包人原因造成工期延误，逾期竣工违约金的计算方法为：</w:t>
      </w:r>
      <w:r>
        <w:rPr>
          <w:rFonts w:hint="eastAsia" w:ascii="宋体" w:hAnsi="宋体"/>
          <w:szCs w:val="21"/>
          <w:u w:val="single"/>
          <w:lang w:val="en-US" w:eastAsia="zh-CN"/>
        </w:rPr>
        <w:t xml:space="preserve">            </w:t>
      </w:r>
      <w:r>
        <w:rPr>
          <w:rFonts w:hint="eastAsia" w:ascii="宋体" w:hAnsi="宋体"/>
          <w:szCs w:val="21"/>
        </w:rPr>
        <w:t>。</w:t>
      </w:r>
    </w:p>
    <w:p w14:paraId="2A97CACD">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因承包人原因造成工期延误，逾期竣工违约金的上限：</w:t>
      </w:r>
      <w:r>
        <w:rPr>
          <w:rFonts w:hint="eastAsia" w:ascii="宋体" w:hAnsi="宋体"/>
          <w:szCs w:val="21"/>
          <w:u w:val="single"/>
          <w:lang w:val="en-US" w:eastAsia="zh-CN"/>
        </w:rPr>
        <w:t xml:space="preserve">            </w:t>
      </w:r>
      <w:r>
        <w:rPr>
          <w:rFonts w:hint="eastAsia" w:ascii="宋体" w:hAnsi="宋体"/>
          <w:szCs w:val="21"/>
        </w:rPr>
        <w:t>。</w:t>
      </w:r>
    </w:p>
    <w:bookmarkEnd w:id="1454"/>
    <w:p w14:paraId="294CDC62">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455" w:name="_Toc532377358"/>
      <w:bookmarkStart w:id="1456" w:name="_Toc532375622"/>
      <w:bookmarkStart w:id="1457" w:name="_Hlk528927997"/>
      <w:r>
        <w:rPr>
          <w:rFonts w:hint="eastAsia"/>
          <w:sz w:val="21"/>
          <w:szCs w:val="21"/>
        </w:rPr>
        <w:t>7</w:t>
      </w:r>
      <w:bookmarkStart w:id="1458" w:name="_Toc297216178"/>
      <w:bookmarkStart w:id="1459" w:name="_Toc300934971"/>
      <w:bookmarkStart w:id="1460" w:name="_Toc297123519"/>
      <w:bookmarkStart w:id="1461" w:name="_Toc304295549"/>
      <w:bookmarkStart w:id="1462" w:name="_Toc303539128"/>
      <w:bookmarkStart w:id="1463" w:name="_Toc312678015"/>
      <w:r>
        <w:rPr>
          <w:rFonts w:hint="eastAsia"/>
          <w:sz w:val="21"/>
          <w:szCs w:val="21"/>
        </w:rPr>
        <w:t>.6 不</w:t>
      </w:r>
      <w:bookmarkEnd w:id="1458"/>
      <w:bookmarkEnd w:id="1459"/>
      <w:bookmarkEnd w:id="1460"/>
      <w:bookmarkEnd w:id="1461"/>
      <w:bookmarkEnd w:id="1462"/>
      <w:bookmarkEnd w:id="1463"/>
      <w:r>
        <w:rPr>
          <w:rFonts w:hint="eastAsia"/>
          <w:sz w:val="21"/>
          <w:szCs w:val="21"/>
        </w:rPr>
        <w:t>利物质条件</w:t>
      </w:r>
      <w:bookmarkEnd w:id="1455"/>
      <w:bookmarkEnd w:id="1456"/>
    </w:p>
    <w:bookmarkEnd w:id="1457"/>
    <w:p w14:paraId="1005717D">
      <w:pPr>
        <w:pageBreakBefore w:val="0"/>
        <w:kinsoku/>
        <w:wordWrap/>
        <w:overflowPunct/>
        <w:topLinePunct w:val="0"/>
        <w:bidi w:val="0"/>
        <w:adjustRightInd/>
        <w:spacing w:line="360" w:lineRule="auto"/>
        <w:ind w:right="0" w:rightChars="0" w:firstLine="420" w:firstLineChars="200"/>
        <w:jc w:val="left"/>
        <w:rPr>
          <w:rFonts w:ascii="宋体" w:hAnsi="宋体"/>
          <w:bCs/>
          <w:szCs w:val="21"/>
        </w:rPr>
      </w:pPr>
      <w:bookmarkStart w:id="1464" w:name="_Toc304295550"/>
      <w:bookmarkStart w:id="1465" w:name="_Toc312678016"/>
      <w:bookmarkStart w:id="1466" w:name="_Toc303539129"/>
      <w:bookmarkStart w:id="1467" w:name="_Toc297216179"/>
      <w:bookmarkStart w:id="1468" w:name="_Toc300934972"/>
      <w:bookmarkStart w:id="1469" w:name="_Toc318581172"/>
      <w:bookmarkStart w:id="1470" w:name="_Toc297123520"/>
      <w:r>
        <w:rPr>
          <w:rFonts w:hint="eastAsia" w:ascii="宋体" w:hAnsi="宋体"/>
          <w:szCs w:val="21"/>
        </w:rPr>
        <w:t>不利物质条件的其他情形和有关约定：</w:t>
      </w:r>
      <w:bookmarkStart w:id="1471" w:name="_Hlk528910274"/>
      <w:r>
        <w:rPr>
          <w:rFonts w:hint="eastAsia" w:ascii="宋体" w:hAnsi="宋体"/>
          <w:szCs w:val="21"/>
          <w:u w:val="single"/>
          <w:lang w:val="en-US" w:eastAsia="zh-CN"/>
        </w:rPr>
        <w:t xml:space="preserve">            </w:t>
      </w:r>
      <w:r>
        <w:rPr>
          <w:rFonts w:hint="eastAsia" w:ascii="宋体" w:hAnsi="宋体"/>
          <w:szCs w:val="21"/>
        </w:rPr>
        <w:t>。</w:t>
      </w:r>
    </w:p>
    <w:bookmarkEnd w:id="1464"/>
    <w:bookmarkEnd w:id="1465"/>
    <w:bookmarkEnd w:id="1466"/>
    <w:bookmarkEnd w:id="1467"/>
    <w:bookmarkEnd w:id="1468"/>
    <w:bookmarkEnd w:id="1469"/>
    <w:bookmarkEnd w:id="1470"/>
    <w:bookmarkEnd w:id="1471"/>
    <w:p w14:paraId="399C1CE8">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472" w:name="_Toc532377359"/>
      <w:bookmarkStart w:id="1473" w:name="_Toc532375623"/>
      <w:r>
        <w:rPr>
          <w:rFonts w:hint="eastAsia"/>
          <w:sz w:val="21"/>
          <w:szCs w:val="21"/>
        </w:rPr>
        <w:t>7</w:t>
      </w:r>
      <w:bookmarkStart w:id="1474" w:name="_Toc303539130"/>
      <w:bookmarkStart w:id="1475" w:name="_Toc312678017"/>
      <w:bookmarkStart w:id="1476" w:name="_Toc297123521"/>
      <w:bookmarkStart w:id="1477" w:name="_Toc297216180"/>
      <w:bookmarkStart w:id="1478" w:name="_Toc304295551"/>
      <w:bookmarkStart w:id="1479" w:name="_Toc300934973"/>
      <w:r>
        <w:rPr>
          <w:rFonts w:hint="eastAsia"/>
          <w:sz w:val="21"/>
          <w:szCs w:val="21"/>
        </w:rPr>
        <w:t>.7异常恶劣的气候条件</w:t>
      </w:r>
      <w:bookmarkEnd w:id="1472"/>
      <w:bookmarkEnd w:id="1473"/>
    </w:p>
    <w:bookmarkEnd w:id="1474"/>
    <w:bookmarkEnd w:id="1475"/>
    <w:bookmarkEnd w:id="1476"/>
    <w:bookmarkEnd w:id="1477"/>
    <w:bookmarkEnd w:id="1478"/>
    <w:bookmarkEnd w:id="1479"/>
    <w:p w14:paraId="3888D6CF">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发包人和承包人同意以下情形视为异常恶劣的气候条件：</w:t>
      </w:r>
    </w:p>
    <w:p w14:paraId="6EF0361A">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w:t>
      </w:r>
      <w:r>
        <w:rPr>
          <w:rFonts w:hint="eastAsia" w:ascii="宋体" w:hAnsi="宋体"/>
          <w:szCs w:val="21"/>
          <w:u w:val="single"/>
          <w:lang w:val="en-US" w:eastAsia="zh-CN"/>
        </w:rPr>
        <w:t xml:space="preserve">            </w:t>
      </w:r>
      <w:r>
        <w:rPr>
          <w:rFonts w:hint="eastAsia" w:ascii="宋体" w:hAnsi="宋体"/>
          <w:szCs w:val="21"/>
          <w:u w:val="none"/>
          <w:lang w:val="en-US" w:eastAsia="zh-CN"/>
        </w:rPr>
        <w:t>；</w:t>
      </w:r>
    </w:p>
    <w:p w14:paraId="31D6F0CC">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（2）</w:t>
      </w:r>
      <w:r>
        <w:rPr>
          <w:rFonts w:hint="eastAsia" w:ascii="宋体" w:hAnsi="宋体"/>
          <w:szCs w:val="21"/>
          <w:u w:val="single"/>
          <w:lang w:val="en-US" w:eastAsia="zh-CN"/>
        </w:rPr>
        <w:t xml:space="preserve">            </w:t>
      </w:r>
      <w:r>
        <w:rPr>
          <w:rFonts w:hint="eastAsia" w:ascii="宋体" w:hAnsi="宋体"/>
          <w:szCs w:val="21"/>
        </w:rPr>
        <w:t>；</w:t>
      </w:r>
    </w:p>
    <w:p w14:paraId="3F5866EA">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（3）</w:t>
      </w:r>
      <w:r>
        <w:rPr>
          <w:rFonts w:hint="eastAsia" w:ascii="宋体" w:hAnsi="宋体"/>
          <w:szCs w:val="21"/>
          <w:u w:val="single"/>
          <w:lang w:val="en-US" w:eastAsia="zh-CN"/>
        </w:rPr>
        <w:t xml:space="preserve">            </w:t>
      </w:r>
      <w:r>
        <w:rPr>
          <w:rFonts w:hint="eastAsia" w:ascii="宋体" w:hAnsi="宋体"/>
          <w:szCs w:val="21"/>
        </w:rPr>
        <w:t>。</w:t>
      </w:r>
    </w:p>
    <w:p w14:paraId="6056E7CD">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480" w:name="_Toc532375624"/>
      <w:bookmarkStart w:id="1481" w:name="_Toc532377360"/>
      <w:r>
        <w:rPr>
          <w:rFonts w:hint="eastAsia"/>
          <w:sz w:val="21"/>
          <w:szCs w:val="21"/>
        </w:rPr>
        <w:t>7.9 提前竣工</w:t>
      </w:r>
      <w:bookmarkEnd w:id="1480"/>
      <w:bookmarkEnd w:id="1481"/>
    </w:p>
    <w:p w14:paraId="5D08FF3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7.9.2 提前竣工的奖励：</w:t>
      </w:r>
      <w:r>
        <w:rPr>
          <w:rFonts w:hint="eastAsia" w:ascii="宋体" w:hAnsi="宋体"/>
          <w:szCs w:val="21"/>
          <w:u w:val="single"/>
          <w:lang w:val="en-US" w:eastAsia="zh-CN"/>
        </w:rPr>
        <w:t xml:space="preserve">            </w:t>
      </w:r>
      <w:r>
        <w:rPr>
          <w:rFonts w:hint="eastAsia" w:ascii="宋体" w:hAnsi="宋体"/>
          <w:szCs w:val="21"/>
        </w:rPr>
        <w:t>。</w:t>
      </w:r>
    </w:p>
    <w:p w14:paraId="314583F4">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482" w:name="_Toc532377361"/>
      <w:bookmarkStart w:id="1483" w:name="_Toc532375625"/>
      <w:bookmarkStart w:id="1484" w:name="_Toc351203640"/>
      <w:r>
        <w:rPr>
          <w:rFonts w:hint="eastAsia"/>
          <w:kern w:val="2"/>
          <w:sz w:val="21"/>
          <w:szCs w:val="21"/>
        </w:rPr>
        <w:t>8. 材料与设备</w:t>
      </w:r>
      <w:bookmarkEnd w:id="1482"/>
      <w:bookmarkEnd w:id="1483"/>
      <w:bookmarkEnd w:id="1484"/>
    </w:p>
    <w:p w14:paraId="6700A601">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485" w:name="_Toc532375628"/>
      <w:bookmarkStart w:id="1486" w:name="_Toc532377364"/>
      <w:r>
        <w:rPr>
          <w:rFonts w:hint="eastAsia"/>
          <w:sz w:val="21"/>
          <w:szCs w:val="21"/>
        </w:rPr>
        <w:t>8</w:t>
      </w:r>
      <w:bookmarkStart w:id="1487" w:name="_Toc312678019"/>
      <w:bookmarkStart w:id="1488" w:name="_Toc292559372"/>
      <w:bookmarkStart w:id="1489" w:name="_Toc297123527"/>
      <w:bookmarkStart w:id="1490" w:name="_Toc296346668"/>
      <w:bookmarkStart w:id="1491" w:name="_Toc297216186"/>
      <w:bookmarkStart w:id="1492" w:name="_Toc296890995"/>
      <w:bookmarkStart w:id="1493" w:name="_Toc297120467"/>
      <w:bookmarkStart w:id="1494" w:name="_Toc280868654"/>
      <w:bookmarkStart w:id="1495" w:name="_Toc312677493"/>
      <w:bookmarkStart w:id="1496" w:name="_Toc296891207"/>
      <w:bookmarkStart w:id="1497" w:name="_Toc300934979"/>
      <w:bookmarkStart w:id="1498" w:name="_Toc297048353"/>
      <w:bookmarkStart w:id="1499" w:name="_Toc304295556"/>
      <w:bookmarkStart w:id="1500" w:name="_Toc292559877"/>
      <w:bookmarkStart w:id="1501" w:name="_Toc296503167"/>
      <w:bookmarkStart w:id="1502" w:name="_Toc296347166"/>
      <w:bookmarkStart w:id="1503" w:name="_Toc303539136"/>
      <w:bookmarkStart w:id="1504" w:name="_Toc296944506"/>
      <w:bookmarkStart w:id="1505" w:name="_Toc280868655"/>
      <w:bookmarkStart w:id="1506" w:name="_Toc267251424"/>
      <w:bookmarkStart w:id="1507" w:name="_Toc280868656"/>
      <w:r>
        <w:rPr>
          <w:rFonts w:hint="eastAsia"/>
          <w:sz w:val="21"/>
          <w:szCs w:val="21"/>
        </w:rPr>
        <w:t>.4 材料与工程设备的保管与使用</w:t>
      </w:r>
      <w:bookmarkEnd w:id="1485"/>
      <w:bookmarkEnd w:id="1486"/>
    </w:p>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 w14:paraId="5BD66153">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8</w:t>
      </w:r>
      <w:bookmarkStart w:id="1508" w:name="_Toc292559878"/>
      <w:bookmarkStart w:id="1509" w:name="_Toc292559373"/>
      <w:bookmarkStart w:id="1510" w:name="_Toc296891208"/>
      <w:bookmarkStart w:id="1511" w:name="_Toc296347167"/>
      <w:bookmarkStart w:id="1512" w:name="_Toc297216187"/>
      <w:bookmarkStart w:id="1513" w:name="_Toc297123528"/>
      <w:bookmarkStart w:id="1514" w:name="_Toc296503168"/>
      <w:bookmarkStart w:id="1515" w:name="_Toc296346669"/>
      <w:bookmarkStart w:id="1516" w:name="_Toc296944507"/>
      <w:bookmarkStart w:id="1517" w:name="_Toc318581173"/>
      <w:bookmarkStart w:id="1518" w:name="_Toc312678020"/>
      <w:bookmarkStart w:id="1519" w:name="_Toc300934980"/>
      <w:bookmarkStart w:id="1520" w:name="_Toc297120468"/>
      <w:bookmarkStart w:id="1521" w:name="_Toc303539137"/>
      <w:bookmarkStart w:id="1522" w:name="_Toc297048354"/>
      <w:bookmarkStart w:id="1523" w:name="_Toc304295557"/>
      <w:bookmarkStart w:id="1524" w:name="_Toc296890996"/>
      <w:bookmarkStart w:id="1525" w:name="_Toc312677494"/>
      <w:r>
        <w:rPr>
          <w:rFonts w:hint="eastAsia" w:ascii="宋体" w:hAnsi="宋体"/>
          <w:szCs w:val="21"/>
        </w:rPr>
        <w:t>.4.1 发包人供应的材料设备的保管费用的承担：</w:t>
      </w:r>
      <w:bookmarkEnd w:id="1508"/>
      <w:bookmarkEnd w:id="1509"/>
      <w:r>
        <w:rPr>
          <w:rFonts w:hint="eastAsia" w:ascii="宋体" w:hAnsi="宋体"/>
          <w:szCs w:val="21"/>
          <w:u w:val="single"/>
        </w:rPr>
        <w:t xml:space="preserve">            </w:t>
      </w:r>
      <w:r>
        <w:rPr>
          <w:rFonts w:hint="eastAsia" w:ascii="宋体" w:hAnsi="宋体"/>
          <w:szCs w:val="21"/>
          <w:u w:val="none"/>
        </w:rPr>
        <w:t>。</w:t>
      </w:r>
    </w:p>
    <w:p w14:paraId="28BF031F">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526" w:name="_Toc532375629"/>
      <w:bookmarkStart w:id="1527" w:name="_Toc532377365"/>
      <w:r>
        <w:rPr>
          <w:rFonts w:hint="eastAsia"/>
          <w:sz w:val="21"/>
          <w:szCs w:val="21"/>
        </w:rPr>
        <w:t>8.6 样品</w:t>
      </w:r>
      <w:bookmarkEnd w:id="1526"/>
      <w:bookmarkEnd w:id="1527"/>
    </w:p>
    <w:p w14:paraId="58C9D6CD">
      <w:pPr>
        <w:pageBreakBefore w:val="0"/>
        <w:kinsoku/>
        <w:wordWrap/>
        <w:overflowPunct/>
        <w:topLinePunct w:val="0"/>
        <w:autoSpaceDE w:val="0"/>
        <w:autoSpaceDN w:val="0"/>
        <w:bidi w:val="0"/>
        <w:adjustRightInd/>
        <w:spacing w:line="360" w:lineRule="auto"/>
        <w:ind w:right="0" w:rightChars="0" w:firstLine="420" w:firstLineChars="200"/>
        <w:jc w:val="left"/>
        <w:rPr>
          <w:rFonts w:ascii="宋体" w:hAnsi="宋体"/>
          <w:szCs w:val="21"/>
        </w:rPr>
      </w:pPr>
      <w:r>
        <w:rPr>
          <w:rFonts w:hint="eastAsia" w:ascii="宋体" w:hAnsi="宋体"/>
          <w:szCs w:val="21"/>
        </w:rPr>
        <w:t>8.6.1 样品的报送与封存</w:t>
      </w:r>
    </w:p>
    <w:p w14:paraId="1E9353C5">
      <w:pPr>
        <w:pageBreakBefore w:val="0"/>
        <w:kinsoku/>
        <w:wordWrap/>
        <w:overflowPunct/>
        <w:topLinePunct w:val="0"/>
        <w:autoSpaceDE w:val="0"/>
        <w:autoSpaceDN w:val="0"/>
        <w:bidi w:val="0"/>
        <w:adjustRightInd/>
        <w:spacing w:line="360" w:lineRule="auto"/>
        <w:ind w:right="0" w:rightChars="0" w:firstLine="420" w:firstLineChars="200"/>
        <w:jc w:val="left"/>
        <w:rPr>
          <w:rFonts w:ascii="宋体" w:hAnsi="宋体"/>
          <w:szCs w:val="21"/>
        </w:rPr>
      </w:pPr>
      <w:r>
        <w:rPr>
          <w:rFonts w:hint="eastAsia" w:ascii="宋体" w:hAnsi="宋体"/>
          <w:szCs w:val="21"/>
        </w:rPr>
        <w:t>需要承包人报送样品的材料或工程设备，样品的种类、名称、规格、数量要求：</w:t>
      </w:r>
      <w:r>
        <w:rPr>
          <w:rFonts w:hint="eastAsia" w:ascii="宋体" w:hAnsi="宋体"/>
          <w:szCs w:val="21"/>
          <w:u w:val="single"/>
        </w:rPr>
        <w:t xml:space="preserve">            </w:t>
      </w:r>
      <w:r>
        <w:rPr>
          <w:rFonts w:hint="eastAsia" w:ascii="宋体" w:hAnsi="宋体"/>
          <w:szCs w:val="21"/>
          <w:u w:val="none"/>
        </w:rPr>
        <w:t>。</w:t>
      </w:r>
    </w:p>
    <w:p w14:paraId="506D6D57">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528" w:name="_Toc532375630"/>
      <w:bookmarkStart w:id="1529" w:name="_Toc532377366"/>
      <w:r>
        <w:rPr>
          <w:rFonts w:hint="eastAsia"/>
          <w:sz w:val="21"/>
          <w:szCs w:val="21"/>
        </w:rPr>
        <w:t>8.8 施工设备和临时设施</w:t>
      </w:r>
      <w:bookmarkEnd w:id="1528"/>
      <w:bookmarkEnd w:id="1529"/>
    </w:p>
    <w:p w14:paraId="2A6C342F">
      <w:pPr>
        <w:pageBreakBefore w:val="0"/>
        <w:kinsoku/>
        <w:wordWrap/>
        <w:overflowPunct/>
        <w:topLinePunct w:val="0"/>
        <w:autoSpaceDE w:val="0"/>
        <w:autoSpaceDN w:val="0"/>
        <w:bidi w:val="0"/>
        <w:adjustRightInd/>
        <w:spacing w:line="360" w:lineRule="auto"/>
        <w:ind w:right="0" w:rightChars="0" w:firstLine="420" w:firstLineChars="200"/>
        <w:jc w:val="left"/>
        <w:rPr>
          <w:rFonts w:ascii="宋体" w:hAnsi="宋体"/>
          <w:szCs w:val="21"/>
        </w:rPr>
      </w:pPr>
      <w:r>
        <w:rPr>
          <w:rFonts w:hint="eastAsia" w:ascii="宋体" w:hAnsi="宋体"/>
          <w:szCs w:val="21"/>
        </w:rPr>
        <w:t>8.8.1 承包人提供的施工设备和临时设施</w:t>
      </w:r>
    </w:p>
    <w:p w14:paraId="0D0B6E7C">
      <w:pPr>
        <w:pageBreakBefore w:val="0"/>
        <w:kinsoku/>
        <w:wordWrap/>
        <w:overflowPunct/>
        <w:topLinePunct w:val="0"/>
        <w:autoSpaceDE w:val="0"/>
        <w:autoSpaceDN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关于修建临时设施费用承担的约定：</w:t>
      </w:r>
      <w:r>
        <w:rPr>
          <w:rFonts w:hint="eastAsia" w:ascii="宋体" w:hAnsi="宋体"/>
          <w:szCs w:val="21"/>
          <w:u w:val="single"/>
        </w:rPr>
        <w:t xml:space="preserve">            </w:t>
      </w:r>
      <w:r>
        <w:rPr>
          <w:rFonts w:hint="eastAsia" w:ascii="宋体" w:hAnsi="宋体"/>
          <w:szCs w:val="21"/>
        </w:rPr>
        <w:t>。</w:t>
      </w:r>
    </w:p>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p w14:paraId="007AC849">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530" w:name="_Toc532377367"/>
      <w:bookmarkStart w:id="1531" w:name="_Toc532375631"/>
      <w:bookmarkStart w:id="1532" w:name="_Toc351203641"/>
      <w:r>
        <w:rPr>
          <w:rFonts w:hint="eastAsia"/>
          <w:kern w:val="2"/>
          <w:sz w:val="21"/>
          <w:szCs w:val="21"/>
        </w:rPr>
        <w:t>9</w:t>
      </w:r>
      <w:bookmarkEnd w:id="1505"/>
      <w:bookmarkEnd w:id="1506"/>
      <w:bookmarkEnd w:id="1507"/>
      <w:bookmarkStart w:id="1533" w:name="_Toc297216192"/>
      <w:bookmarkStart w:id="1534" w:name="_Toc300934982"/>
      <w:bookmarkStart w:id="1535" w:name="_Toc297123533"/>
      <w:bookmarkStart w:id="1536" w:name="_Toc312678021"/>
      <w:bookmarkStart w:id="1537" w:name="_Toc303539139"/>
      <w:bookmarkStart w:id="1538" w:name="_Toc312677495"/>
      <w:bookmarkStart w:id="1539" w:name="_Toc304295559"/>
      <w:r>
        <w:rPr>
          <w:rFonts w:hint="eastAsia"/>
          <w:kern w:val="2"/>
          <w:sz w:val="21"/>
          <w:szCs w:val="21"/>
        </w:rPr>
        <w:t>. 试验与检验</w:t>
      </w:r>
      <w:bookmarkEnd w:id="1530"/>
      <w:bookmarkEnd w:id="1531"/>
      <w:bookmarkEnd w:id="1532"/>
    </w:p>
    <w:bookmarkEnd w:id="1533"/>
    <w:bookmarkEnd w:id="1534"/>
    <w:bookmarkEnd w:id="1535"/>
    <w:bookmarkEnd w:id="1536"/>
    <w:bookmarkEnd w:id="1537"/>
    <w:bookmarkEnd w:id="1538"/>
    <w:bookmarkEnd w:id="1539"/>
    <w:p w14:paraId="155DEFB1">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540" w:name="_Toc532375632"/>
      <w:bookmarkStart w:id="1541" w:name="_Toc532377368"/>
      <w:r>
        <w:rPr>
          <w:rFonts w:hint="eastAsia"/>
          <w:sz w:val="21"/>
          <w:szCs w:val="21"/>
        </w:rPr>
        <w:t>9</w:t>
      </w:r>
      <w:bookmarkStart w:id="1542" w:name="_Toc303539140"/>
      <w:bookmarkStart w:id="1543" w:name="_Toc312678022"/>
      <w:bookmarkStart w:id="1544" w:name="_Toc297216193"/>
      <w:bookmarkStart w:id="1545" w:name="_Toc300934983"/>
      <w:bookmarkStart w:id="1546" w:name="_Toc297123534"/>
      <w:bookmarkStart w:id="1547" w:name="_Toc304295560"/>
      <w:bookmarkStart w:id="1548" w:name="_Toc312677496"/>
      <w:r>
        <w:rPr>
          <w:rFonts w:hint="eastAsia"/>
          <w:sz w:val="21"/>
          <w:szCs w:val="21"/>
        </w:rPr>
        <w:t>.1 试验设备与试验人员</w:t>
      </w:r>
      <w:bookmarkEnd w:id="1540"/>
      <w:bookmarkEnd w:id="1541"/>
    </w:p>
    <w:bookmarkEnd w:id="1542"/>
    <w:bookmarkEnd w:id="1543"/>
    <w:bookmarkEnd w:id="1544"/>
    <w:bookmarkEnd w:id="1545"/>
    <w:bookmarkEnd w:id="1546"/>
    <w:bookmarkEnd w:id="1547"/>
    <w:bookmarkEnd w:id="1548"/>
    <w:p w14:paraId="3E80592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9</w:t>
      </w:r>
      <w:bookmarkStart w:id="1549" w:name="_Toc303539141"/>
      <w:bookmarkStart w:id="1550" w:name="_Toc304295561"/>
      <w:bookmarkStart w:id="1551" w:name="_Toc300934984"/>
      <w:bookmarkStart w:id="1552" w:name="_Toc312677497"/>
      <w:bookmarkStart w:id="1553" w:name="_Toc297123535"/>
      <w:bookmarkStart w:id="1554" w:name="_Toc297216194"/>
      <w:bookmarkStart w:id="1555" w:name="_Toc312678023"/>
      <w:bookmarkStart w:id="1556" w:name="_Toc318581174"/>
      <w:r>
        <w:rPr>
          <w:rFonts w:hint="eastAsia" w:ascii="宋体" w:hAnsi="宋体"/>
          <w:szCs w:val="21"/>
        </w:rPr>
        <w:t>.1.2 试验设备</w:t>
      </w:r>
    </w:p>
    <w:p w14:paraId="31A0EF09">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施工现场需要配置的试验场所：</w:t>
      </w:r>
      <w:bookmarkEnd w:id="1549"/>
      <w:bookmarkEnd w:id="1550"/>
      <w:bookmarkEnd w:id="1551"/>
      <w:bookmarkEnd w:id="1552"/>
      <w:bookmarkEnd w:id="1553"/>
      <w:bookmarkEnd w:id="1554"/>
      <w:bookmarkEnd w:id="1555"/>
      <w:bookmarkStart w:id="1557" w:name="_Toc297123536"/>
      <w:bookmarkStart w:id="1558" w:name="_Toc303539142"/>
      <w:bookmarkStart w:id="1559" w:name="_Toc312678024"/>
      <w:bookmarkStart w:id="1560" w:name="_Toc297216195"/>
      <w:bookmarkStart w:id="1561" w:name="_Toc300934985"/>
      <w:bookmarkStart w:id="1562" w:name="_Toc304295562"/>
      <w:bookmarkStart w:id="1563" w:name="_Toc312677498"/>
      <w:r>
        <w:rPr>
          <w:rFonts w:hint="eastAsia" w:ascii="宋体" w:hAnsi="宋体"/>
          <w:szCs w:val="21"/>
          <w:u w:val="single"/>
        </w:rPr>
        <w:t xml:space="preserve">            </w:t>
      </w:r>
      <w:r>
        <w:rPr>
          <w:rFonts w:hint="eastAsia" w:ascii="宋体" w:hAnsi="宋体"/>
          <w:szCs w:val="21"/>
        </w:rPr>
        <w:t>。</w:t>
      </w:r>
    </w:p>
    <w:p w14:paraId="7D598977">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施工现场需要配备的试验设备：</w:t>
      </w:r>
      <w:r>
        <w:rPr>
          <w:rFonts w:hint="eastAsia" w:ascii="宋体" w:hAnsi="宋体"/>
          <w:szCs w:val="21"/>
          <w:u w:val="single"/>
        </w:rPr>
        <w:t xml:space="preserve">            </w:t>
      </w:r>
      <w:r>
        <w:rPr>
          <w:rFonts w:hint="eastAsia" w:ascii="宋体" w:hAnsi="宋体"/>
          <w:szCs w:val="21"/>
        </w:rPr>
        <w:t>。</w:t>
      </w:r>
    </w:p>
    <w:p w14:paraId="7784B047">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施工现场需要具备的其他试验条件：</w:t>
      </w:r>
      <w:r>
        <w:rPr>
          <w:rFonts w:hint="eastAsia" w:ascii="宋体" w:hAnsi="宋体"/>
          <w:szCs w:val="21"/>
          <w:u w:val="single"/>
        </w:rPr>
        <w:t xml:space="preserve">            </w:t>
      </w:r>
      <w:r>
        <w:rPr>
          <w:rFonts w:hint="eastAsia" w:ascii="宋体" w:hAnsi="宋体"/>
          <w:szCs w:val="21"/>
        </w:rPr>
        <w:t>。</w:t>
      </w:r>
    </w:p>
    <w:p w14:paraId="19539D9E">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564" w:name="_Toc532375633"/>
      <w:bookmarkStart w:id="1565" w:name="_Toc532377369"/>
      <w:r>
        <w:rPr>
          <w:rFonts w:hint="eastAsia"/>
          <w:sz w:val="21"/>
          <w:szCs w:val="21"/>
        </w:rPr>
        <w:t>9.4 现场工艺试验</w:t>
      </w:r>
      <w:bookmarkEnd w:id="1564"/>
      <w:bookmarkEnd w:id="1565"/>
    </w:p>
    <w:bookmarkEnd w:id="1556"/>
    <w:bookmarkEnd w:id="1557"/>
    <w:bookmarkEnd w:id="1558"/>
    <w:bookmarkEnd w:id="1559"/>
    <w:bookmarkEnd w:id="1560"/>
    <w:bookmarkEnd w:id="1561"/>
    <w:bookmarkEnd w:id="1562"/>
    <w:bookmarkEnd w:id="1563"/>
    <w:p w14:paraId="417092C3">
      <w:pPr>
        <w:pageBreakBefore w:val="0"/>
        <w:tabs>
          <w:tab w:val="left" w:pos="711"/>
          <w:tab w:val="left" w:pos="2580"/>
        </w:tabs>
        <w:kinsoku/>
        <w:wordWrap/>
        <w:overflowPunct/>
        <w:topLinePunct w:val="0"/>
        <w:bidi w:val="0"/>
        <w:adjustRightInd/>
        <w:spacing w:line="360" w:lineRule="auto"/>
        <w:ind w:right="0" w:rightChars="0" w:firstLine="420" w:firstLineChars="200"/>
        <w:jc w:val="left"/>
        <w:textAlignment w:val="baseline"/>
        <w:rPr>
          <w:rFonts w:hint="eastAsia" w:ascii="宋体" w:hAnsi="宋体" w:eastAsia="宋体"/>
          <w:szCs w:val="21"/>
          <w:u w:val="single"/>
          <w:lang w:eastAsia="zh-CN"/>
        </w:rPr>
      </w:pPr>
      <w:r>
        <w:rPr>
          <w:rFonts w:hint="eastAsia" w:ascii="宋体" w:hAnsi="宋体"/>
          <w:szCs w:val="21"/>
        </w:rPr>
        <w:t>现场工艺试验的有关约定</w:t>
      </w:r>
      <w:r>
        <w:rPr>
          <w:rFonts w:hint="eastAsia" w:ascii="宋体" w:hAnsi="宋体"/>
          <w:szCs w:val="21"/>
          <w:lang w:eastAsia="zh-CN"/>
        </w:rPr>
        <w:t>：</w:t>
      </w:r>
      <w:r>
        <w:rPr>
          <w:rFonts w:hint="eastAsia" w:ascii="宋体" w:hAnsi="宋体"/>
          <w:szCs w:val="21"/>
          <w:u w:val="single"/>
        </w:rPr>
        <w:t xml:space="preserve">            </w:t>
      </w:r>
      <w:r>
        <w:rPr>
          <w:rFonts w:hint="eastAsia" w:ascii="宋体" w:hAnsi="宋体"/>
          <w:szCs w:val="21"/>
        </w:rPr>
        <w:t>。</w:t>
      </w:r>
    </w:p>
    <w:bookmarkEnd w:id="1412"/>
    <w:bookmarkEnd w:id="1413"/>
    <w:bookmarkEnd w:id="1414"/>
    <w:bookmarkEnd w:id="1415"/>
    <w:bookmarkEnd w:id="1416"/>
    <w:bookmarkEnd w:id="1417"/>
    <w:bookmarkEnd w:id="1418"/>
    <w:bookmarkEnd w:id="1419"/>
    <w:bookmarkEnd w:id="1420"/>
    <w:bookmarkEnd w:id="1421"/>
    <w:bookmarkEnd w:id="1422"/>
    <w:bookmarkEnd w:id="1423"/>
    <w:bookmarkEnd w:id="1424"/>
    <w:p w14:paraId="16ED976E">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566" w:name="_Toc532377370"/>
      <w:bookmarkStart w:id="1567" w:name="_Toc532375634"/>
      <w:bookmarkStart w:id="1568" w:name="_Toc267251490"/>
      <w:bookmarkStart w:id="1569" w:name="_Hlk524298112"/>
      <w:bookmarkStart w:id="1570" w:name="_Toc267251489"/>
      <w:bookmarkStart w:id="1571" w:name="_Toc267251482"/>
      <w:bookmarkStart w:id="1572" w:name="_Toc267251485"/>
      <w:bookmarkStart w:id="1573" w:name="_Toc267251488"/>
      <w:bookmarkStart w:id="1574" w:name="_Toc267251484"/>
      <w:bookmarkStart w:id="1575" w:name="_Toc267251486"/>
      <w:bookmarkStart w:id="1576" w:name="_Toc267251510"/>
      <w:bookmarkStart w:id="1577" w:name="_Toc267251498"/>
      <w:bookmarkStart w:id="1578" w:name="_Toc267251515"/>
      <w:bookmarkStart w:id="1579" w:name="_Toc267251511"/>
      <w:bookmarkStart w:id="1580" w:name="_Toc267251507"/>
      <w:bookmarkStart w:id="1581" w:name="_Toc267251513"/>
      <w:bookmarkStart w:id="1582" w:name="_Toc267251503"/>
      <w:bookmarkStart w:id="1583" w:name="_Toc267251493"/>
      <w:bookmarkStart w:id="1584" w:name="_Toc267251494"/>
      <w:bookmarkStart w:id="1585" w:name="_Toc267251499"/>
      <w:bookmarkStart w:id="1586" w:name="_Toc267251504"/>
      <w:bookmarkStart w:id="1587" w:name="_Toc267251497"/>
      <w:bookmarkStart w:id="1588" w:name="_Toc267251492"/>
      <w:bookmarkStart w:id="1589" w:name="_Toc267251502"/>
      <w:bookmarkStart w:id="1590" w:name="_Toc267251495"/>
      <w:bookmarkStart w:id="1591" w:name="_Toc267251514"/>
      <w:bookmarkStart w:id="1592" w:name="_Toc267251501"/>
      <w:bookmarkStart w:id="1593" w:name="_Toc267251508"/>
      <w:bookmarkStart w:id="1594" w:name="_Toc267251509"/>
      <w:bookmarkStart w:id="1595" w:name="_Toc267251491"/>
      <w:bookmarkStart w:id="1596" w:name="_Toc267251496"/>
      <w:bookmarkStart w:id="1597" w:name="_Toc267251506"/>
      <w:r>
        <w:rPr>
          <w:rFonts w:hint="eastAsia"/>
          <w:kern w:val="2"/>
          <w:sz w:val="21"/>
          <w:szCs w:val="21"/>
        </w:rPr>
        <w:t>1</w:t>
      </w:r>
      <w:bookmarkStart w:id="1598" w:name="_Toc303539146"/>
      <w:bookmarkStart w:id="1599" w:name="_Toc297048379"/>
      <w:bookmarkStart w:id="1600" w:name="_Toc292559903"/>
      <w:bookmarkStart w:id="1601" w:name="_Toc296503193"/>
      <w:bookmarkStart w:id="1602" w:name="_Toc304295566"/>
      <w:bookmarkStart w:id="1603" w:name="_Toc297120493"/>
      <w:bookmarkStart w:id="1604" w:name="_Toc297123540"/>
      <w:bookmarkStart w:id="1605" w:name="_Toc300934989"/>
      <w:bookmarkStart w:id="1606" w:name="_Toc296891233"/>
      <w:bookmarkStart w:id="1607" w:name="_Toc296347192"/>
      <w:bookmarkStart w:id="1608" w:name="_Toc296944532"/>
      <w:bookmarkStart w:id="1609" w:name="_Toc296346694"/>
      <w:bookmarkStart w:id="1610" w:name="_Toc297216199"/>
      <w:bookmarkStart w:id="1611" w:name="_Toc292559398"/>
      <w:bookmarkStart w:id="1612" w:name="_Toc296891021"/>
      <w:bookmarkStart w:id="1613" w:name="_Toc312677499"/>
      <w:bookmarkStart w:id="1614" w:name="_Toc312678025"/>
      <w:bookmarkStart w:id="1615" w:name="_Toc267251440"/>
      <w:bookmarkStart w:id="1616" w:name="_Toc267251439"/>
      <w:bookmarkStart w:id="1617" w:name="_Toc267251437"/>
      <w:bookmarkStart w:id="1618" w:name="_Toc267251435"/>
      <w:bookmarkStart w:id="1619" w:name="_Toc267251441"/>
      <w:bookmarkStart w:id="1620" w:name="_Toc267251433"/>
      <w:r>
        <w:rPr>
          <w:rFonts w:hint="eastAsia"/>
          <w:kern w:val="2"/>
          <w:sz w:val="21"/>
          <w:szCs w:val="21"/>
        </w:rPr>
        <w:t>0. 变更</w:t>
      </w:r>
      <w:bookmarkEnd w:id="1566"/>
      <w:bookmarkEnd w:id="156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p>
    <w:bookmarkEnd w:id="1613"/>
    <w:bookmarkEnd w:id="1614"/>
    <w:p w14:paraId="2D912FA6">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621" w:name="_Toc532377371"/>
      <w:bookmarkStart w:id="1622" w:name="_Toc532375635"/>
      <w:r>
        <w:rPr>
          <w:rFonts w:hint="eastAsia"/>
          <w:sz w:val="21"/>
          <w:szCs w:val="21"/>
        </w:rPr>
        <w:t>1</w:t>
      </w:r>
      <w:bookmarkStart w:id="1623" w:name="_Toc292559399"/>
      <w:bookmarkStart w:id="1624" w:name="_Toc297048380"/>
      <w:bookmarkStart w:id="1625" w:name="_Toc297216200"/>
      <w:bookmarkStart w:id="1626" w:name="_Toc296347193"/>
      <w:bookmarkStart w:id="1627" w:name="_Toc304295567"/>
      <w:bookmarkStart w:id="1628" w:name="_Toc297123541"/>
      <w:bookmarkStart w:id="1629" w:name="_Toc292559904"/>
      <w:bookmarkStart w:id="1630" w:name="_Toc303539147"/>
      <w:bookmarkStart w:id="1631" w:name="_Toc296503194"/>
      <w:bookmarkStart w:id="1632" w:name="_Toc300934990"/>
      <w:bookmarkStart w:id="1633" w:name="_Toc297120494"/>
      <w:bookmarkStart w:id="1634" w:name="_Toc312678026"/>
      <w:bookmarkStart w:id="1635" w:name="_Toc296346695"/>
      <w:bookmarkStart w:id="1636" w:name="_Toc296944533"/>
      <w:bookmarkStart w:id="1637" w:name="_Toc312677500"/>
      <w:bookmarkStart w:id="1638" w:name="_Toc296891234"/>
      <w:bookmarkStart w:id="1639" w:name="_Toc296891022"/>
      <w:r>
        <w:rPr>
          <w:rFonts w:hint="eastAsia"/>
          <w:sz w:val="21"/>
          <w:szCs w:val="21"/>
        </w:rPr>
        <w:t>0.1变更的范围</w:t>
      </w:r>
      <w:bookmarkEnd w:id="1621"/>
      <w:bookmarkEnd w:id="1622"/>
    </w:p>
    <w:p w14:paraId="59700D6F">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关于变更的范围的约定：</w:t>
      </w:r>
      <w:r>
        <w:rPr>
          <w:rFonts w:hint="eastAsia" w:ascii="宋体" w:hAnsi="宋体"/>
          <w:szCs w:val="21"/>
          <w:u w:val="single"/>
        </w:rPr>
        <w:t xml:space="preserve">            </w:t>
      </w:r>
      <w:r>
        <w:rPr>
          <w:rFonts w:hint="eastAsia" w:ascii="宋体" w:hAnsi="宋体"/>
          <w:szCs w:val="21"/>
        </w:rPr>
        <w:t>。</w:t>
      </w:r>
    </w:p>
    <w:p w14:paraId="77DBB880">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640" w:name="_Toc532377374"/>
      <w:bookmarkStart w:id="1641" w:name="_Toc532375638"/>
      <w:r>
        <w:rPr>
          <w:rFonts w:hint="eastAsia"/>
          <w:sz w:val="21"/>
          <w:szCs w:val="21"/>
        </w:rPr>
        <w:t>10.4 变更估价</w:t>
      </w:r>
      <w:bookmarkEnd w:id="1640"/>
      <w:bookmarkEnd w:id="1641"/>
    </w:p>
    <w:p w14:paraId="75403694">
      <w:pPr>
        <w:pageBreakBefore w:val="0"/>
        <w:kinsoku/>
        <w:wordWrap/>
        <w:overflowPunct/>
        <w:topLinePunct w:val="0"/>
        <w:bidi w:val="0"/>
        <w:adjustRightInd/>
        <w:spacing w:line="360" w:lineRule="auto"/>
        <w:ind w:right="0" w:rightChars="0" w:firstLine="420" w:firstLineChars="200"/>
        <w:jc w:val="left"/>
        <w:rPr>
          <w:rFonts w:ascii="宋体" w:hAnsi="宋体"/>
          <w:szCs w:val="21"/>
        </w:rPr>
      </w:pPr>
      <w:bookmarkStart w:id="1642" w:name="_Hlk524296629"/>
      <w:r>
        <w:rPr>
          <w:rFonts w:hint="eastAsia" w:ascii="宋体" w:hAnsi="宋体"/>
          <w:szCs w:val="21"/>
        </w:rPr>
        <w:t>10.4.1 变更估价原则</w:t>
      </w:r>
    </w:p>
    <w:p w14:paraId="550375AA">
      <w:pPr>
        <w:pageBreakBefore w:val="0"/>
        <w:kinsoku/>
        <w:wordWrap/>
        <w:overflowPunct/>
        <w:topLinePunct w:val="0"/>
        <w:bidi w:val="0"/>
        <w:adjustRightInd/>
        <w:spacing w:line="360" w:lineRule="auto"/>
        <w:ind w:right="0" w:rightChars="0" w:firstLine="420" w:firstLineChars="200"/>
        <w:jc w:val="left"/>
        <w:rPr>
          <w:rFonts w:hint="eastAsia" w:ascii="宋体" w:hAnsi="宋体" w:eastAsia="宋体"/>
          <w:szCs w:val="21"/>
          <w:u w:val="single"/>
          <w:lang w:eastAsia="zh-CN"/>
        </w:rPr>
      </w:pPr>
      <w:r>
        <w:rPr>
          <w:rFonts w:hint="eastAsia" w:ascii="宋体" w:hAnsi="宋体"/>
          <w:szCs w:val="21"/>
        </w:rPr>
        <w:t>关于变更估价的约定</w:t>
      </w:r>
      <w:r>
        <w:rPr>
          <w:rFonts w:hint="eastAsia" w:ascii="宋体" w:hAnsi="宋体"/>
          <w:szCs w:val="21"/>
          <w:lang w:eastAsia="zh-CN"/>
        </w:rPr>
        <w:t>：</w:t>
      </w:r>
      <w:r>
        <w:rPr>
          <w:rFonts w:hint="eastAsia" w:ascii="宋体" w:hAnsi="宋体"/>
          <w:szCs w:val="21"/>
          <w:u w:val="single"/>
        </w:rPr>
        <w:t xml:space="preserve">            </w:t>
      </w:r>
      <w:r>
        <w:rPr>
          <w:rFonts w:hint="eastAsia" w:ascii="宋体" w:hAnsi="宋体"/>
          <w:szCs w:val="21"/>
        </w:rPr>
        <w:t>。</w:t>
      </w:r>
    </w:p>
    <w:bookmarkEnd w:id="1642"/>
    <w:p w14:paraId="5150ADEE">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643" w:name="_Toc532377375"/>
      <w:bookmarkStart w:id="1644" w:name="_Toc532375639"/>
      <w:r>
        <w:rPr>
          <w:rFonts w:hint="eastAsia"/>
          <w:sz w:val="21"/>
          <w:szCs w:val="21"/>
        </w:rPr>
        <w:t>1</w:t>
      </w:r>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Start w:id="1645" w:name="_Toc296503197"/>
      <w:bookmarkStart w:id="1646" w:name="_Toc296891025"/>
      <w:bookmarkStart w:id="1647" w:name="_Toc292559907"/>
      <w:bookmarkStart w:id="1648" w:name="_Toc297123544"/>
      <w:bookmarkStart w:id="1649" w:name="_Toc292559402"/>
      <w:bookmarkStart w:id="1650" w:name="_Toc296346698"/>
      <w:bookmarkStart w:id="1651" w:name="_Toc297216203"/>
      <w:bookmarkStart w:id="1652" w:name="_Toc303539150"/>
      <w:bookmarkStart w:id="1653" w:name="_Toc296347196"/>
      <w:bookmarkStart w:id="1654" w:name="_Toc297048383"/>
      <w:bookmarkStart w:id="1655" w:name="_Toc296944536"/>
      <w:bookmarkStart w:id="1656" w:name="_Toc296891237"/>
      <w:bookmarkStart w:id="1657" w:name="_Toc297120497"/>
      <w:bookmarkStart w:id="1658" w:name="_Toc300934993"/>
      <w:bookmarkStart w:id="1659" w:name="_Toc312678029"/>
      <w:bookmarkStart w:id="1660" w:name="_Toc312677503"/>
      <w:bookmarkStart w:id="1661" w:name="_Toc304295570"/>
      <w:r>
        <w:rPr>
          <w:rFonts w:hint="eastAsia"/>
          <w:sz w:val="21"/>
          <w:szCs w:val="21"/>
        </w:rPr>
        <w:t>0.5承</w:t>
      </w:r>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Start w:id="1662" w:name="_Toc296503203"/>
      <w:bookmarkStart w:id="1663" w:name="_Toc297120503"/>
      <w:bookmarkStart w:id="1664" w:name="_Toc297048389"/>
      <w:bookmarkStart w:id="1665" w:name="_Toc297123545"/>
      <w:bookmarkStart w:id="1666" w:name="_Toc296347202"/>
      <w:bookmarkStart w:id="1667" w:name="_Toc296346704"/>
      <w:bookmarkStart w:id="1668" w:name="_Toc292559408"/>
      <w:bookmarkStart w:id="1669" w:name="_Toc292559913"/>
      <w:bookmarkStart w:id="1670" w:name="_Toc296891243"/>
      <w:bookmarkStart w:id="1671" w:name="_Toc300934994"/>
      <w:bookmarkStart w:id="1672" w:name="_Toc296944542"/>
      <w:bookmarkStart w:id="1673" w:name="_Toc303539151"/>
      <w:bookmarkStart w:id="1674" w:name="_Toc296891031"/>
      <w:bookmarkStart w:id="1675" w:name="_Toc297216204"/>
      <w:r>
        <w:rPr>
          <w:rFonts w:hint="eastAsia"/>
          <w:sz w:val="21"/>
          <w:szCs w:val="21"/>
        </w:rPr>
        <w:t>包人的合理化建议</w:t>
      </w:r>
      <w:bookmarkEnd w:id="1643"/>
      <w:bookmarkEnd w:id="1644"/>
    </w:p>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p w14:paraId="09994D4D">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bookmarkStart w:id="1676" w:name="_Toc318581175"/>
      <w:bookmarkStart w:id="1677" w:name="_Toc312677504"/>
      <w:bookmarkStart w:id="1678" w:name="_Toc296944543"/>
      <w:bookmarkStart w:id="1679" w:name="_Toc297120504"/>
      <w:bookmarkStart w:id="1680" w:name="_Toc312678030"/>
      <w:bookmarkStart w:id="1681" w:name="_Toc296347203"/>
      <w:bookmarkStart w:id="1682" w:name="_Toc304295571"/>
      <w:bookmarkStart w:id="1683" w:name="_Toc292559914"/>
      <w:bookmarkStart w:id="1684" w:name="_Toc296346705"/>
      <w:bookmarkStart w:id="1685" w:name="_Toc297216205"/>
      <w:bookmarkStart w:id="1686" w:name="_Toc296503204"/>
      <w:bookmarkStart w:id="1687" w:name="_Toc300934995"/>
      <w:bookmarkStart w:id="1688" w:name="_Toc303539152"/>
      <w:bookmarkStart w:id="1689" w:name="_Toc296891244"/>
      <w:bookmarkStart w:id="1690" w:name="_Toc292559409"/>
      <w:bookmarkStart w:id="1691" w:name="_Toc297048390"/>
      <w:bookmarkStart w:id="1692" w:name="_Toc296891032"/>
      <w:bookmarkStart w:id="1693" w:name="_Toc297123546"/>
      <w:r>
        <w:rPr>
          <w:rFonts w:hint="eastAsia" w:ascii="宋体" w:hAnsi="宋体"/>
          <w:szCs w:val="21"/>
        </w:rPr>
        <w:t>监理人审查承包人合理化建议的期限：</w:t>
      </w:r>
      <w:r>
        <w:rPr>
          <w:rFonts w:hint="eastAsia" w:ascii="宋体" w:hAnsi="宋体"/>
          <w:szCs w:val="21"/>
          <w:u w:val="single"/>
        </w:rPr>
        <w:t xml:space="preserve">            </w:t>
      </w:r>
      <w:r>
        <w:rPr>
          <w:rFonts w:hint="eastAsia" w:ascii="宋体" w:hAnsi="宋体"/>
          <w:szCs w:val="21"/>
        </w:rPr>
        <w:t>。</w:t>
      </w:r>
    </w:p>
    <w:p w14:paraId="2BA0CB17">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发包人审批承包人合理化建议的期限：</w:t>
      </w:r>
      <w:r>
        <w:rPr>
          <w:rFonts w:hint="eastAsia" w:ascii="宋体" w:hAnsi="宋体"/>
          <w:szCs w:val="21"/>
          <w:u w:val="single"/>
        </w:rPr>
        <w:t xml:space="preserve">            </w:t>
      </w:r>
      <w:r>
        <w:rPr>
          <w:rFonts w:hint="eastAsia" w:ascii="宋体" w:hAnsi="宋体"/>
          <w:szCs w:val="21"/>
        </w:rPr>
        <w:t>。</w:t>
      </w:r>
    </w:p>
    <w:p w14:paraId="5B77F51B">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承包人提出的合理化建议降低了合同价格或者提高了工程经济效益的奖励的方法和金额为：</w:t>
      </w:r>
      <w:r>
        <w:rPr>
          <w:rFonts w:hint="eastAsia" w:ascii="宋体" w:hAnsi="宋体"/>
          <w:szCs w:val="21"/>
          <w:u w:val="single"/>
        </w:rPr>
        <w:t xml:space="preserve">            </w:t>
      </w:r>
      <w:r>
        <w:rPr>
          <w:rFonts w:hint="eastAsia" w:ascii="宋体" w:hAnsi="宋体"/>
          <w:szCs w:val="21"/>
        </w:rPr>
        <w:t>。</w:t>
      </w:r>
    </w:p>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p w14:paraId="51D74D91">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694" w:name="_Toc532377376"/>
      <w:bookmarkStart w:id="1695" w:name="_Toc532375640"/>
      <w:r>
        <w:rPr>
          <w:rFonts w:hint="eastAsia"/>
          <w:sz w:val="21"/>
          <w:szCs w:val="21"/>
        </w:rPr>
        <w:t>1</w:t>
      </w:r>
      <w:bookmarkStart w:id="1696" w:name="_Toc303539154"/>
      <w:bookmarkStart w:id="1697" w:name="_Toc296346700"/>
      <w:bookmarkStart w:id="1698" w:name="_Toc300934997"/>
      <w:bookmarkStart w:id="1699" w:name="_Toc297216207"/>
      <w:bookmarkStart w:id="1700" w:name="_Toc312678033"/>
      <w:bookmarkStart w:id="1701" w:name="_Toc292559909"/>
      <w:bookmarkStart w:id="1702" w:name="_Toc304295574"/>
      <w:bookmarkStart w:id="1703" w:name="_Toc297120499"/>
      <w:bookmarkStart w:id="1704" w:name="_Toc296891027"/>
      <w:bookmarkStart w:id="1705" w:name="_Toc297048385"/>
      <w:bookmarkStart w:id="1706" w:name="_Toc312677507"/>
      <w:bookmarkStart w:id="1707" w:name="_Toc292559404"/>
      <w:bookmarkStart w:id="1708" w:name="_Toc296503199"/>
      <w:bookmarkStart w:id="1709" w:name="_Toc296347198"/>
      <w:bookmarkStart w:id="1710" w:name="_Toc296944538"/>
      <w:bookmarkStart w:id="1711" w:name="_Toc297123548"/>
      <w:bookmarkStart w:id="1712" w:name="_Toc296891239"/>
      <w:r>
        <w:rPr>
          <w:rFonts w:hint="eastAsia"/>
          <w:sz w:val="21"/>
          <w:szCs w:val="21"/>
        </w:rPr>
        <w:t>0.7 暂估价</w:t>
      </w:r>
      <w:bookmarkEnd w:id="1694"/>
      <w:bookmarkEnd w:id="1695"/>
    </w:p>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p w14:paraId="3702431C">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暂估价材料和工程设备的明细详见附件11：《暂估价一览表》。</w:t>
      </w:r>
    </w:p>
    <w:p w14:paraId="2B6F4EE2">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10.7.1 依法必须招标的暂估价项目</w:t>
      </w:r>
    </w:p>
    <w:p w14:paraId="4C83393B">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对于依法必须招标的暂估价项目的确认和批准采取第    种方式确定。</w:t>
      </w:r>
    </w:p>
    <w:p w14:paraId="57DA2E15">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10.7.2 不属于依法必须招标的暂估价项目</w:t>
      </w:r>
    </w:p>
    <w:p w14:paraId="77E93CC8">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对于不属于依法必须招标的暂估价项目的确认和批准采取第</w:t>
      </w:r>
      <w:r>
        <w:rPr>
          <w:rFonts w:hint="eastAsia" w:ascii="宋体" w:hAnsi="宋体"/>
          <w:szCs w:val="21"/>
          <w:u w:val="single"/>
          <w:lang w:val="en-US" w:eastAsia="zh-CN"/>
        </w:rPr>
        <w:t xml:space="preserve">        </w:t>
      </w:r>
      <w:r>
        <w:rPr>
          <w:rFonts w:hint="eastAsia" w:ascii="宋体" w:hAnsi="宋体"/>
          <w:szCs w:val="21"/>
        </w:rPr>
        <w:t>种方式确定。</w:t>
      </w:r>
    </w:p>
    <w:p w14:paraId="49816958">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第3种方式：承包人直接实施的暂估价项目</w:t>
      </w:r>
    </w:p>
    <w:p w14:paraId="0CF3D78B">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承包人直接实施的暂估价项目的约定：</w:t>
      </w:r>
      <w:r>
        <w:rPr>
          <w:rFonts w:hint="eastAsia" w:ascii="宋体" w:hAnsi="宋体"/>
          <w:szCs w:val="21"/>
          <w:u w:val="single"/>
        </w:rPr>
        <w:t xml:space="preserve">            </w:t>
      </w:r>
      <w:r>
        <w:rPr>
          <w:rFonts w:hint="eastAsia" w:ascii="宋体" w:hAnsi="宋体"/>
          <w:szCs w:val="21"/>
        </w:rPr>
        <w:t>。</w:t>
      </w:r>
    </w:p>
    <w:p w14:paraId="1A7BC511">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713" w:name="_Toc532377377"/>
      <w:bookmarkStart w:id="1714" w:name="_Toc532375641"/>
      <w:r>
        <w:rPr>
          <w:rFonts w:hint="eastAsia"/>
          <w:sz w:val="21"/>
          <w:szCs w:val="21"/>
        </w:rPr>
        <w:t>10.8 暂列金额</w:t>
      </w:r>
      <w:bookmarkEnd w:id="1713"/>
      <w:bookmarkEnd w:id="1714"/>
    </w:p>
    <w:p w14:paraId="1AF30EC1">
      <w:pPr>
        <w:pageBreakBefore w:val="0"/>
        <w:kinsoku/>
        <w:wordWrap/>
        <w:overflowPunct/>
        <w:topLinePunct w:val="0"/>
        <w:autoSpaceDE w:val="0"/>
        <w:autoSpaceDN w:val="0"/>
        <w:bidi w:val="0"/>
        <w:adjustRightInd/>
        <w:spacing w:line="360" w:lineRule="auto"/>
        <w:ind w:right="0" w:rightChars="0" w:firstLine="420" w:firstLineChars="200"/>
        <w:jc w:val="left"/>
        <w:rPr>
          <w:rFonts w:ascii="宋体" w:hAnsi="宋体"/>
          <w:szCs w:val="21"/>
        </w:rPr>
      </w:pPr>
      <w:r>
        <w:rPr>
          <w:rFonts w:hint="eastAsia" w:ascii="宋体" w:hAnsi="宋体"/>
          <w:szCs w:val="21"/>
        </w:rPr>
        <w:t>合同当事人关于暂列金额使用的约定：</w:t>
      </w:r>
      <w:r>
        <w:rPr>
          <w:rFonts w:hint="eastAsia" w:ascii="宋体" w:hAnsi="宋体"/>
          <w:szCs w:val="21"/>
          <w:u w:val="single"/>
        </w:rPr>
        <w:t xml:space="preserve">            </w:t>
      </w:r>
      <w:r>
        <w:rPr>
          <w:rFonts w:hint="eastAsia" w:ascii="宋体" w:hAnsi="宋体"/>
          <w:szCs w:val="21"/>
        </w:rPr>
        <w:t>。</w:t>
      </w:r>
    </w:p>
    <w:p w14:paraId="09B67281">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715" w:name="_Toc351203643"/>
      <w:bookmarkStart w:id="1716" w:name="_Toc532377378"/>
      <w:bookmarkStart w:id="1717" w:name="_Toc532375642"/>
      <w:r>
        <w:rPr>
          <w:rFonts w:hint="eastAsia"/>
          <w:kern w:val="2"/>
          <w:sz w:val="21"/>
          <w:szCs w:val="21"/>
        </w:rPr>
        <w:t>11. 价格调整</w:t>
      </w:r>
      <w:bookmarkEnd w:id="1715"/>
      <w:bookmarkEnd w:id="1716"/>
      <w:bookmarkEnd w:id="1717"/>
    </w:p>
    <w:bookmarkEnd w:id="1615"/>
    <w:bookmarkEnd w:id="1616"/>
    <w:bookmarkEnd w:id="1617"/>
    <w:bookmarkEnd w:id="1618"/>
    <w:bookmarkEnd w:id="1619"/>
    <w:bookmarkEnd w:id="1620"/>
    <w:p w14:paraId="4BE3F7DA">
      <w:pPr>
        <w:pageBreakBefore w:val="0"/>
        <w:kinsoku/>
        <w:wordWrap/>
        <w:overflowPunct/>
        <w:topLinePunct w:val="0"/>
        <w:bidi w:val="0"/>
        <w:adjustRightInd/>
        <w:spacing w:line="360" w:lineRule="auto"/>
        <w:ind w:right="0" w:rightChars="0" w:firstLine="420" w:firstLineChars="200"/>
        <w:jc w:val="left"/>
        <w:rPr>
          <w:rFonts w:hint="default" w:ascii="宋体" w:hAnsi="宋体" w:eastAsia="宋体"/>
          <w:szCs w:val="21"/>
          <w:u w:val="single"/>
          <w:lang w:val="en-US" w:eastAsia="zh-CN"/>
        </w:rPr>
      </w:pPr>
      <w:bookmarkStart w:id="1718" w:name="_Toc296347204"/>
      <w:bookmarkStart w:id="1719" w:name="_Toc296891033"/>
      <w:bookmarkStart w:id="1720" w:name="_Toc296944544"/>
      <w:bookmarkStart w:id="1721" w:name="_Toc296503205"/>
      <w:bookmarkStart w:id="1722" w:name="_Toc297048391"/>
      <w:bookmarkStart w:id="1723" w:name="_Toc292559410"/>
      <w:bookmarkStart w:id="1724" w:name="_Toc296891245"/>
      <w:bookmarkStart w:id="1725" w:name="_Toc297120505"/>
      <w:bookmarkStart w:id="1726" w:name="_Toc296346706"/>
      <w:bookmarkStart w:id="1727" w:name="_Toc292559915"/>
      <w:bookmarkStart w:id="1728" w:name="_Toc351203644"/>
      <w:bookmarkStart w:id="1729" w:name="_Toc297123552"/>
      <w:bookmarkStart w:id="1730" w:name="_Toc312678040"/>
      <w:bookmarkStart w:id="1731" w:name="_Toc304295579"/>
      <w:bookmarkStart w:id="1732" w:name="_Toc300935002"/>
      <w:bookmarkStart w:id="1733" w:name="_Toc297216211"/>
      <w:bookmarkStart w:id="1734" w:name="_Toc303539159"/>
      <w:r>
        <w:rPr>
          <w:rFonts w:hint="eastAsia" w:ascii="宋体" w:hAnsi="宋体"/>
          <w:szCs w:val="21"/>
          <w:u w:val="none"/>
          <w:lang w:val="en-US" w:eastAsia="zh-CN"/>
        </w:rPr>
        <w:t>不调整。</w:t>
      </w:r>
    </w:p>
    <w:p w14:paraId="493BF160">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735" w:name="_Toc532375646"/>
      <w:bookmarkStart w:id="1736" w:name="_Toc532377382"/>
      <w:r>
        <w:rPr>
          <w:rFonts w:hint="eastAsia"/>
          <w:kern w:val="2"/>
          <w:sz w:val="21"/>
          <w:szCs w:val="21"/>
        </w:rPr>
        <w:t xml:space="preserve">12. </w:t>
      </w:r>
      <w:bookmarkEnd w:id="1718"/>
      <w:bookmarkEnd w:id="1719"/>
      <w:bookmarkEnd w:id="1720"/>
      <w:bookmarkEnd w:id="1721"/>
      <w:bookmarkEnd w:id="1722"/>
      <w:bookmarkEnd w:id="1723"/>
      <w:bookmarkEnd w:id="1724"/>
      <w:bookmarkEnd w:id="1725"/>
      <w:bookmarkEnd w:id="1726"/>
      <w:bookmarkEnd w:id="1727"/>
      <w:r>
        <w:rPr>
          <w:rFonts w:hint="eastAsia"/>
          <w:kern w:val="2"/>
          <w:sz w:val="21"/>
          <w:szCs w:val="21"/>
        </w:rPr>
        <w:t>合同价格、计量与支付</w:t>
      </w:r>
      <w:bookmarkEnd w:id="1728"/>
      <w:bookmarkEnd w:id="1735"/>
      <w:bookmarkEnd w:id="1736"/>
    </w:p>
    <w:bookmarkEnd w:id="1729"/>
    <w:bookmarkEnd w:id="1730"/>
    <w:bookmarkEnd w:id="1731"/>
    <w:bookmarkEnd w:id="1732"/>
    <w:bookmarkEnd w:id="1733"/>
    <w:bookmarkEnd w:id="1734"/>
    <w:p w14:paraId="206E7220">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737" w:name="_Toc292559916"/>
      <w:bookmarkStart w:id="1738" w:name="_Toc267251461"/>
      <w:bookmarkStart w:id="1739" w:name="_Toc292559411"/>
      <w:bookmarkStart w:id="1740" w:name="_Toc296347205"/>
      <w:bookmarkStart w:id="1741" w:name="_Toc296346707"/>
      <w:bookmarkStart w:id="1742" w:name="_Toc296891034"/>
      <w:bookmarkStart w:id="1743" w:name="_Toc296503206"/>
      <w:bookmarkStart w:id="1744" w:name="_Toc297048392"/>
      <w:bookmarkStart w:id="1745" w:name="_Toc296944545"/>
      <w:bookmarkStart w:id="1746" w:name="_Toc296891246"/>
      <w:bookmarkStart w:id="1747" w:name="_Toc297120506"/>
      <w:bookmarkStart w:id="1748" w:name="_Toc532375647"/>
      <w:bookmarkStart w:id="1749" w:name="_Toc532377383"/>
      <w:bookmarkStart w:id="1750" w:name="_Toc304295580"/>
      <w:bookmarkStart w:id="1751" w:name="_Toc297123553"/>
      <w:bookmarkStart w:id="1752" w:name="_Toc297216212"/>
      <w:bookmarkStart w:id="1753" w:name="_Toc300935003"/>
      <w:bookmarkStart w:id="1754" w:name="_Toc303539160"/>
      <w:bookmarkStart w:id="1755" w:name="_Toc312678041"/>
      <w:r>
        <w:rPr>
          <w:rFonts w:hint="eastAsia"/>
          <w:sz w:val="21"/>
          <w:szCs w:val="21"/>
        </w:rPr>
        <w:t>12.1 合</w:t>
      </w:r>
      <w:bookmarkEnd w:id="1737"/>
      <w:bookmarkEnd w:id="1738"/>
      <w:bookmarkEnd w:id="1739"/>
      <w:r>
        <w:rPr>
          <w:rFonts w:hint="eastAsia"/>
          <w:sz w:val="21"/>
          <w:szCs w:val="21"/>
        </w:rPr>
        <w:t>同价</w:t>
      </w:r>
      <w:bookmarkEnd w:id="1740"/>
      <w:bookmarkEnd w:id="1741"/>
      <w:bookmarkEnd w:id="1742"/>
      <w:bookmarkEnd w:id="1743"/>
      <w:bookmarkEnd w:id="1744"/>
      <w:bookmarkEnd w:id="1745"/>
      <w:bookmarkEnd w:id="1746"/>
      <w:bookmarkEnd w:id="1747"/>
      <w:r>
        <w:rPr>
          <w:rFonts w:hint="eastAsia"/>
          <w:sz w:val="21"/>
          <w:szCs w:val="21"/>
        </w:rPr>
        <w:t>格形式</w:t>
      </w:r>
      <w:bookmarkEnd w:id="1748"/>
      <w:bookmarkEnd w:id="1749"/>
    </w:p>
    <w:bookmarkEnd w:id="1750"/>
    <w:bookmarkEnd w:id="1751"/>
    <w:bookmarkEnd w:id="1752"/>
    <w:bookmarkEnd w:id="1753"/>
    <w:bookmarkEnd w:id="1754"/>
    <w:bookmarkEnd w:id="1755"/>
    <w:p w14:paraId="20A6DD85">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1、单价合同。</w:t>
      </w:r>
    </w:p>
    <w:p w14:paraId="27F1A8E8">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综合单价包含的风险范围：</w:t>
      </w:r>
      <w:r>
        <w:rPr>
          <w:rFonts w:hint="eastAsia" w:ascii="宋体" w:hAnsi="宋体"/>
          <w:szCs w:val="21"/>
          <w:u w:val="single"/>
        </w:rPr>
        <w:t xml:space="preserve">            </w:t>
      </w:r>
      <w:r>
        <w:rPr>
          <w:rFonts w:hint="eastAsia" w:ascii="宋体" w:hAnsi="宋体"/>
          <w:szCs w:val="21"/>
        </w:rPr>
        <w:t>。</w:t>
      </w:r>
    </w:p>
    <w:p w14:paraId="34390FED">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 xml:space="preserve">            </w:t>
      </w:r>
      <w:r>
        <w:rPr>
          <w:rFonts w:hint="eastAsia" w:ascii="宋体" w:hAnsi="宋体"/>
          <w:szCs w:val="21"/>
        </w:rPr>
        <w:t>。</w:t>
      </w:r>
    </w:p>
    <w:p w14:paraId="1818AE9C">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风险范围以外合同价格的调整方法：</w:t>
      </w:r>
      <w:r>
        <w:rPr>
          <w:rFonts w:hint="eastAsia" w:ascii="宋体" w:hAnsi="宋体"/>
          <w:szCs w:val="21"/>
          <w:u w:val="single"/>
        </w:rPr>
        <w:t xml:space="preserve">            </w:t>
      </w:r>
      <w:r>
        <w:rPr>
          <w:rFonts w:hint="eastAsia" w:ascii="宋体" w:hAnsi="宋体"/>
          <w:szCs w:val="21"/>
        </w:rPr>
        <w:t>。</w:t>
      </w:r>
    </w:p>
    <w:p w14:paraId="73C833D0">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2、总价合同。</w:t>
      </w:r>
    </w:p>
    <w:p w14:paraId="17016885">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总价包含的风险范围：</w:t>
      </w:r>
      <w:r>
        <w:rPr>
          <w:rFonts w:hint="eastAsia" w:ascii="宋体" w:hAnsi="宋体"/>
          <w:szCs w:val="21"/>
          <w:u w:val="single"/>
        </w:rPr>
        <w:t xml:space="preserve">            </w:t>
      </w:r>
      <w:r>
        <w:rPr>
          <w:rFonts w:hint="eastAsia" w:ascii="宋体" w:hAnsi="宋体"/>
          <w:szCs w:val="21"/>
        </w:rPr>
        <w:t>。</w:t>
      </w:r>
    </w:p>
    <w:p w14:paraId="6E3DB847">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 xml:space="preserve">            </w:t>
      </w:r>
      <w:r>
        <w:rPr>
          <w:rFonts w:hint="eastAsia" w:ascii="宋体" w:hAnsi="宋体"/>
          <w:szCs w:val="21"/>
        </w:rPr>
        <w:t>。</w:t>
      </w:r>
    </w:p>
    <w:p w14:paraId="4E8C7621">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风险范围以外合同价格的调整方法：</w:t>
      </w:r>
      <w:r>
        <w:rPr>
          <w:rFonts w:hint="eastAsia" w:ascii="宋体" w:hAnsi="宋体"/>
          <w:szCs w:val="21"/>
          <w:u w:val="single"/>
        </w:rPr>
        <w:t xml:space="preserve">            </w:t>
      </w:r>
      <w:r>
        <w:rPr>
          <w:rFonts w:hint="eastAsia" w:ascii="宋体" w:hAnsi="宋体"/>
          <w:szCs w:val="21"/>
        </w:rPr>
        <w:t>。</w:t>
      </w:r>
    </w:p>
    <w:p w14:paraId="0AED5C6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3、其他价格方式：</w:t>
      </w:r>
      <w:r>
        <w:rPr>
          <w:rFonts w:hint="eastAsia" w:ascii="宋体" w:hAnsi="宋体"/>
          <w:szCs w:val="21"/>
          <w:u w:val="single"/>
        </w:rPr>
        <w:t xml:space="preserve">            </w:t>
      </w:r>
      <w:r>
        <w:rPr>
          <w:rFonts w:hint="eastAsia" w:ascii="宋体" w:hAnsi="宋体"/>
          <w:szCs w:val="21"/>
        </w:rPr>
        <w:t>。</w:t>
      </w:r>
    </w:p>
    <w:p w14:paraId="0558BC13">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756" w:name="_Toc532375648"/>
      <w:bookmarkStart w:id="1757" w:name="_Toc532377384"/>
      <w:bookmarkStart w:id="1758" w:name="_Toc297123554"/>
      <w:bookmarkStart w:id="1759" w:name="_Toc312678042"/>
      <w:bookmarkStart w:id="1760" w:name="_Toc303539161"/>
      <w:bookmarkStart w:id="1761" w:name="_Toc304295581"/>
      <w:bookmarkStart w:id="1762" w:name="_Toc300935004"/>
      <w:bookmarkStart w:id="1763" w:name="_Toc297216213"/>
      <w:bookmarkStart w:id="1764" w:name="_Toc296503207"/>
      <w:bookmarkStart w:id="1765" w:name="_Toc296346708"/>
      <w:bookmarkStart w:id="1766" w:name="_Toc296944546"/>
      <w:bookmarkStart w:id="1767" w:name="_Toc297048393"/>
      <w:bookmarkStart w:id="1768" w:name="_Toc296891035"/>
      <w:bookmarkStart w:id="1769" w:name="_Toc297120507"/>
      <w:bookmarkStart w:id="1770" w:name="_Toc292559412"/>
      <w:bookmarkStart w:id="1771" w:name="_Toc292559917"/>
      <w:bookmarkStart w:id="1772" w:name="_Toc296891247"/>
      <w:bookmarkStart w:id="1773" w:name="_Toc296347206"/>
      <w:r>
        <w:rPr>
          <w:rFonts w:hint="eastAsia"/>
          <w:sz w:val="21"/>
          <w:szCs w:val="21"/>
        </w:rPr>
        <w:t>12.2 预付款</w:t>
      </w:r>
      <w:bookmarkEnd w:id="1756"/>
      <w:bookmarkEnd w:id="1757"/>
    </w:p>
    <w:bookmarkEnd w:id="1758"/>
    <w:bookmarkEnd w:id="1759"/>
    <w:bookmarkEnd w:id="1760"/>
    <w:bookmarkEnd w:id="1761"/>
    <w:bookmarkEnd w:id="1762"/>
    <w:bookmarkEnd w:id="1763"/>
    <w:p w14:paraId="1EF16D5B">
      <w:pPr>
        <w:pageBreakBefore w:val="0"/>
        <w:kinsoku/>
        <w:wordWrap/>
        <w:overflowPunct/>
        <w:topLinePunct w:val="0"/>
        <w:bidi w:val="0"/>
        <w:adjustRightInd/>
        <w:spacing w:line="360" w:lineRule="auto"/>
        <w:ind w:right="0" w:rightChars="0" w:firstLine="420" w:firstLineChars="200"/>
        <w:jc w:val="left"/>
        <w:rPr>
          <w:rFonts w:hint="eastAsia" w:ascii="宋体" w:hAnsi="宋体" w:eastAsia="宋体"/>
          <w:szCs w:val="21"/>
          <w:lang w:eastAsia="zh-CN"/>
        </w:rPr>
      </w:pPr>
      <w:r>
        <w:rPr>
          <w:rFonts w:hint="eastAsia" w:ascii="宋体" w:hAnsi="宋体"/>
          <w:szCs w:val="21"/>
          <w:lang w:val="en-US" w:eastAsia="zh-CN"/>
        </w:rPr>
        <w:t>无。</w:t>
      </w:r>
    </w:p>
    <w:bookmarkEnd w:id="1764"/>
    <w:bookmarkEnd w:id="1765"/>
    <w:bookmarkEnd w:id="1766"/>
    <w:bookmarkEnd w:id="1767"/>
    <w:bookmarkEnd w:id="1768"/>
    <w:bookmarkEnd w:id="1769"/>
    <w:bookmarkEnd w:id="1770"/>
    <w:bookmarkEnd w:id="1771"/>
    <w:bookmarkEnd w:id="1772"/>
    <w:bookmarkEnd w:id="1773"/>
    <w:p w14:paraId="520A5568">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774" w:name="_Toc532375649"/>
      <w:bookmarkStart w:id="1775" w:name="_Toc532377385"/>
      <w:r>
        <w:rPr>
          <w:rFonts w:hint="eastAsia"/>
          <w:sz w:val="21"/>
          <w:szCs w:val="21"/>
        </w:rPr>
        <w:t>12.3 计量</w:t>
      </w:r>
      <w:bookmarkEnd w:id="1774"/>
      <w:bookmarkEnd w:id="1775"/>
    </w:p>
    <w:p w14:paraId="7511222F">
      <w:pPr>
        <w:pageBreakBefore w:val="0"/>
        <w:kinsoku/>
        <w:wordWrap/>
        <w:overflowPunct/>
        <w:topLinePunct w:val="0"/>
        <w:bidi w:val="0"/>
        <w:adjustRightInd/>
        <w:spacing w:line="360" w:lineRule="auto"/>
        <w:ind w:right="0" w:rightChars="0" w:firstLine="420" w:firstLineChars="200"/>
        <w:jc w:val="left"/>
        <w:rPr>
          <w:rFonts w:ascii="宋体" w:hAnsi="宋体"/>
          <w:szCs w:val="21"/>
        </w:rPr>
      </w:pPr>
      <w:bookmarkStart w:id="1776" w:name="_Hlk528928260"/>
      <w:r>
        <w:rPr>
          <w:rFonts w:hint="eastAsia" w:ascii="宋体" w:hAnsi="宋体"/>
          <w:szCs w:val="21"/>
        </w:rPr>
        <w:t>12.3.1 计量原则</w:t>
      </w:r>
    </w:p>
    <w:p w14:paraId="59371169">
      <w:pPr>
        <w:pageBreakBefore w:val="0"/>
        <w:tabs>
          <w:tab w:val="left" w:pos="1134"/>
        </w:tabs>
        <w:kinsoku/>
        <w:wordWrap/>
        <w:overflowPunct/>
        <w:topLinePunct w:val="0"/>
        <w:bidi w:val="0"/>
        <w:adjustRightInd/>
        <w:spacing w:line="360" w:lineRule="auto"/>
        <w:ind w:right="0" w:rightChars="0" w:firstLine="420" w:firstLineChars="200"/>
        <w:jc w:val="left"/>
        <w:rPr>
          <w:rFonts w:hint="eastAsia" w:ascii="宋体" w:hAnsi="宋体" w:eastAsia="宋体"/>
          <w:szCs w:val="21"/>
          <w:lang w:eastAsia="zh-CN"/>
        </w:rPr>
      </w:pPr>
      <w:r>
        <w:rPr>
          <w:rFonts w:hint="eastAsia" w:ascii="宋体" w:hAnsi="宋体"/>
          <w:szCs w:val="21"/>
        </w:rPr>
        <w:t>工程量计算规则</w:t>
      </w:r>
      <w:r>
        <w:rPr>
          <w:rFonts w:hint="eastAsia" w:ascii="宋体" w:hAnsi="宋体"/>
          <w:szCs w:val="21"/>
          <w:lang w:eastAsia="zh-CN"/>
        </w:rPr>
        <w:t>：</w:t>
      </w:r>
      <w:r>
        <w:rPr>
          <w:rFonts w:hint="eastAsia" w:ascii="宋体" w:hAnsi="宋体"/>
          <w:szCs w:val="21"/>
          <w:u w:val="single"/>
        </w:rPr>
        <w:t xml:space="preserve">            </w:t>
      </w:r>
      <w:r>
        <w:rPr>
          <w:rFonts w:hint="eastAsia" w:ascii="宋体" w:hAnsi="宋体"/>
          <w:szCs w:val="21"/>
        </w:rPr>
        <w:t>。</w:t>
      </w:r>
    </w:p>
    <w:bookmarkEnd w:id="1776"/>
    <w:p w14:paraId="278F0037">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12.3.2 计量周期</w:t>
      </w:r>
    </w:p>
    <w:p w14:paraId="068303E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关于计量周期的约定：</w:t>
      </w:r>
      <w:r>
        <w:rPr>
          <w:rFonts w:hint="eastAsia" w:ascii="宋体" w:hAnsi="宋体"/>
          <w:szCs w:val="21"/>
          <w:u w:val="single"/>
        </w:rPr>
        <w:t xml:space="preserve">            </w:t>
      </w:r>
      <w:r>
        <w:rPr>
          <w:rFonts w:hint="eastAsia" w:ascii="宋体" w:hAnsi="宋体"/>
          <w:szCs w:val="21"/>
        </w:rPr>
        <w:t>。</w:t>
      </w:r>
    </w:p>
    <w:p w14:paraId="1229145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12.3.3 单价合同的计量</w:t>
      </w:r>
    </w:p>
    <w:p w14:paraId="09E6A06F">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关于单价合同计量的约定：</w:t>
      </w:r>
      <w:r>
        <w:rPr>
          <w:rFonts w:hint="eastAsia" w:ascii="宋体" w:hAnsi="宋体"/>
          <w:szCs w:val="21"/>
          <w:u w:val="single"/>
        </w:rPr>
        <w:t xml:space="preserve">            </w:t>
      </w:r>
      <w:r>
        <w:rPr>
          <w:rFonts w:hint="eastAsia" w:ascii="宋体" w:hAnsi="宋体"/>
          <w:szCs w:val="21"/>
        </w:rPr>
        <w:t>。</w:t>
      </w:r>
    </w:p>
    <w:p w14:paraId="6225691F">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12.3.4 总价合同的计量</w:t>
      </w:r>
    </w:p>
    <w:p w14:paraId="0354C365">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关于总价合同计量的约定：</w:t>
      </w:r>
      <w:r>
        <w:rPr>
          <w:rFonts w:hint="eastAsia" w:ascii="宋体" w:hAnsi="宋体"/>
          <w:szCs w:val="21"/>
          <w:u w:val="single"/>
        </w:rPr>
        <w:t xml:space="preserve">            </w:t>
      </w:r>
      <w:r>
        <w:rPr>
          <w:rFonts w:hint="eastAsia" w:ascii="宋体" w:hAnsi="宋体"/>
          <w:szCs w:val="21"/>
        </w:rPr>
        <w:t>。</w:t>
      </w:r>
    </w:p>
    <w:p w14:paraId="53A839F8">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12.3.5总价合同采用支付分解表计量支付的，是否适用第12.3.4 项〔总价合同的计量〕约定进行计量：</w:t>
      </w:r>
      <w:r>
        <w:rPr>
          <w:rFonts w:hint="eastAsia" w:ascii="宋体" w:hAnsi="宋体"/>
          <w:szCs w:val="21"/>
          <w:u w:val="single"/>
        </w:rPr>
        <w:t xml:space="preserve">            </w:t>
      </w:r>
      <w:r>
        <w:rPr>
          <w:rFonts w:hint="eastAsia" w:ascii="宋体" w:hAnsi="宋体"/>
          <w:szCs w:val="21"/>
        </w:rPr>
        <w:t>。</w:t>
      </w:r>
    </w:p>
    <w:p w14:paraId="161F858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12.3.6 其他价格形式合同的计量</w:t>
      </w:r>
    </w:p>
    <w:p w14:paraId="1D7E53CF">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其他价格形式的计量方式和程序：</w:t>
      </w:r>
      <w:r>
        <w:rPr>
          <w:rFonts w:hint="eastAsia" w:ascii="宋体" w:hAnsi="宋体"/>
          <w:szCs w:val="21"/>
          <w:u w:val="single"/>
        </w:rPr>
        <w:t xml:space="preserve">            </w:t>
      </w:r>
      <w:r>
        <w:rPr>
          <w:rFonts w:hint="eastAsia" w:ascii="宋体" w:hAnsi="宋体"/>
          <w:szCs w:val="21"/>
        </w:rPr>
        <w:t>。</w:t>
      </w:r>
    </w:p>
    <w:p w14:paraId="2ED4CFC7">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777" w:name="_Toc532377386"/>
      <w:bookmarkStart w:id="1778" w:name="_Toc532375650"/>
      <w:bookmarkStart w:id="1779" w:name="_Hlk528928289"/>
      <w:r>
        <w:rPr>
          <w:rFonts w:hint="eastAsia"/>
          <w:sz w:val="21"/>
          <w:szCs w:val="21"/>
        </w:rPr>
        <w:t>12.4 工程进度款支付</w:t>
      </w:r>
      <w:bookmarkEnd w:id="1777"/>
      <w:bookmarkEnd w:id="1778"/>
    </w:p>
    <w:bookmarkEnd w:id="1779"/>
    <w:p w14:paraId="198C540C">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u w:val="none"/>
          <w:lang w:val="en-US" w:eastAsia="zh-CN"/>
        </w:rPr>
      </w:pPr>
      <w:r>
        <w:rPr>
          <w:rFonts w:hint="eastAsia" w:ascii="宋体" w:hAnsi="宋体"/>
          <w:szCs w:val="21"/>
          <w:u w:val="none"/>
          <w:lang w:val="en-US" w:eastAsia="zh-CN"/>
        </w:rPr>
        <w:t xml:space="preserve">①安全文明施工费：合同签订后，在开工前按合同约定的安全文明施工费的50%支付给承包人，用于现场安全文明施工建设，剩余50%安全文明施工费按合同约定，在工程进度款中按比例支付。 </w:t>
      </w:r>
    </w:p>
    <w:p w14:paraId="08AFFE1E">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u w:val="none"/>
          <w:lang w:val="en-US" w:eastAsia="zh-CN"/>
        </w:rPr>
        <w:t>②工程进度款：以承包人提供的农民工工资支付凭证作为当月进度款支付的前置条件；每月支付经确认的上月已完成工程量总价款的80%（以资金到位情况为准）；工程完工并验收合格后，支付至经确认的已完成工程量价款的80%；项目结算审计完成后，两年内支付至审计审定金额的97%，剩余3%（工程质保金，不计息。）在工程质保期满后支付。</w:t>
      </w:r>
    </w:p>
    <w:p w14:paraId="768D6545">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780" w:name="_Toc351203645"/>
      <w:bookmarkStart w:id="1781" w:name="_Toc532375651"/>
      <w:bookmarkStart w:id="1782" w:name="_Toc532377388"/>
      <w:bookmarkStart w:id="1783" w:name="_Toc296347218"/>
      <w:bookmarkStart w:id="1784" w:name="_Toc296891047"/>
      <w:bookmarkStart w:id="1785" w:name="_Toc292559929"/>
      <w:bookmarkStart w:id="1786" w:name="_Toc296346720"/>
      <w:bookmarkStart w:id="1787" w:name="_Toc312678053"/>
      <w:bookmarkStart w:id="1788" w:name="_Toc304295593"/>
      <w:bookmarkStart w:id="1789" w:name="_Toc303539172"/>
      <w:bookmarkStart w:id="1790" w:name="_Toc300935015"/>
      <w:bookmarkStart w:id="1791" w:name="_Toc297216223"/>
      <w:bookmarkStart w:id="1792" w:name="_Toc296891259"/>
      <w:bookmarkStart w:id="1793" w:name="_Toc297120519"/>
      <w:bookmarkStart w:id="1794" w:name="_Toc292559424"/>
      <w:bookmarkStart w:id="1795" w:name="_Toc296503219"/>
      <w:bookmarkStart w:id="1796" w:name="_Toc297123564"/>
      <w:bookmarkStart w:id="1797" w:name="_Toc296944558"/>
      <w:bookmarkStart w:id="1798" w:name="_Toc297048405"/>
      <w:r>
        <w:rPr>
          <w:rFonts w:hint="eastAsia"/>
          <w:kern w:val="2"/>
          <w:sz w:val="21"/>
          <w:szCs w:val="21"/>
        </w:rPr>
        <w:t>13. 验收和工程试车</w:t>
      </w:r>
      <w:bookmarkEnd w:id="1780"/>
      <w:bookmarkEnd w:id="1781"/>
      <w:bookmarkEnd w:id="1782"/>
    </w:p>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14:paraId="267B2B5D">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799" w:name="_Toc532375652"/>
      <w:bookmarkStart w:id="1800" w:name="_Toc532377389"/>
      <w:bookmarkStart w:id="1801" w:name="_Toc280868704"/>
      <w:bookmarkStart w:id="1802" w:name="_Toc280868705"/>
      <w:bookmarkStart w:id="1803" w:name="_Toc280868706"/>
      <w:bookmarkStart w:id="1804" w:name="_Toc280868707"/>
      <w:bookmarkStart w:id="1805" w:name="_Toc280868708"/>
      <w:bookmarkStart w:id="1806" w:name="_Toc280868709"/>
      <w:bookmarkStart w:id="1807" w:name="_Toc267251476"/>
      <w:bookmarkStart w:id="1808" w:name="_Toc267251474"/>
      <w:bookmarkStart w:id="1809" w:name="_Toc267251473"/>
      <w:bookmarkStart w:id="1810" w:name="_Toc267251472"/>
      <w:bookmarkStart w:id="1811" w:name="_Toc267251471"/>
      <w:bookmarkStart w:id="1812" w:name="_Toc267251475"/>
      <w:bookmarkStart w:id="1813" w:name="_Toc267251470"/>
      <w:r>
        <w:rPr>
          <w:rFonts w:hint="eastAsia"/>
          <w:sz w:val="21"/>
          <w:szCs w:val="21"/>
        </w:rPr>
        <w:t>13.1 分部分项工程验收</w:t>
      </w:r>
      <w:bookmarkEnd w:id="1799"/>
      <w:bookmarkEnd w:id="1800"/>
    </w:p>
    <w:p w14:paraId="3C62AD4F">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13.1.2 监理人不能按时进行验收时，应提前</w:t>
      </w:r>
      <w:r>
        <w:rPr>
          <w:rFonts w:hint="eastAsia" w:ascii="宋体" w:hAnsi="宋体"/>
          <w:szCs w:val="21"/>
          <w:u w:val="single"/>
          <w:lang w:val="en-US" w:eastAsia="zh-CN"/>
        </w:rPr>
        <w:t xml:space="preserve">        </w:t>
      </w:r>
      <w:r>
        <w:rPr>
          <w:rFonts w:hint="eastAsia" w:ascii="宋体" w:hAnsi="宋体"/>
          <w:szCs w:val="21"/>
        </w:rPr>
        <w:t>小时提交书面延期要求。</w:t>
      </w:r>
    </w:p>
    <w:p w14:paraId="6A839B2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关于延期最长不得超过：</w:t>
      </w:r>
      <w:r>
        <w:rPr>
          <w:rFonts w:hint="eastAsia" w:ascii="宋体" w:hAnsi="宋体"/>
          <w:szCs w:val="21"/>
          <w:u w:val="single"/>
          <w:lang w:val="en-US" w:eastAsia="zh-CN"/>
        </w:rPr>
        <w:t xml:space="preserve">        </w:t>
      </w:r>
      <w:r>
        <w:rPr>
          <w:rFonts w:hint="eastAsia" w:ascii="宋体" w:hAnsi="宋体"/>
          <w:szCs w:val="21"/>
        </w:rPr>
        <w:t>小时。</w:t>
      </w:r>
    </w:p>
    <w:p w14:paraId="0F489D4C">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814" w:name="_Toc532375653"/>
      <w:bookmarkStart w:id="1815" w:name="_Toc532377390"/>
      <w:bookmarkStart w:id="1816" w:name="_Toc296346724"/>
      <w:bookmarkStart w:id="1817" w:name="_Toc292559933"/>
      <w:bookmarkStart w:id="1818" w:name="_Toc296347222"/>
      <w:bookmarkStart w:id="1819" w:name="_Toc304295596"/>
      <w:bookmarkStart w:id="1820" w:name="_Toc303539173"/>
      <w:bookmarkStart w:id="1821" w:name="_Toc296503223"/>
      <w:bookmarkStart w:id="1822" w:name="_Toc312678056"/>
      <w:bookmarkStart w:id="1823" w:name="_Toc296891051"/>
      <w:bookmarkStart w:id="1824" w:name="_Toc297120523"/>
      <w:bookmarkStart w:id="1825" w:name="_Toc297048409"/>
      <w:bookmarkStart w:id="1826" w:name="_Toc296891263"/>
      <w:bookmarkStart w:id="1827" w:name="_Toc297123565"/>
      <w:bookmarkStart w:id="1828" w:name="_Toc300935016"/>
      <w:bookmarkStart w:id="1829" w:name="_Toc296944562"/>
      <w:bookmarkStart w:id="1830" w:name="_Toc297216224"/>
      <w:bookmarkStart w:id="1831" w:name="_Toc292559428"/>
      <w:r>
        <w:rPr>
          <w:rFonts w:hint="eastAsia"/>
          <w:sz w:val="21"/>
          <w:szCs w:val="21"/>
        </w:rPr>
        <w:t>13.2 竣工验收</w:t>
      </w:r>
      <w:bookmarkEnd w:id="1814"/>
      <w:bookmarkEnd w:id="1815"/>
    </w:p>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p w14:paraId="587DFC39">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13.2.2竣工验收程序</w:t>
      </w:r>
    </w:p>
    <w:bookmarkEnd w:id="1801"/>
    <w:p w14:paraId="7DAAA18A">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关于竣工验收程序的约定：</w:t>
      </w:r>
      <w:r>
        <w:rPr>
          <w:rFonts w:hint="eastAsia" w:ascii="宋体" w:hAnsi="宋体"/>
          <w:szCs w:val="21"/>
          <w:u w:val="single"/>
        </w:rPr>
        <w:t xml:space="preserve">            </w:t>
      </w:r>
      <w:r>
        <w:rPr>
          <w:rFonts w:hint="eastAsia" w:ascii="宋体" w:hAnsi="宋体"/>
          <w:szCs w:val="21"/>
        </w:rPr>
        <w:t>。</w:t>
      </w:r>
    </w:p>
    <w:p w14:paraId="1E95F313">
      <w:pPr>
        <w:pageBreakBefore w:val="0"/>
        <w:kinsoku/>
        <w:wordWrap/>
        <w:overflowPunct/>
        <w:topLinePunct w:val="0"/>
        <w:bidi w:val="0"/>
        <w:adjustRightInd/>
        <w:spacing w:line="360" w:lineRule="auto"/>
        <w:ind w:right="0" w:rightChars="0" w:firstLine="420" w:firstLineChars="200"/>
        <w:jc w:val="left"/>
        <w:rPr>
          <w:rFonts w:hint="eastAsia" w:ascii="宋体" w:hAnsi="宋体" w:eastAsia="宋体"/>
          <w:szCs w:val="21"/>
          <w:u w:val="single"/>
          <w:lang w:eastAsia="zh-CN"/>
        </w:rPr>
      </w:pPr>
      <w:r>
        <w:rPr>
          <w:rFonts w:hint="eastAsia" w:ascii="宋体" w:hAnsi="宋体"/>
          <w:szCs w:val="21"/>
        </w:rPr>
        <w:t>发包人不按照本项约定组织竣工验收、颁发工程接收证书的违约金的计算方法</w:t>
      </w:r>
      <w:r>
        <w:rPr>
          <w:rFonts w:hint="eastAsia" w:ascii="宋体" w:hAnsi="宋体"/>
          <w:szCs w:val="21"/>
          <w:lang w:eastAsia="zh-CN"/>
        </w:rPr>
        <w:t>：</w:t>
      </w:r>
      <w:r>
        <w:rPr>
          <w:rFonts w:hint="eastAsia" w:ascii="宋体" w:hAnsi="宋体"/>
          <w:szCs w:val="21"/>
          <w:u w:val="single"/>
        </w:rPr>
        <w:t xml:space="preserve">            </w:t>
      </w:r>
      <w:r>
        <w:rPr>
          <w:rFonts w:hint="eastAsia" w:ascii="宋体" w:hAnsi="宋体"/>
          <w:szCs w:val="21"/>
        </w:rPr>
        <w:t>。</w:t>
      </w:r>
    </w:p>
    <w:bookmarkEnd w:id="1802"/>
    <w:p w14:paraId="722BF319">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13.2.5 移交、接收全部与部分工程</w:t>
      </w:r>
    </w:p>
    <w:bookmarkEnd w:id="1803"/>
    <w:p w14:paraId="344DAD6A">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承包人向发包人移交工程的期限：</w:t>
      </w:r>
      <w:r>
        <w:rPr>
          <w:rFonts w:hint="eastAsia" w:ascii="宋体" w:hAnsi="宋体"/>
          <w:szCs w:val="21"/>
          <w:u w:val="single"/>
        </w:rPr>
        <w:t xml:space="preserve">            </w:t>
      </w:r>
      <w:r>
        <w:rPr>
          <w:rFonts w:hint="eastAsia" w:ascii="宋体" w:hAnsi="宋体"/>
          <w:szCs w:val="21"/>
        </w:rPr>
        <w:t>。</w:t>
      </w:r>
    </w:p>
    <w:p w14:paraId="0B2FDE0E">
      <w:pPr>
        <w:pageBreakBefore w:val="0"/>
        <w:kinsoku/>
        <w:wordWrap/>
        <w:overflowPunct/>
        <w:topLinePunct w:val="0"/>
        <w:bidi w:val="0"/>
        <w:adjustRightInd/>
        <w:spacing w:line="360" w:lineRule="auto"/>
        <w:ind w:right="0" w:rightChars="0" w:firstLine="420" w:firstLineChars="200"/>
        <w:jc w:val="left"/>
        <w:rPr>
          <w:rFonts w:ascii="宋体" w:hAnsi="宋体"/>
          <w:szCs w:val="21"/>
          <w:u w:val="none"/>
        </w:rPr>
      </w:pPr>
      <w:r>
        <w:rPr>
          <w:rFonts w:hint="eastAsia" w:ascii="宋体" w:hAnsi="宋体"/>
          <w:szCs w:val="21"/>
          <w:u w:val="none"/>
        </w:rPr>
        <w:t>发包人未按本合同约定接收全部或部分工程的，违约金的计算方法为：</w:t>
      </w:r>
      <w:r>
        <w:rPr>
          <w:rFonts w:hint="eastAsia" w:ascii="宋体" w:hAnsi="宋体"/>
          <w:szCs w:val="21"/>
          <w:u w:val="single"/>
        </w:rPr>
        <w:t xml:space="preserve">            </w:t>
      </w:r>
      <w:r>
        <w:rPr>
          <w:rFonts w:hint="eastAsia" w:ascii="宋体" w:hAnsi="宋体"/>
          <w:szCs w:val="21"/>
        </w:rPr>
        <w:t>。</w:t>
      </w:r>
    </w:p>
    <w:bookmarkEnd w:id="1804"/>
    <w:p w14:paraId="05F528FB">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承包人未按时移交工程的，违约金的计算方法为：</w:t>
      </w:r>
      <w:r>
        <w:rPr>
          <w:rFonts w:hint="eastAsia" w:ascii="宋体" w:hAnsi="宋体"/>
          <w:szCs w:val="21"/>
          <w:u w:val="single"/>
        </w:rPr>
        <w:t xml:space="preserve">            </w:t>
      </w:r>
      <w:r>
        <w:rPr>
          <w:rFonts w:hint="eastAsia" w:ascii="宋体" w:hAnsi="宋体"/>
          <w:szCs w:val="21"/>
        </w:rPr>
        <w:t>。</w:t>
      </w:r>
    </w:p>
    <w:p w14:paraId="75D7C115">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832" w:name="_Toc532377391"/>
      <w:bookmarkStart w:id="1833" w:name="_Toc532375654"/>
      <w:r>
        <w:rPr>
          <w:rFonts w:hint="eastAsia"/>
          <w:sz w:val="21"/>
          <w:szCs w:val="21"/>
        </w:rPr>
        <w:t>13.3 工程试车</w:t>
      </w:r>
      <w:bookmarkEnd w:id="1832"/>
      <w:bookmarkEnd w:id="1833"/>
    </w:p>
    <w:p w14:paraId="7B12AC70">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13.3.1 试车程序</w:t>
      </w:r>
    </w:p>
    <w:p w14:paraId="4118F07E">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工程试车内容：</w:t>
      </w:r>
      <w:r>
        <w:rPr>
          <w:rFonts w:hint="eastAsia" w:ascii="宋体" w:hAnsi="宋体"/>
          <w:szCs w:val="21"/>
          <w:u w:val="single"/>
        </w:rPr>
        <w:t xml:space="preserve">            </w:t>
      </w:r>
      <w:r>
        <w:rPr>
          <w:rFonts w:hint="eastAsia" w:ascii="宋体" w:hAnsi="宋体"/>
          <w:szCs w:val="21"/>
        </w:rPr>
        <w:t>。</w:t>
      </w:r>
    </w:p>
    <w:p w14:paraId="1FEF3C51">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（1）单机无负荷试车费用由</w:t>
      </w:r>
      <w:r>
        <w:rPr>
          <w:rFonts w:hint="eastAsia" w:ascii="宋体" w:hAnsi="宋体"/>
          <w:szCs w:val="21"/>
          <w:u w:val="single"/>
        </w:rPr>
        <w:t xml:space="preserve">            </w:t>
      </w:r>
      <w:r>
        <w:rPr>
          <w:rFonts w:hint="eastAsia" w:ascii="宋体" w:hAnsi="宋体"/>
          <w:szCs w:val="21"/>
        </w:rPr>
        <w:t>承担；</w:t>
      </w:r>
    </w:p>
    <w:p w14:paraId="3000FC18">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（2）无负荷联动试车费用由</w:t>
      </w:r>
      <w:r>
        <w:rPr>
          <w:rFonts w:hint="eastAsia" w:ascii="宋体" w:hAnsi="宋体"/>
          <w:szCs w:val="21"/>
          <w:u w:val="single"/>
        </w:rPr>
        <w:t xml:space="preserve">            </w:t>
      </w:r>
      <w:r>
        <w:rPr>
          <w:rFonts w:hint="eastAsia" w:ascii="宋体" w:hAnsi="宋体"/>
          <w:szCs w:val="21"/>
        </w:rPr>
        <w:t>承担。</w:t>
      </w:r>
    </w:p>
    <w:p w14:paraId="1E0BAF0D">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13.3.3 投料试车</w:t>
      </w:r>
    </w:p>
    <w:p w14:paraId="11649FD9">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关于投料试车相关事项的约定：</w:t>
      </w:r>
      <w:r>
        <w:rPr>
          <w:rFonts w:hint="eastAsia" w:ascii="宋体" w:hAnsi="宋体"/>
          <w:szCs w:val="21"/>
          <w:u w:val="single"/>
        </w:rPr>
        <w:t xml:space="preserve">            </w:t>
      </w:r>
      <w:r>
        <w:rPr>
          <w:rFonts w:hint="eastAsia" w:ascii="宋体" w:hAnsi="宋体"/>
          <w:szCs w:val="21"/>
        </w:rPr>
        <w:t>。</w:t>
      </w:r>
    </w:p>
    <w:p w14:paraId="0F376710">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834" w:name="_Toc532377392"/>
      <w:bookmarkStart w:id="1835" w:name="_Toc532375655"/>
      <w:r>
        <w:rPr>
          <w:rFonts w:hint="eastAsia"/>
          <w:sz w:val="21"/>
          <w:szCs w:val="21"/>
        </w:rPr>
        <w:t>13.6 竣工退场</w:t>
      </w:r>
      <w:bookmarkEnd w:id="1834"/>
      <w:bookmarkEnd w:id="1835"/>
    </w:p>
    <w:p w14:paraId="5BF48B83">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13.6.1 竣工退场</w:t>
      </w:r>
    </w:p>
    <w:p w14:paraId="2E3F5BE6">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承包人完成竣工退场的期限：</w:t>
      </w:r>
      <w:r>
        <w:rPr>
          <w:rFonts w:hint="eastAsia" w:ascii="宋体" w:hAnsi="宋体"/>
          <w:szCs w:val="21"/>
          <w:u w:val="single"/>
        </w:rPr>
        <w:t xml:space="preserve">            </w:t>
      </w:r>
      <w:r>
        <w:rPr>
          <w:rFonts w:hint="eastAsia" w:ascii="宋体" w:hAnsi="宋体"/>
          <w:szCs w:val="21"/>
        </w:rPr>
        <w:t>。</w:t>
      </w:r>
    </w:p>
    <w:bookmarkEnd w:id="1805"/>
    <w:p w14:paraId="6262679F">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836" w:name="_Toc532375656"/>
      <w:bookmarkStart w:id="1837" w:name="_Toc351203646"/>
      <w:bookmarkStart w:id="1838" w:name="_Toc532377393"/>
      <w:r>
        <w:rPr>
          <w:rFonts w:hint="eastAsia"/>
          <w:kern w:val="2"/>
          <w:sz w:val="21"/>
          <w:szCs w:val="21"/>
        </w:rPr>
        <w:t>14. 竣工结算</w:t>
      </w:r>
      <w:bookmarkEnd w:id="1836"/>
      <w:bookmarkEnd w:id="1837"/>
      <w:bookmarkEnd w:id="1838"/>
    </w:p>
    <w:p w14:paraId="61797A57">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839" w:name="_Toc532377394"/>
      <w:bookmarkStart w:id="1840" w:name="_Toc532375657"/>
      <w:r>
        <w:rPr>
          <w:rFonts w:hint="eastAsia"/>
          <w:sz w:val="21"/>
          <w:szCs w:val="21"/>
        </w:rPr>
        <w:t>14.1 竣工结算申请</w:t>
      </w:r>
      <w:bookmarkEnd w:id="1839"/>
      <w:bookmarkEnd w:id="1840"/>
    </w:p>
    <w:p w14:paraId="6A9E003A">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承包人提交竣工结算申请单的期限：</w:t>
      </w:r>
      <w:bookmarkStart w:id="1841" w:name="_Hlk524297994"/>
      <w:r>
        <w:rPr>
          <w:rFonts w:hint="eastAsia" w:ascii="宋体" w:hAnsi="宋体"/>
          <w:szCs w:val="21"/>
          <w:u w:val="single"/>
        </w:rPr>
        <w:t xml:space="preserve">            </w:t>
      </w:r>
      <w:r>
        <w:rPr>
          <w:rFonts w:hint="eastAsia" w:ascii="宋体" w:hAnsi="宋体"/>
          <w:szCs w:val="21"/>
        </w:rPr>
        <w:t>。</w:t>
      </w:r>
    </w:p>
    <w:p w14:paraId="34FEB67E">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竣工结算申请单应包括的内容：</w:t>
      </w:r>
      <w:bookmarkEnd w:id="1841"/>
      <w:r>
        <w:rPr>
          <w:rFonts w:hint="eastAsia" w:ascii="宋体" w:hAnsi="宋体"/>
          <w:szCs w:val="21"/>
          <w:u w:val="single"/>
        </w:rPr>
        <w:t xml:space="preserve">            </w:t>
      </w:r>
      <w:r>
        <w:rPr>
          <w:rFonts w:hint="eastAsia" w:ascii="宋体" w:hAnsi="宋体"/>
          <w:szCs w:val="21"/>
        </w:rPr>
        <w:t>。</w:t>
      </w:r>
    </w:p>
    <w:p w14:paraId="3D6768B2">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842" w:name="_Toc532377395"/>
      <w:bookmarkStart w:id="1843" w:name="_Toc532375658"/>
      <w:r>
        <w:rPr>
          <w:rFonts w:hint="eastAsia"/>
          <w:sz w:val="21"/>
          <w:szCs w:val="21"/>
        </w:rPr>
        <w:t>14.2 竣工结算审核</w:t>
      </w:r>
      <w:bookmarkEnd w:id="1842"/>
      <w:bookmarkEnd w:id="1843"/>
    </w:p>
    <w:p w14:paraId="042ACA6F">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发包人审批竣工付款申请单的期限：</w:t>
      </w:r>
      <w:r>
        <w:rPr>
          <w:rFonts w:hint="eastAsia" w:ascii="宋体" w:hAnsi="宋体"/>
          <w:szCs w:val="21"/>
          <w:u w:val="single"/>
        </w:rPr>
        <w:t xml:space="preserve">            </w:t>
      </w:r>
      <w:r>
        <w:rPr>
          <w:rFonts w:hint="eastAsia" w:ascii="宋体" w:hAnsi="宋体"/>
          <w:szCs w:val="21"/>
        </w:rPr>
        <w:t>。</w:t>
      </w:r>
    </w:p>
    <w:p w14:paraId="01FBB14F">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发包人完成竣工付款的期限：</w:t>
      </w:r>
      <w:r>
        <w:rPr>
          <w:rFonts w:hint="eastAsia" w:ascii="宋体" w:hAnsi="宋体"/>
          <w:szCs w:val="21"/>
          <w:u w:val="single"/>
        </w:rPr>
        <w:t xml:space="preserve">            </w:t>
      </w:r>
      <w:r>
        <w:rPr>
          <w:rFonts w:hint="eastAsia" w:ascii="宋体" w:hAnsi="宋体"/>
          <w:szCs w:val="21"/>
        </w:rPr>
        <w:t>。</w:t>
      </w:r>
    </w:p>
    <w:p w14:paraId="22803826">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关于竣工付款证书异议部分复核的方式和程序：</w:t>
      </w:r>
      <w:r>
        <w:rPr>
          <w:rFonts w:hint="eastAsia" w:ascii="宋体" w:hAnsi="宋体"/>
          <w:szCs w:val="21"/>
          <w:u w:val="single"/>
        </w:rPr>
        <w:t xml:space="preserve">            </w:t>
      </w:r>
      <w:r>
        <w:rPr>
          <w:rFonts w:hint="eastAsia" w:ascii="宋体" w:hAnsi="宋体"/>
          <w:szCs w:val="21"/>
        </w:rPr>
        <w:t>。</w:t>
      </w:r>
    </w:p>
    <w:p w14:paraId="309C57AF">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844" w:name="_Toc532377396"/>
      <w:bookmarkStart w:id="1845" w:name="_Toc532375659"/>
      <w:r>
        <w:rPr>
          <w:rFonts w:hint="eastAsia"/>
          <w:sz w:val="21"/>
          <w:szCs w:val="21"/>
        </w:rPr>
        <w:t>14.4 最终结清</w:t>
      </w:r>
      <w:bookmarkEnd w:id="1844"/>
      <w:bookmarkEnd w:id="1845"/>
    </w:p>
    <w:bookmarkEnd w:id="1806"/>
    <w:bookmarkEnd w:id="1807"/>
    <w:bookmarkEnd w:id="1808"/>
    <w:bookmarkEnd w:id="1809"/>
    <w:bookmarkEnd w:id="1810"/>
    <w:bookmarkEnd w:id="1811"/>
    <w:bookmarkEnd w:id="1812"/>
    <w:bookmarkEnd w:id="1813"/>
    <w:p w14:paraId="544DAFC0">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14.4.1 最终结清申请单</w:t>
      </w:r>
    </w:p>
    <w:p w14:paraId="0C501042">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承包人提交最终结清申请单的份数：</w:t>
      </w:r>
      <w:r>
        <w:rPr>
          <w:rFonts w:hint="eastAsia" w:ascii="宋体" w:hAnsi="宋体"/>
          <w:szCs w:val="21"/>
          <w:u w:val="single"/>
        </w:rPr>
        <w:t xml:space="preserve">            </w:t>
      </w:r>
      <w:r>
        <w:rPr>
          <w:rFonts w:hint="eastAsia" w:ascii="宋体" w:hAnsi="宋体"/>
          <w:szCs w:val="21"/>
        </w:rPr>
        <w:t>。</w:t>
      </w:r>
    </w:p>
    <w:p w14:paraId="65859374">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承包人提交最终结算申请单的期限：</w:t>
      </w:r>
      <w:r>
        <w:rPr>
          <w:rFonts w:hint="eastAsia" w:ascii="宋体" w:hAnsi="宋体"/>
          <w:szCs w:val="21"/>
          <w:u w:val="single"/>
        </w:rPr>
        <w:t xml:space="preserve">            </w:t>
      </w:r>
      <w:r>
        <w:rPr>
          <w:rFonts w:hint="eastAsia" w:ascii="宋体" w:hAnsi="宋体"/>
          <w:szCs w:val="21"/>
        </w:rPr>
        <w:t>。</w:t>
      </w:r>
    </w:p>
    <w:p w14:paraId="44C7FCE7">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14.4.2 最终结清证书和支付</w:t>
      </w:r>
    </w:p>
    <w:p w14:paraId="39FAE826">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（1）发包人完成最终结清申请单的审批并颁发最终结清证书的期限：</w:t>
      </w:r>
      <w:r>
        <w:rPr>
          <w:rFonts w:hint="eastAsia" w:ascii="宋体" w:hAnsi="宋体"/>
          <w:szCs w:val="21"/>
          <w:u w:val="single"/>
        </w:rPr>
        <w:t xml:space="preserve">            </w:t>
      </w:r>
      <w:r>
        <w:rPr>
          <w:rFonts w:hint="eastAsia" w:ascii="宋体" w:hAnsi="宋体"/>
          <w:szCs w:val="21"/>
        </w:rPr>
        <w:t>。</w:t>
      </w:r>
    </w:p>
    <w:p w14:paraId="0BEB5F2F">
      <w:pPr>
        <w:pageBreakBefore w:val="0"/>
        <w:kinsoku/>
        <w:wordWrap/>
        <w:overflowPunct/>
        <w:topLinePunct w:val="0"/>
        <w:bidi w:val="0"/>
        <w:adjustRightInd/>
        <w:spacing w:line="360" w:lineRule="auto"/>
        <w:ind w:right="0" w:rightChars="0" w:firstLine="420" w:firstLineChars="200"/>
        <w:jc w:val="left"/>
        <w:rPr>
          <w:rFonts w:ascii="宋体" w:hAnsi="宋体"/>
          <w:szCs w:val="21"/>
          <w:u w:val="single"/>
        </w:rPr>
      </w:pPr>
      <w:r>
        <w:rPr>
          <w:rFonts w:hint="eastAsia" w:ascii="宋体" w:hAnsi="宋体"/>
          <w:szCs w:val="21"/>
        </w:rPr>
        <w:t>（2）发包人完成支付的期限：</w:t>
      </w:r>
      <w:r>
        <w:rPr>
          <w:rFonts w:hint="eastAsia" w:ascii="宋体" w:hAnsi="宋体"/>
          <w:szCs w:val="21"/>
          <w:u w:val="single"/>
        </w:rPr>
        <w:t xml:space="preserve">            </w:t>
      </w:r>
      <w:r>
        <w:rPr>
          <w:rFonts w:hint="eastAsia" w:ascii="宋体" w:hAnsi="宋体"/>
          <w:szCs w:val="21"/>
        </w:rPr>
        <w:t>。</w:t>
      </w:r>
    </w:p>
    <w:bookmarkEnd w:id="1568"/>
    <w:bookmarkEnd w:id="1569"/>
    <w:bookmarkEnd w:id="1570"/>
    <w:bookmarkEnd w:id="1571"/>
    <w:bookmarkEnd w:id="1572"/>
    <w:bookmarkEnd w:id="1573"/>
    <w:bookmarkEnd w:id="1574"/>
    <w:bookmarkEnd w:id="1575"/>
    <w:p w14:paraId="0678C20B">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846" w:name="_Toc532375661"/>
      <w:bookmarkStart w:id="1847" w:name="_Toc351203647"/>
      <w:bookmarkStart w:id="1848" w:name="_Toc532377398"/>
      <w:bookmarkStart w:id="1849" w:name="_Toc267251483"/>
      <w:bookmarkStart w:id="1850" w:name="_Toc280868718"/>
      <w:bookmarkStart w:id="1851" w:name="_Toc280868717"/>
      <w:r>
        <w:rPr>
          <w:rFonts w:hint="eastAsia"/>
          <w:kern w:val="2"/>
          <w:sz w:val="21"/>
          <w:szCs w:val="21"/>
        </w:rPr>
        <w:t>15. 缺陷责任期与保修</w:t>
      </w:r>
      <w:bookmarkEnd w:id="1846"/>
      <w:bookmarkEnd w:id="1847"/>
      <w:bookmarkEnd w:id="1848"/>
    </w:p>
    <w:bookmarkEnd w:id="1849"/>
    <w:p w14:paraId="28F9F9FA">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852" w:name="_Toc532375662"/>
      <w:bookmarkStart w:id="1853" w:name="_Toc532377399"/>
      <w:r>
        <w:rPr>
          <w:rFonts w:hint="eastAsia"/>
          <w:sz w:val="21"/>
          <w:szCs w:val="21"/>
        </w:rPr>
        <w:t>15.2缺陷责任期</w:t>
      </w:r>
    </w:p>
    <w:p w14:paraId="1EF970D0">
      <w:pPr>
        <w:pStyle w:val="7"/>
        <w:pageBreakBefore w:val="0"/>
        <w:kinsoku/>
        <w:wordWrap/>
        <w:overflowPunct/>
        <w:topLinePunct w:val="0"/>
        <w:bidi w:val="0"/>
        <w:adjustRightInd/>
        <w:spacing w:before="0" w:beforeAutospacing="0" w:after="0" w:afterAutospacing="0" w:line="360" w:lineRule="auto"/>
        <w:ind w:right="0" w:rightChars="0" w:firstLine="400" w:firstLineChars="200"/>
        <w:rPr>
          <w:rFonts w:hint="eastAsia" w:ascii="宋体" w:hAnsi="宋体"/>
          <w:b w:val="0"/>
          <w:bCs w:val="0"/>
          <w:szCs w:val="21"/>
        </w:rPr>
      </w:pPr>
      <w:r>
        <w:rPr>
          <w:rFonts w:hint="eastAsia" w:ascii="宋体" w:hAnsi="宋体"/>
          <w:b w:val="0"/>
          <w:bCs w:val="0"/>
          <w:szCs w:val="21"/>
        </w:rPr>
        <w:t>缺陷责任期的具体期限</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14:paraId="65422157">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r>
        <w:rPr>
          <w:rFonts w:hint="eastAsia"/>
          <w:sz w:val="21"/>
          <w:szCs w:val="21"/>
        </w:rPr>
        <w:t>15.3 质量保证金</w:t>
      </w:r>
      <w:bookmarkEnd w:id="1852"/>
      <w:bookmarkEnd w:id="1853"/>
    </w:p>
    <w:p w14:paraId="2ECBDF61">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关于是否扣留质量保证金的约定：</w:t>
      </w:r>
      <w:r>
        <w:rPr>
          <w:rFonts w:hint="eastAsia" w:ascii="宋体" w:hAnsi="宋体"/>
          <w:szCs w:val="21"/>
          <w:u w:val="single"/>
        </w:rPr>
        <w:t xml:space="preserve">            </w:t>
      </w:r>
      <w:r>
        <w:rPr>
          <w:rFonts w:hint="eastAsia" w:ascii="宋体" w:hAnsi="宋体"/>
          <w:szCs w:val="21"/>
        </w:rPr>
        <w:t>。</w:t>
      </w:r>
    </w:p>
    <w:p w14:paraId="68643EB9">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在工程项目竣工前，承包人按专用合同条款第3.7条提供履约担保的，发包人不得同时预留工程质量保证金。</w:t>
      </w:r>
    </w:p>
    <w:p w14:paraId="2CC7F28B">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15.3.1 承包人提供质量保证金的方式</w:t>
      </w:r>
    </w:p>
    <w:p w14:paraId="723C8BF5">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质量保证金采用以下第</w:t>
      </w:r>
      <w:r>
        <w:rPr>
          <w:rFonts w:hint="eastAsia" w:ascii="宋体" w:hAnsi="宋体"/>
          <w:szCs w:val="21"/>
          <w:u w:val="single"/>
          <w:lang w:val="en-US" w:eastAsia="zh-CN"/>
        </w:rPr>
        <w:t xml:space="preserve">        </w:t>
      </w:r>
      <w:r>
        <w:rPr>
          <w:rFonts w:hint="eastAsia" w:ascii="宋体" w:hAnsi="宋体"/>
          <w:szCs w:val="21"/>
        </w:rPr>
        <w:t>种方式：</w:t>
      </w:r>
    </w:p>
    <w:p w14:paraId="4C5E8A29">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（1）质量保证金保函，保证金额为：</w:t>
      </w:r>
      <w:r>
        <w:rPr>
          <w:rFonts w:hint="eastAsia" w:ascii="宋体" w:hAnsi="宋体"/>
          <w:szCs w:val="21"/>
          <w:u w:val="single"/>
        </w:rPr>
        <w:t xml:space="preserve">            </w:t>
      </w:r>
      <w:r>
        <w:rPr>
          <w:rFonts w:hint="eastAsia" w:ascii="宋体" w:hAnsi="宋体"/>
          <w:szCs w:val="21"/>
        </w:rPr>
        <w:t xml:space="preserve">； </w:t>
      </w:r>
    </w:p>
    <w:p w14:paraId="62CD759D">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（2）</w:t>
      </w:r>
      <w:r>
        <w:rPr>
          <w:rFonts w:hint="eastAsia" w:ascii="宋体" w:hAnsi="宋体"/>
          <w:szCs w:val="21"/>
          <w:u w:val="single"/>
          <w:lang w:val="en-US" w:eastAsia="zh-CN"/>
        </w:rPr>
        <w:t xml:space="preserve">        </w:t>
      </w:r>
      <w:r>
        <w:rPr>
          <w:rFonts w:hint="eastAsia" w:ascii="宋体" w:hAnsi="宋体"/>
          <w:szCs w:val="21"/>
        </w:rPr>
        <w:t>%的工程款；</w:t>
      </w:r>
    </w:p>
    <w:p w14:paraId="44E779FF">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（3）其他方式</w:t>
      </w:r>
      <w:r>
        <w:rPr>
          <w:rFonts w:hint="eastAsia" w:ascii="宋体" w:hAnsi="宋体"/>
          <w:szCs w:val="21"/>
          <w:lang w:eastAsia="zh-CN"/>
        </w:rPr>
        <w:t>：</w:t>
      </w:r>
      <w:r>
        <w:rPr>
          <w:rFonts w:hint="eastAsia" w:ascii="宋体" w:hAnsi="宋体"/>
          <w:szCs w:val="21"/>
          <w:u w:val="single"/>
        </w:rPr>
        <w:t xml:space="preserve">            </w:t>
      </w:r>
      <w:r>
        <w:rPr>
          <w:rFonts w:hint="eastAsia" w:ascii="宋体" w:hAnsi="宋体"/>
          <w:szCs w:val="21"/>
        </w:rPr>
        <w:t>。</w:t>
      </w:r>
    </w:p>
    <w:p w14:paraId="06F31FF5">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15.3.2 质量保证金的扣留</w:t>
      </w:r>
    </w:p>
    <w:p w14:paraId="4CFEAF38">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质量保证金的扣留采取以下第</w:t>
      </w:r>
      <w:r>
        <w:rPr>
          <w:rFonts w:hint="eastAsia" w:ascii="宋体" w:hAnsi="宋体"/>
          <w:szCs w:val="21"/>
          <w:u w:val="single"/>
          <w:lang w:val="en-US" w:eastAsia="zh-CN"/>
        </w:rPr>
        <w:t xml:space="preserve">        </w:t>
      </w:r>
      <w:r>
        <w:rPr>
          <w:rFonts w:hint="eastAsia" w:ascii="宋体" w:hAnsi="宋体"/>
          <w:szCs w:val="21"/>
        </w:rPr>
        <w:t>种方式：</w:t>
      </w:r>
    </w:p>
    <w:p w14:paraId="31B376D6">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（1）在支付工程进度款时逐次扣留，在此情形下，质量保证金的计算基数不包括预付款的支付、扣回以及价格调整的金额；</w:t>
      </w:r>
    </w:p>
    <w:p w14:paraId="26E81814">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（2）工程竣工结算时一次性扣留质量保证金；</w:t>
      </w:r>
    </w:p>
    <w:p w14:paraId="7F935268">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（3）其他扣留方式</w:t>
      </w:r>
      <w:r>
        <w:rPr>
          <w:rFonts w:hint="eastAsia" w:ascii="宋体" w:hAnsi="宋体"/>
          <w:szCs w:val="21"/>
          <w:lang w:eastAsia="zh-CN"/>
        </w:rPr>
        <w:t>：</w:t>
      </w:r>
      <w:r>
        <w:rPr>
          <w:rFonts w:hint="eastAsia" w:ascii="宋体" w:hAnsi="宋体"/>
          <w:szCs w:val="21"/>
          <w:u w:val="single"/>
        </w:rPr>
        <w:t xml:space="preserve">            </w:t>
      </w:r>
      <w:r>
        <w:rPr>
          <w:rFonts w:hint="eastAsia" w:ascii="宋体" w:hAnsi="宋体"/>
          <w:szCs w:val="21"/>
        </w:rPr>
        <w:t>。</w:t>
      </w:r>
    </w:p>
    <w:p w14:paraId="0231255D">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关于质量保证金的补充约定：</w:t>
      </w:r>
      <w:r>
        <w:rPr>
          <w:rFonts w:hint="eastAsia" w:ascii="宋体" w:hAnsi="宋体"/>
          <w:szCs w:val="21"/>
          <w:u w:val="single"/>
        </w:rPr>
        <w:t xml:space="preserve">            </w:t>
      </w:r>
      <w:r>
        <w:rPr>
          <w:rFonts w:hint="eastAsia" w:ascii="宋体" w:hAnsi="宋体"/>
          <w:szCs w:val="21"/>
        </w:rPr>
        <w:t>。</w:t>
      </w:r>
    </w:p>
    <w:p w14:paraId="2D898494">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854" w:name="_Toc532375663"/>
      <w:bookmarkStart w:id="1855" w:name="_Toc532377400"/>
      <w:r>
        <w:rPr>
          <w:rFonts w:hint="eastAsia"/>
          <w:sz w:val="21"/>
          <w:szCs w:val="21"/>
        </w:rPr>
        <w:t>15.4 保修</w:t>
      </w:r>
      <w:bookmarkEnd w:id="1854"/>
      <w:bookmarkEnd w:id="1855"/>
    </w:p>
    <w:p w14:paraId="6A9A689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15.4.1 保修责任</w:t>
      </w:r>
    </w:p>
    <w:p w14:paraId="0CCCF4A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工程保修期为：</w:t>
      </w:r>
      <w:bookmarkStart w:id="1856" w:name="_Hlk524381274"/>
      <w:r>
        <w:rPr>
          <w:rFonts w:hint="eastAsia" w:ascii="宋体" w:hAnsi="宋体"/>
          <w:szCs w:val="21"/>
          <w:u w:val="single"/>
        </w:rPr>
        <w:t xml:space="preserve">            </w:t>
      </w:r>
      <w:r>
        <w:rPr>
          <w:rFonts w:hint="eastAsia" w:ascii="宋体" w:hAnsi="宋体"/>
          <w:szCs w:val="21"/>
        </w:rPr>
        <w:t>。</w:t>
      </w:r>
      <w:bookmarkEnd w:id="1856"/>
    </w:p>
    <w:p w14:paraId="2AE1EAF8">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15.4.3 修复通知</w:t>
      </w:r>
    </w:p>
    <w:p w14:paraId="09AABCD8">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承包人收到保修通知并到达工程现场的合理时间：</w:t>
      </w:r>
      <w:r>
        <w:rPr>
          <w:rFonts w:hint="eastAsia" w:ascii="宋体" w:hAnsi="宋体"/>
          <w:szCs w:val="21"/>
          <w:u w:val="single"/>
        </w:rPr>
        <w:t xml:space="preserve">            </w:t>
      </w:r>
      <w:r>
        <w:rPr>
          <w:rFonts w:hint="eastAsia" w:ascii="宋体" w:hAnsi="宋体"/>
          <w:szCs w:val="21"/>
        </w:rPr>
        <w:t>。</w:t>
      </w:r>
    </w:p>
    <w:p w14:paraId="3F407713">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857" w:name="_Toc532375664"/>
      <w:bookmarkStart w:id="1858" w:name="_Toc351203648"/>
      <w:bookmarkStart w:id="1859" w:name="_Toc532377401"/>
      <w:r>
        <w:rPr>
          <w:rFonts w:hint="eastAsia"/>
          <w:kern w:val="2"/>
          <w:sz w:val="21"/>
          <w:szCs w:val="21"/>
        </w:rPr>
        <w:t>16. 违约</w:t>
      </w:r>
      <w:bookmarkEnd w:id="1857"/>
      <w:bookmarkEnd w:id="1858"/>
      <w:bookmarkEnd w:id="1859"/>
    </w:p>
    <w:p w14:paraId="622901EB">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860" w:name="_Toc532377402"/>
      <w:r>
        <w:rPr>
          <w:rFonts w:hint="eastAsia"/>
          <w:sz w:val="21"/>
          <w:szCs w:val="21"/>
        </w:rPr>
        <w:t>16.1 发包人违约</w:t>
      </w:r>
      <w:bookmarkEnd w:id="1860"/>
    </w:p>
    <w:p w14:paraId="67D844EE">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16.1.1发包人违约的情形</w:t>
      </w:r>
    </w:p>
    <w:p w14:paraId="4AB8E1AF">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发包人违约的其他情形：</w:t>
      </w:r>
      <w:r>
        <w:rPr>
          <w:rFonts w:hint="eastAsia" w:ascii="宋体" w:hAnsi="宋体"/>
          <w:szCs w:val="21"/>
          <w:u w:val="single"/>
        </w:rPr>
        <w:t xml:space="preserve">            </w:t>
      </w:r>
      <w:r>
        <w:rPr>
          <w:rFonts w:hint="eastAsia" w:ascii="宋体" w:hAnsi="宋体"/>
          <w:szCs w:val="21"/>
        </w:rPr>
        <w:t>。</w:t>
      </w:r>
    </w:p>
    <w:p w14:paraId="42EC11E2">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16.1.2 发包人违约的责任</w:t>
      </w:r>
    </w:p>
    <w:p w14:paraId="5CCFE42B">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发包人违约责任的承担方式和计算方法：</w:t>
      </w:r>
    </w:p>
    <w:p w14:paraId="32B2D777">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（1）因发包人原因未能在计划开工日期前7天内下达开工通知的违约责任：</w:t>
      </w:r>
      <w:r>
        <w:rPr>
          <w:rFonts w:hint="eastAsia" w:ascii="宋体" w:hAnsi="宋体"/>
          <w:szCs w:val="21"/>
          <w:u w:val="single"/>
        </w:rPr>
        <w:t xml:space="preserve">            </w:t>
      </w:r>
      <w:r>
        <w:rPr>
          <w:rFonts w:hint="eastAsia" w:ascii="宋体" w:hAnsi="宋体"/>
          <w:szCs w:val="21"/>
        </w:rPr>
        <w:t>。</w:t>
      </w:r>
    </w:p>
    <w:p w14:paraId="1E3B5F3B">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（2）因发包人原因未能按合同约定支付合同价款的违约责任：</w:t>
      </w:r>
      <w:r>
        <w:rPr>
          <w:rFonts w:hint="eastAsia" w:ascii="宋体" w:hAnsi="宋体"/>
          <w:szCs w:val="21"/>
          <w:u w:val="single"/>
        </w:rPr>
        <w:t xml:space="preserve">            </w:t>
      </w:r>
      <w:r>
        <w:rPr>
          <w:rFonts w:hint="eastAsia" w:ascii="宋体" w:hAnsi="宋体"/>
          <w:szCs w:val="21"/>
        </w:rPr>
        <w:t>。</w:t>
      </w:r>
    </w:p>
    <w:p w14:paraId="0F45FE0D">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（3）发包人违反第10.1款〔变更的范围〕第（2）项约定，自行实施被取消的工作或转由他人实施的违约责任：</w:t>
      </w:r>
      <w:r>
        <w:rPr>
          <w:rFonts w:hint="eastAsia" w:ascii="宋体" w:hAnsi="宋体"/>
          <w:szCs w:val="21"/>
          <w:u w:val="single"/>
        </w:rPr>
        <w:t xml:space="preserve">            </w:t>
      </w:r>
      <w:r>
        <w:rPr>
          <w:rFonts w:hint="eastAsia" w:ascii="宋体" w:hAnsi="宋体"/>
          <w:szCs w:val="21"/>
        </w:rPr>
        <w:t>。</w:t>
      </w:r>
    </w:p>
    <w:p w14:paraId="177303CC">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（4）发包人提供的材料、工程设备的规格、数量或质量不符合合同约定，或因发包人原因导致交货日期延误或交货地点变更等情况的违约责任：</w:t>
      </w:r>
      <w:r>
        <w:rPr>
          <w:rFonts w:hint="eastAsia" w:ascii="宋体" w:hAnsi="宋体"/>
          <w:szCs w:val="21"/>
          <w:u w:val="single"/>
        </w:rPr>
        <w:t xml:space="preserve">            </w:t>
      </w:r>
      <w:r>
        <w:rPr>
          <w:rFonts w:hint="eastAsia" w:ascii="宋体" w:hAnsi="宋体"/>
          <w:szCs w:val="21"/>
        </w:rPr>
        <w:t>。</w:t>
      </w:r>
    </w:p>
    <w:p w14:paraId="445545A6">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（5）因发包人违反合同约定造成暂停施工的违约责任：</w:t>
      </w:r>
      <w:r>
        <w:rPr>
          <w:rFonts w:hint="eastAsia" w:ascii="宋体" w:hAnsi="宋体"/>
          <w:szCs w:val="21"/>
          <w:u w:val="single"/>
        </w:rPr>
        <w:t xml:space="preserve">            </w:t>
      </w:r>
      <w:r>
        <w:rPr>
          <w:rFonts w:hint="eastAsia" w:ascii="宋体" w:hAnsi="宋体"/>
          <w:szCs w:val="21"/>
        </w:rPr>
        <w:t>。</w:t>
      </w:r>
    </w:p>
    <w:p w14:paraId="6ABF5575">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（6）发包人无正当理由没有在约定期限内发出复工指示，导致承包人无法复工的违约责任：</w:t>
      </w:r>
      <w:r>
        <w:rPr>
          <w:rFonts w:hint="eastAsia" w:ascii="宋体" w:hAnsi="宋体"/>
          <w:szCs w:val="21"/>
          <w:u w:val="single"/>
        </w:rPr>
        <w:t xml:space="preserve">            </w:t>
      </w:r>
      <w:r>
        <w:rPr>
          <w:rFonts w:hint="eastAsia" w:ascii="宋体" w:hAnsi="宋体"/>
          <w:szCs w:val="21"/>
        </w:rPr>
        <w:t>。</w:t>
      </w:r>
    </w:p>
    <w:p w14:paraId="30ABDF1B">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（7）其他：</w:t>
      </w:r>
      <w:r>
        <w:rPr>
          <w:rFonts w:hint="eastAsia" w:ascii="宋体" w:hAnsi="宋体"/>
          <w:szCs w:val="21"/>
          <w:u w:val="single"/>
        </w:rPr>
        <w:t xml:space="preserve">            </w:t>
      </w:r>
      <w:r>
        <w:rPr>
          <w:rFonts w:hint="eastAsia" w:ascii="宋体" w:hAnsi="宋体"/>
          <w:szCs w:val="21"/>
        </w:rPr>
        <w:t>。</w:t>
      </w:r>
    </w:p>
    <w:p w14:paraId="533283B7">
      <w:pPr>
        <w:pageBreakBefore w:val="0"/>
        <w:kinsoku/>
        <w:wordWrap/>
        <w:overflowPunct/>
        <w:topLinePunct w:val="0"/>
        <w:bidi w:val="0"/>
        <w:adjustRightInd/>
        <w:snapToGrid w:val="0"/>
        <w:spacing w:line="360" w:lineRule="auto"/>
        <w:ind w:right="0" w:rightChars="0" w:firstLine="420" w:firstLineChars="200"/>
        <w:jc w:val="left"/>
        <w:rPr>
          <w:rFonts w:hint="eastAsia" w:ascii="宋体" w:hAnsi="宋体"/>
          <w:szCs w:val="21"/>
        </w:rPr>
      </w:pPr>
      <w:r>
        <w:rPr>
          <w:rFonts w:hint="eastAsia" w:ascii="宋体" w:hAnsi="宋体"/>
          <w:szCs w:val="21"/>
        </w:rPr>
        <w:t>16.1.3 因发包人违约解除合同</w:t>
      </w:r>
    </w:p>
    <w:p w14:paraId="484CB4BA">
      <w:pPr>
        <w:pageBreakBefore w:val="0"/>
        <w:kinsoku/>
        <w:wordWrap/>
        <w:overflowPunct/>
        <w:topLinePunct w:val="0"/>
        <w:bidi w:val="0"/>
        <w:adjustRightInd/>
        <w:snapToGrid w:val="0"/>
        <w:spacing w:line="360" w:lineRule="auto"/>
        <w:ind w:right="0" w:rightChars="0" w:firstLine="420" w:firstLineChars="200"/>
        <w:jc w:val="left"/>
        <w:rPr>
          <w:rFonts w:ascii="宋体" w:hAnsi="宋体" w:cs="Microsoft Sans Serif"/>
          <w:kern w:val="0"/>
          <w:szCs w:val="21"/>
          <w:u w:val="single"/>
        </w:rPr>
      </w:pPr>
      <w:r>
        <w:rPr>
          <w:rFonts w:hint="eastAsia" w:ascii="宋体" w:hAnsi="宋体"/>
          <w:szCs w:val="21"/>
        </w:rPr>
        <w:t>承包人按16.1.1项〔发包人违约的情形〕约定暂停施工满</w:t>
      </w:r>
      <w:r>
        <w:rPr>
          <w:rFonts w:hint="eastAsia" w:ascii="宋体" w:hAnsi="宋体"/>
          <w:szCs w:val="21"/>
          <w:u w:val="single"/>
          <w:lang w:val="en-US" w:eastAsia="zh-CN"/>
        </w:rPr>
        <w:t xml:space="preserve">        </w:t>
      </w:r>
      <w:r>
        <w:rPr>
          <w:rFonts w:hint="eastAsia" w:ascii="宋体" w:hAnsi="宋体"/>
          <w:szCs w:val="21"/>
        </w:rPr>
        <w:t>天后发包人仍不纠正其违约行为并致使合同目的不能实现的，承包人有权解除合同。</w:t>
      </w:r>
    </w:p>
    <w:p w14:paraId="538EEAEB">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861" w:name="_Toc532377403"/>
      <w:r>
        <w:rPr>
          <w:rFonts w:hint="eastAsia"/>
          <w:sz w:val="21"/>
          <w:szCs w:val="21"/>
        </w:rPr>
        <w:t>16.2 承包人违约</w:t>
      </w:r>
      <w:bookmarkEnd w:id="1861"/>
    </w:p>
    <w:p w14:paraId="4C4528DC">
      <w:pPr>
        <w:pageBreakBefore w:val="0"/>
        <w:kinsoku/>
        <w:wordWrap/>
        <w:overflowPunct/>
        <w:topLinePunct w:val="0"/>
        <w:bidi w:val="0"/>
        <w:adjustRightInd/>
        <w:spacing w:line="360" w:lineRule="auto"/>
        <w:ind w:right="0" w:rightChars="0" w:firstLine="420" w:firstLineChars="200"/>
        <w:jc w:val="left"/>
        <w:rPr>
          <w:rFonts w:hint="eastAsia" w:ascii="宋体" w:hAnsi="宋体" w:cs="Microsoft Sans Serif"/>
          <w:kern w:val="0"/>
          <w:szCs w:val="21"/>
        </w:rPr>
      </w:pPr>
      <w:r>
        <w:rPr>
          <w:rFonts w:hint="eastAsia" w:ascii="宋体" w:hAnsi="宋体" w:cs="Microsoft Sans Serif"/>
          <w:kern w:val="0"/>
          <w:szCs w:val="21"/>
        </w:rPr>
        <w:t>16.2.1 承包人违约的情形</w:t>
      </w:r>
    </w:p>
    <w:p w14:paraId="7052897B">
      <w:pPr>
        <w:pageBreakBefore w:val="0"/>
        <w:kinsoku/>
        <w:wordWrap/>
        <w:overflowPunct/>
        <w:topLinePunct w:val="0"/>
        <w:bidi w:val="0"/>
        <w:adjustRightInd/>
        <w:spacing w:line="360" w:lineRule="auto"/>
        <w:ind w:right="0" w:rightChars="0" w:firstLine="420" w:firstLineChars="200"/>
        <w:jc w:val="left"/>
        <w:rPr>
          <w:rFonts w:hint="eastAsia" w:ascii="宋体" w:hAnsi="宋体" w:cs="Microsoft Sans Serif"/>
          <w:kern w:val="0"/>
          <w:szCs w:val="21"/>
        </w:rPr>
      </w:pPr>
      <w:r>
        <w:rPr>
          <w:rFonts w:hint="eastAsia" w:ascii="宋体" w:hAnsi="宋体" w:cs="Microsoft Sans Serif"/>
          <w:kern w:val="0"/>
          <w:szCs w:val="21"/>
        </w:rPr>
        <w:t>承包人违约的其他情形：</w:t>
      </w:r>
      <w:r>
        <w:rPr>
          <w:rFonts w:hint="eastAsia" w:ascii="宋体" w:hAnsi="宋体"/>
          <w:szCs w:val="21"/>
          <w:u w:val="single"/>
        </w:rPr>
        <w:t xml:space="preserve">            </w:t>
      </w:r>
      <w:r>
        <w:rPr>
          <w:rFonts w:hint="eastAsia" w:ascii="宋体" w:hAnsi="宋体" w:cs="Microsoft Sans Serif"/>
          <w:kern w:val="0"/>
          <w:szCs w:val="21"/>
        </w:rPr>
        <w:t>。</w:t>
      </w:r>
    </w:p>
    <w:p w14:paraId="07459249">
      <w:pPr>
        <w:pageBreakBefore w:val="0"/>
        <w:kinsoku/>
        <w:wordWrap/>
        <w:overflowPunct/>
        <w:topLinePunct w:val="0"/>
        <w:bidi w:val="0"/>
        <w:adjustRightInd/>
        <w:spacing w:line="360" w:lineRule="auto"/>
        <w:ind w:right="0" w:rightChars="0" w:firstLine="420" w:firstLineChars="200"/>
        <w:jc w:val="left"/>
        <w:rPr>
          <w:rFonts w:hint="eastAsia" w:ascii="宋体" w:hAnsi="宋体" w:cs="Microsoft Sans Serif"/>
          <w:kern w:val="0"/>
          <w:szCs w:val="21"/>
        </w:rPr>
      </w:pPr>
      <w:r>
        <w:rPr>
          <w:rFonts w:hint="eastAsia" w:ascii="宋体" w:hAnsi="宋体" w:cs="Microsoft Sans Serif"/>
          <w:kern w:val="0"/>
          <w:szCs w:val="21"/>
        </w:rPr>
        <w:t>16.2.2承包人违约的责任</w:t>
      </w:r>
    </w:p>
    <w:p w14:paraId="1CC4FD28">
      <w:pPr>
        <w:pageBreakBefore w:val="0"/>
        <w:kinsoku/>
        <w:wordWrap/>
        <w:overflowPunct/>
        <w:topLinePunct w:val="0"/>
        <w:bidi w:val="0"/>
        <w:adjustRightInd/>
        <w:spacing w:line="360" w:lineRule="auto"/>
        <w:ind w:right="0" w:rightChars="0" w:firstLine="420" w:firstLineChars="200"/>
        <w:jc w:val="left"/>
        <w:rPr>
          <w:rFonts w:hint="eastAsia" w:ascii="宋体" w:hAnsi="宋体" w:cs="Microsoft Sans Serif"/>
          <w:kern w:val="0"/>
          <w:szCs w:val="21"/>
        </w:rPr>
      </w:pPr>
      <w:r>
        <w:rPr>
          <w:rFonts w:hint="eastAsia" w:ascii="宋体" w:hAnsi="宋体" w:cs="Microsoft Sans Serif"/>
          <w:kern w:val="0"/>
          <w:szCs w:val="21"/>
        </w:rPr>
        <w:t>承包人违约责任的承担方式和计算方法：</w:t>
      </w:r>
      <w:r>
        <w:rPr>
          <w:rFonts w:hint="eastAsia" w:ascii="宋体" w:hAnsi="宋体"/>
          <w:szCs w:val="21"/>
          <w:u w:val="single"/>
        </w:rPr>
        <w:t xml:space="preserve">            </w:t>
      </w:r>
      <w:r>
        <w:rPr>
          <w:rFonts w:hint="eastAsia" w:ascii="宋体" w:hAnsi="宋体" w:cs="Microsoft Sans Serif"/>
          <w:kern w:val="0"/>
          <w:szCs w:val="21"/>
        </w:rPr>
        <w:t>。</w:t>
      </w:r>
    </w:p>
    <w:p w14:paraId="15B939E5">
      <w:pPr>
        <w:pageBreakBefore w:val="0"/>
        <w:kinsoku/>
        <w:wordWrap/>
        <w:overflowPunct/>
        <w:topLinePunct w:val="0"/>
        <w:bidi w:val="0"/>
        <w:adjustRightInd/>
        <w:spacing w:line="360" w:lineRule="auto"/>
        <w:ind w:right="0" w:rightChars="0" w:firstLine="420" w:firstLineChars="200"/>
        <w:jc w:val="left"/>
        <w:rPr>
          <w:rFonts w:hint="eastAsia" w:ascii="宋体" w:hAnsi="宋体" w:cs="Microsoft Sans Serif"/>
          <w:kern w:val="0"/>
          <w:szCs w:val="21"/>
        </w:rPr>
      </w:pPr>
      <w:r>
        <w:rPr>
          <w:rFonts w:hint="eastAsia" w:ascii="宋体" w:hAnsi="宋体" w:cs="Microsoft Sans Serif"/>
          <w:kern w:val="0"/>
          <w:szCs w:val="21"/>
        </w:rPr>
        <w:t>16.2.3 因承包人违约解除合同</w:t>
      </w:r>
    </w:p>
    <w:p w14:paraId="4F52B68C">
      <w:pPr>
        <w:pageBreakBefore w:val="0"/>
        <w:kinsoku/>
        <w:wordWrap/>
        <w:overflowPunct/>
        <w:topLinePunct w:val="0"/>
        <w:bidi w:val="0"/>
        <w:adjustRightInd/>
        <w:spacing w:line="360" w:lineRule="auto"/>
        <w:ind w:right="0" w:rightChars="0" w:firstLine="420" w:firstLineChars="200"/>
        <w:jc w:val="left"/>
        <w:rPr>
          <w:rFonts w:hint="eastAsia" w:ascii="宋体" w:hAnsi="宋体" w:cs="Microsoft Sans Serif"/>
          <w:kern w:val="0"/>
          <w:szCs w:val="21"/>
        </w:rPr>
      </w:pPr>
      <w:r>
        <w:rPr>
          <w:rFonts w:hint="eastAsia" w:ascii="宋体" w:hAnsi="宋体" w:cs="Microsoft Sans Serif"/>
          <w:kern w:val="0"/>
          <w:szCs w:val="21"/>
        </w:rPr>
        <w:t>关于承包人违约解除合同的特别约定：</w:t>
      </w:r>
      <w:r>
        <w:rPr>
          <w:rFonts w:hint="eastAsia" w:ascii="宋体" w:hAnsi="宋体"/>
          <w:szCs w:val="21"/>
          <w:u w:val="single"/>
        </w:rPr>
        <w:t xml:space="preserve">            </w:t>
      </w:r>
      <w:r>
        <w:rPr>
          <w:rFonts w:hint="eastAsia" w:ascii="宋体" w:hAnsi="宋体" w:cs="Microsoft Sans Serif"/>
          <w:kern w:val="0"/>
          <w:szCs w:val="21"/>
        </w:rPr>
        <w:t>。</w:t>
      </w:r>
    </w:p>
    <w:p w14:paraId="503F3AD7">
      <w:pPr>
        <w:pageBreakBefore w:val="0"/>
        <w:kinsoku/>
        <w:wordWrap/>
        <w:overflowPunct/>
        <w:topLinePunct w:val="0"/>
        <w:bidi w:val="0"/>
        <w:adjustRightInd/>
        <w:spacing w:line="360" w:lineRule="auto"/>
        <w:ind w:right="0" w:rightChars="0" w:firstLine="420" w:firstLineChars="200"/>
        <w:jc w:val="left"/>
        <w:rPr>
          <w:rFonts w:ascii="宋体" w:hAnsi="宋体" w:cs="Microsoft Sans Serif"/>
          <w:kern w:val="0"/>
          <w:szCs w:val="21"/>
        </w:rPr>
      </w:pPr>
      <w:r>
        <w:rPr>
          <w:rFonts w:hint="eastAsia" w:ascii="宋体" w:hAnsi="宋体" w:cs="Microsoft Sans Serif"/>
          <w:kern w:val="0"/>
          <w:szCs w:val="21"/>
        </w:rPr>
        <w:t>发包人继续使用承包人在施工现场的材料、设备、临时工程、承包人文件和由承包人或以其名义编制的其他文件的费用承担方式：</w:t>
      </w:r>
      <w:r>
        <w:rPr>
          <w:rFonts w:hint="eastAsia" w:ascii="宋体" w:hAnsi="宋体"/>
          <w:szCs w:val="21"/>
          <w:u w:val="single"/>
        </w:rPr>
        <w:t xml:space="preserve">            </w:t>
      </w:r>
      <w:r>
        <w:rPr>
          <w:rFonts w:hint="eastAsia" w:ascii="宋体" w:hAnsi="宋体" w:cs="Microsoft Sans Serif"/>
          <w:kern w:val="0"/>
          <w:szCs w:val="21"/>
        </w:rPr>
        <w:t>。</w:t>
      </w:r>
    </w:p>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850"/>
    <w:bookmarkEnd w:id="1851"/>
    <w:p w14:paraId="0FADA6B9">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862" w:name="_Toc351203649"/>
      <w:bookmarkStart w:id="1863" w:name="_Toc532375665"/>
      <w:bookmarkStart w:id="1864" w:name="_Toc532377404"/>
      <w:bookmarkStart w:id="1865" w:name="_Hlk528928440"/>
      <w:r>
        <w:rPr>
          <w:rFonts w:hint="eastAsia"/>
          <w:kern w:val="2"/>
          <w:sz w:val="21"/>
          <w:szCs w:val="21"/>
        </w:rPr>
        <w:t>17. 不可抗力</w:t>
      </w:r>
      <w:bookmarkEnd w:id="1862"/>
      <w:bookmarkEnd w:id="1863"/>
      <w:bookmarkEnd w:id="1864"/>
    </w:p>
    <w:p w14:paraId="0F6FDC66">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866" w:name="_Toc532377405"/>
      <w:bookmarkStart w:id="1867" w:name="_Toc532375666"/>
      <w:r>
        <w:rPr>
          <w:rFonts w:hint="eastAsia"/>
          <w:sz w:val="21"/>
          <w:szCs w:val="21"/>
        </w:rPr>
        <w:t>17.1 不可抗力的确认</w:t>
      </w:r>
      <w:bookmarkEnd w:id="1866"/>
      <w:bookmarkEnd w:id="1867"/>
    </w:p>
    <w:p w14:paraId="621A8D04">
      <w:pPr>
        <w:pageBreakBefore w:val="0"/>
        <w:kinsoku/>
        <w:wordWrap/>
        <w:overflowPunct/>
        <w:topLinePunct w:val="0"/>
        <w:bidi w:val="0"/>
        <w:adjustRightInd/>
        <w:spacing w:line="360" w:lineRule="auto"/>
        <w:ind w:right="0" w:rightChars="0" w:firstLine="420" w:firstLineChars="200"/>
        <w:jc w:val="left"/>
        <w:rPr>
          <w:rFonts w:hint="eastAsia" w:ascii="宋体" w:hAnsi="宋体" w:eastAsia="宋体"/>
          <w:szCs w:val="21"/>
          <w:lang w:eastAsia="zh-CN"/>
        </w:rPr>
      </w:pPr>
      <w:r>
        <w:rPr>
          <w:rFonts w:hint="eastAsia" w:ascii="宋体" w:hAnsi="宋体"/>
          <w:szCs w:val="21"/>
        </w:rPr>
        <w:t>除通用合同条款约定的不可抗力事件之外，视为不可抗力的其他情形：</w:t>
      </w:r>
      <w:bookmarkStart w:id="1868" w:name="_Hlk524379638"/>
      <w:r>
        <w:rPr>
          <w:rFonts w:hint="eastAsia" w:ascii="宋体" w:hAnsi="宋体"/>
          <w:szCs w:val="21"/>
          <w:u w:val="single"/>
        </w:rPr>
        <w:t xml:space="preserve">            </w:t>
      </w:r>
      <w:r>
        <w:rPr>
          <w:rFonts w:hint="eastAsia" w:ascii="宋体" w:hAnsi="宋体"/>
          <w:szCs w:val="21"/>
          <w:u w:val="none"/>
          <w:lang w:eastAsia="zh-CN"/>
        </w:rPr>
        <w:t>。</w:t>
      </w:r>
    </w:p>
    <w:bookmarkEnd w:id="1868"/>
    <w:p w14:paraId="7085642C">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869" w:name="_Toc532377407"/>
      <w:bookmarkStart w:id="1870" w:name="_Toc532375668"/>
      <w:r>
        <w:rPr>
          <w:rFonts w:hint="eastAsia"/>
          <w:sz w:val="21"/>
          <w:szCs w:val="21"/>
        </w:rPr>
        <w:t xml:space="preserve">17.4 </w:t>
      </w:r>
      <w:bookmarkEnd w:id="1869"/>
      <w:bookmarkEnd w:id="1870"/>
      <w:r>
        <w:rPr>
          <w:rFonts w:hint="eastAsia"/>
          <w:sz w:val="21"/>
          <w:szCs w:val="21"/>
        </w:rPr>
        <w:t>因不可抗力解除合同</w:t>
      </w:r>
    </w:p>
    <w:p w14:paraId="642A1401">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合同解除后，发包人应在商定或确定发包人应支付款项后</w:t>
      </w:r>
      <w:r>
        <w:rPr>
          <w:rFonts w:hint="eastAsia" w:ascii="宋体" w:hAnsi="宋体"/>
          <w:szCs w:val="21"/>
          <w:u w:val="single"/>
          <w:lang w:val="en-US" w:eastAsia="zh-CN"/>
        </w:rPr>
        <w:t xml:space="preserve">        </w:t>
      </w:r>
      <w:r>
        <w:rPr>
          <w:rFonts w:hint="eastAsia" w:ascii="宋体" w:hAnsi="宋体"/>
          <w:szCs w:val="21"/>
        </w:rPr>
        <w:t>天内完成款项的支付。</w:t>
      </w:r>
    </w:p>
    <w:p w14:paraId="3DB0E5A9">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871" w:name="_Toc532377408"/>
      <w:bookmarkStart w:id="1872" w:name="_Toc351203650"/>
      <w:bookmarkStart w:id="1873" w:name="_Toc532375669"/>
      <w:r>
        <w:rPr>
          <w:rFonts w:hint="eastAsia"/>
          <w:kern w:val="2"/>
          <w:sz w:val="21"/>
          <w:szCs w:val="21"/>
        </w:rPr>
        <w:t>18. 保险</w:t>
      </w:r>
      <w:bookmarkEnd w:id="1871"/>
      <w:bookmarkEnd w:id="1872"/>
      <w:bookmarkEnd w:id="1873"/>
    </w:p>
    <w:p w14:paraId="2ACC7A0B">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874" w:name="_Toc532375670"/>
      <w:bookmarkStart w:id="1875" w:name="_Toc532377409"/>
      <w:r>
        <w:rPr>
          <w:rFonts w:hint="eastAsia"/>
          <w:sz w:val="21"/>
          <w:szCs w:val="21"/>
        </w:rPr>
        <w:t>18.1 工程保险</w:t>
      </w:r>
      <w:bookmarkEnd w:id="1874"/>
      <w:bookmarkEnd w:id="1875"/>
    </w:p>
    <w:p w14:paraId="6EE482DB">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关于工程保险的特别约定：</w:t>
      </w:r>
      <w:r>
        <w:rPr>
          <w:rFonts w:hint="eastAsia" w:ascii="宋体" w:hAnsi="宋体"/>
          <w:szCs w:val="21"/>
          <w:u w:val="single"/>
        </w:rPr>
        <w:t xml:space="preserve">            </w:t>
      </w:r>
      <w:r>
        <w:rPr>
          <w:rFonts w:hint="eastAsia" w:ascii="宋体" w:hAnsi="宋体"/>
          <w:szCs w:val="21"/>
        </w:rPr>
        <w:t>。</w:t>
      </w:r>
    </w:p>
    <w:p w14:paraId="3179C9A0">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876" w:name="_Toc532377410"/>
      <w:bookmarkStart w:id="1877" w:name="_Toc532375671"/>
      <w:r>
        <w:rPr>
          <w:rFonts w:hint="eastAsia"/>
          <w:sz w:val="21"/>
          <w:szCs w:val="21"/>
        </w:rPr>
        <w:t>18.3 其他保险</w:t>
      </w:r>
      <w:bookmarkEnd w:id="1876"/>
      <w:bookmarkEnd w:id="1877"/>
    </w:p>
    <w:p w14:paraId="29C19EAD">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关于其他保险的约定：</w:t>
      </w:r>
      <w:r>
        <w:rPr>
          <w:rFonts w:hint="eastAsia" w:ascii="宋体" w:hAnsi="宋体"/>
          <w:szCs w:val="21"/>
          <w:u w:val="single"/>
        </w:rPr>
        <w:t xml:space="preserve">            </w:t>
      </w:r>
      <w:r>
        <w:rPr>
          <w:rFonts w:hint="eastAsia" w:ascii="宋体" w:hAnsi="宋体"/>
          <w:szCs w:val="21"/>
        </w:rPr>
        <w:t>。</w:t>
      </w:r>
    </w:p>
    <w:p w14:paraId="2E4511BD">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承包人是否应为其施工设备等办理财产保险：</w:t>
      </w:r>
      <w:r>
        <w:rPr>
          <w:rFonts w:hint="eastAsia" w:ascii="宋体" w:hAnsi="宋体"/>
          <w:szCs w:val="21"/>
          <w:u w:val="single"/>
        </w:rPr>
        <w:t xml:space="preserve">            </w:t>
      </w:r>
      <w:r>
        <w:rPr>
          <w:rFonts w:hint="eastAsia" w:ascii="宋体" w:hAnsi="宋体"/>
          <w:szCs w:val="21"/>
        </w:rPr>
        <w:t>。</w:t>
      </w:r>
    </w:p>
    <w:p w14:paraId="05FBCA90">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878" w:name="_Toc532377411"/>
      <w:bookmarkStart w:id="1879" w:name="_Toc532375672"/>
      <w:r>
        <w:rPr>
          <w:rFonts w:hint="eastAsia"/>
          <w:sz w:val="21"/>
          <w:szCs w:val="21"/>
        </w:rPr>
        <w:t>18.7 通知义务</w:t>
      </w:r>
      <w:bookmarkEnd w:id="1878"/>
      <w:bookmarkEnd w:id="1879"/>
    </w:p>
    <w:p w14:paraId="346C0557">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关于变更保险合同时的通知义务的约定：</w:t>
      </w:r>
      <w:r>
        <w:rPr>
          <w:rFonts w:hint="eastAsia" w:ascii="宋体" w:hAnsi="宋体"/>
          <w:szCs w:val="21"/>
          <w:u w:val="single"/>
        </w:rPr>
        <w:t xml:space="preserve">            </w:t>
      </w:r>
      <w:r>
        <w:rPr>
          <w:rFonts w:hint="eastAsia" w:ascii="宋体" w:hAnsi="宋体"/>
          <w:szCs w:val="21"/>
        </w:rPr>
        <w:t>。</w:t>
      </w:r>
    </w:p>
    <w:p w14:paraId="2593E306">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880" w:name="_Toc351203651"/>
      <w:bookmarkStart w:id="1881" w:name="_Toc532375680"/>
      <w:bookmarkStart w:id="1882" w:name="_Toc532377419"/>
      <w:r>
        <w:rPr>
          <w:rFonts w:hint="eastAsia"/>
          <w:kern w:val="2"/>
          <w:sz w:val="21"/>
          <w:szCs w:val="21"/>
        </w:rPr>
        <w:t>20. 争议解决</w:t>
      </w:r>
      <w:bookmarkEnd w:id="1880"/>
      <w:bookmarkEnd w:id="1881"/>
      <w:bookmarkEnd w:id="1882"/>
    </w:p>
    <w:p w14:paraId="16E299FC">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883" w:name="_Toc532377420"/>
      <w:bookmarkStart w:id="1884" w:name="_Toc532375681"/>
      <w:r>
        <w:rPr>
          <w:rFonts w:hint="eastAsia"/>
          <w:sz w:val="21"/>
          <w:szCs w:val="21"/>
        </w:rPr>
        <w:t>20.3 争议评审</w:t>
      </w:r>
      <w:bookmarkEnd w:id="1883"/>
      <w:bookmarkEnd w:id="1884"/>
    </w:p>
    <w:p w14:paraId="03ED0561">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合同当事人是否同意将工程争议提交争议评审小组决定：</w:t>
      </w:r>
      <w:r>
        <w:rPr>
          <w:rFonts w:hint="eastAsia" w:ascii="宋体" w:hAnsi="宋体"/>
          <w:szCs w:val="21"/>
          <w:u w:val="single"/>
        </w:rPr>
        <w:t xml:space="preserve">            </w:t>
      </w:r>
      <w:r>
        <w:rPr>
          <w:rFonts w:hint="eastAsia" w:ascii="宋体" w:hAnsi="宋体"/>
          <w:szCs w:val="21"/>
        </w:rPr>
        <w:t>。</w:t>
      </w:r>
    </w:p>
    <w:p w14:paraId="1652D076">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20.3.1 争议评审小组的确定</w:t>
      </w:r>
    </w:p>
    <w:p w14:paraId="6069BDD8">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争议评审小组成员的确定：</w:t>
      </w:r>
      <w:r>
        <w:rPr>
          <w:rFonts w:hint="eastAsia" w:ascii="宋体" w:hAnsi="宋体"/>
          <w:szCs w:val="21"/>
          <w:u w:val="single"/>
        </w:rPr>
        <w:t xml:space="preserve">            </w:t>
      </w:r>
      <w:r>
        <w:rPr>
          <w:rFonts w:hint="eastAsia" w:ascii="宋体" w:hAnsi="宋体"/>
          <w:szCs w:val="21"/>
        </w:rPr>
        <w:t>。</w:t>
      </w:r>
    </w:p>
    <w:p w14:paraId="13A2CBB0">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选定争议评审员的期限：</w:t>
      </w:r>
      <w:r>
        <w:rPr>
          <w:rFonts w:hint="eastAsia" w:ascii="宋体" w:hAnsi="宋体"/>
          <w:szCs w:val="21"/>
          <w:u w:val="single"/>
        </w:rPr>
        <w:t xml:space="preserve">            </w:t>
      </w:r>
      <w:r>
        <w:rPr>
          <w:rFonts w:hint="eastAsia" w:ascii="宋体" w:hAnsi="宋体"/>
          <w:szCs w:val="21"/>
        </w:rPr>
        <w:t>。</w:t>
      </w:r>
    </w:p>
    <w:p w14:paraId="5B0E8524">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争议评审小组成员的报酬承担方式：</w:t>
      </w:r>
      <w:r>
        <w:rPr>
          <w:rFonts w:hint="eastAsia" w:ascii="宋体" w:hAnsi="宋体"/>
          <w:szCs w:val="21"/>
          <w:u w:val="single"/>
        </w:rPr>
        <w:t xml:space="preserve">            </w:t>
      </w:r>
      <w:r>
        <w:rPr>
          <w:rFonts w:hint="eastAsia" w:ascii="宋体" w:hAnsi="宋体"/>
          <w:szCs w:val="21"/>
        </w:rPr>
        <w:t>。</w:t>
      </w:r>
    </w:p>
    <w:p w14:paraId="0D24CE7C">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其他事项的约定：</w:t>
      </w:r>
      <w:r>
        <w:rPr>
          <w:rFonts w:hint="eastAsia" w:ascii="宋体" w:hAnsi="宋体"/>
          <w:szCs w:val="21"/>
          <w:u w:val="single"/>
        </w:rPr>
        <w:t xml:space="preserve">            </w:t>
      </w:r>
      <w:r>
        <w:rPr>
          <w:rFonts w:hint="eastAsia" w:ascii="宋体" w:hAnsi="宋体"/>
          <w:szCs w:val="21"/>
        </w:rPr>
        <w:t>。</w:t>
      </w:r>
    </w:p>
    <w:p w14:paraId="66C83883">
      <w:pPr>
        <w:pageBreakBefore w:val="0"/>
        <w:kinsoku/>
        <w:wordWrap/>
        <w:overflowPunct/>
        <w:topLinePunct w:val="0"/>
        <w:bidi w:val="0"/>
        <w:adjustRightInd/>
        <w:spacing w:line="360" w:lineRule="auto"/>
        <w:ind w:right="0" w:rightChars="0" w:firstLine="420" w:firstLineChars="200"/>
        <w:jc w:val="left"/>
        <w:rPr>
          <w:rFonts w:hint="eastAsia" w:ascii="宋体" w:hAnsi="宋体"/>
          <w:szCs w:val="21"/>
        </w:rPr>
      </w:pPr>
      <w:r>
        <w:rPr>
          <w:rFonts w:hint="eastAsia" w:ascii="宋体" w:hAnsi="宋体"/>
          <w:szCs w:val="21"/>
        </w:rPr>
        <w:t>20.3.2 争议评审小组的决定</w:t>
      </w:r>
    </w:p>
    <w:p w14:paraId="6BC3E094">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合同当事人关于本项的约定：</w:t>
      </w:r>
      <w:r>
        <w:rPr>
          <w:rFonts w:hint="eastAsia" w:ascii="宋体" w:hAnsi="宋体"/>
          <w:szCs w:val="21"/>
          <w:u w:val="single"/>
        </w:rPr>
        <w:t xml:space="preserve">            </w:t>
      </w:r>
      <w:r>
        <w:rPr>
          <w:rFonts w:hint="eastAsia" w:ascii="宋体" w:hAnsi="宋体"/>
          <w:szCs w:val="21"/>
        </w:rPr>
        <w:t>。</w:t>
      </w:r>
    </w:p>
    <w:p w14:paraId="7E631028">
      <w:pPr>
        <w:pStyle w:val="7"/>
        <w:pageBreakBefore w:val="0"/>
        <w:kinsoku/>
        <w:wordWrap/>
        <w:overflowPunct/>
        <w:topLinePunct w:val="0"/>
        <w:bidi w:val="0"/>
        <w:adjustRightInd/>
        <w:spacing w:before="0" w:beforeAutospacing="0" w:after="0" w:afterAutospacing="0" w:line="360" w:lineRule="auto"/>
        <w:ind w:right="0" w:rightChars="0" w:firstLine="420" w:firstLineChars="200"/>
        <w:rPr>
          <w:sz w:val="21"/>
          <w:szCs w:val="21"/>
        </w:rPr>
      </w:pPr>
      <w:bookmarkStart w:id="1885" w:name="_Toc532375682"/>
      <w:bookmarkStart w:id="1886" w:name="_Toc532377421"/>
      <w:r>
        <w:rPr>
          <w:rFonts w:hint="eastAsia"/>
          <w:sz w:val="21"/>
          <w:szCs w:val="21"/>
        </w:rPr>
        <w:t>20.4 仲裁或诉讼</w:t>
      </w:r>
      <w:bookmarkEnd w:id="1885"/>
      <w:bookmarkEnd w:id="1886"/>
    </w:p>
    <w:p w14:paraId="2E12BBE2">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hint="eastAsia" w:ascii="宋体" w:hAnsi="宋体"/>
          <w:szCs w:val="21"/>
        </w:rPr>
        <w:t>因合同及合同有关事项发生的争议，按下列第</w:t>
      </w:r>
      <w:r>
        <w:rPr>
          <w:rFonts w:hint="eastAsia" w:ascii="宋体" w:hAnsi="宋体"/>
          <w:szCs w:val="21"/>
          <w:u w:val="single"/>
          <w:lang w:val="en-US" w:eastAsia="zh-CN"/>
        </w:rPr>
        <w:t xml:space="preserve">        </w:t>
      </w:r>
      <w:r>
        <w:rPr>
          <w:rFonts w:hint="eastAsia" w:ascii="宋体" w:hAnsi="宋体"/>
          <w:szCs w:val="21"/>
        </w:rPr>
        <w:t>种方式解决：</w:t>
      </w:r>
    </w:p>
    <w:p w14:paraId="64D2ECE9">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ascii="宋体" w:hAnsi="宋体"/>
          <w:szCs w:val="21"/>
        </w:rPr>
        <w:t>（1）向</w:t>
      </w:r>
      <w:r>
        <w:rPr>
          <w:rFonts w:hint="eastAsia" w:ascii="宋体" w:hAnsi="宋体"/>
          <w:szCs w:val="21"/>
          <w:u w:val="single"/>
        </w:rPr>
        <w:t xml:space="preserve">            </w:t>
      </w:r>
      <w:r>
        <w:rPr>
          <w:rFonts w:ascii="宋体" w:hAnsi="宋体"/>
          <w:szCs w:val="21"/>
        </w:rPr>
        <w:t>仲裁委员会申请仲裁；</w:t>
      </w:r>
    </w:p>
    <w:p w14:paraId="6FCEE33A">
      <w:pPr>
        <w:pageBreakBefore w:val="0"/>
        <w:kinsoku/>
        <w:wordWrap/>
        <w:overflowPunct/>
        <w:topLinePunct w:val="0"/>
        <w:bidi w:val="0"/>
        <w:adjustRightInd/>
        <w:spacing w:line="360" w:lineRule="auto"/>
        <w:ind w:right="0" w:rightChars="0" w:firstLine="420" w:firstLineChars="200"/>
        <w:jc w:val="left"/>
        <w:rPr>
          <w:rFonts w:ascii="宋体" w:hAnsi="宋体"/>
          <w:szCs w:val="21"/>
        </w:rPr>
      </w:pPr>
      <w:r>
        <w:rPr>
          <w:rFonts w:ascii="宋体" w:hAnsi="宋体"/>
          <w:szCs w:val="21"/>
        </w:rPr>
        <w:t>（2）向</w:t>
      </w:r>
      <w:r>
        <w:rPr>
          <w:rFonts w:hint="eastAsia" w:ascii="宋体" w:hAnsi="宋体"/>
          <w:szCs w:val="21"/>
          <w:u w:val="single"/>
        </w:rPr>
        <w:t xml:space="preserve">            </w:t>
      </w:r>
      <w:r>
        <w:rPr>
          <w:rFonts w:ascii="宋体" w:hAnsi="宋体"/>
          <w:szCs w:val="21"/>
        </w:rPr>
        <w:t>人民法院起诉。</w:t>
      </w:r>
    </w:p>
    <w:bookmarkEnd w:id="1865"/>
    <w:p w14:paraId="00BF626E">
      <w:pPr>
        <w:pStyle w:val="6"/>
        <w:keepNext/>
        <w:keepLines/>
        <w:pageBreakBefore w:val="0"/>
        <w:kinsoku/>
        <w:wordWrap/>
        <w:overflowPunct/>
        <w:topLinePunct w:val="0"/>
        <w:bidi w:val="0"/>
        <w:adjustRightInd/>
        <w:spacing w:before="0" w:beforeAutospacing="0" w:after="0" w:afterAutospacing="0" w:line="360" w:lineRule="auto"/>
        <w:ind w:right="0" w:rightChars="0"/>
        <w:jc w:val="both"/>
        <w:rPr>
          <w:bCs w:val="0"/>
          <w:kern w:val="2"/>
          <w:sz w:val="21"/>
          <w:szCs w:val="21"/>
        </w:rPr>
      </w:pPr>
      <w:bookmarkStart w:id="1887" w:name="baidusnap3"/>
      <w:bookmarkEnd w:id="1887"/>
      <w:bookmarkStart w:id="1888" w:name="baidusnap7"/>
      <w:bookmarkEnd w:id="1888"/>
      <w:bookmarkStart w:id="1889" w:name="_Toc532377425"/>
      <w:bookmarkStart w:id="1890" w:name="_Toc532375686"/>
      <w:bookmarkStart w:id="1891" w:name="_Toc351203652"/>
      <w:r>
        <w:rPr>
          <w:rFonts w:hint="eastAsia"/>
          <w:kern w:val="2"/>
          <w:sz w:val="21"/>
          <w:szCs w:val="21"/>
        </w:rPr>
        <w:t>2</w:t>
      </w:r>
      <w:r>
        <w:rPr>
          <w:rFonts w:hint="eastAsia"/>
          <w:kern w:val="2"/>
          <w:sz w:val="21"/>
          <w:szCs w:val="21"/>
          <w:lang w:val="en-US" w:eastAsia="zh-CN"/>
        </w:rPr>
        <w:t>1</w:t>
      </w:r>
      <w:r>
        <w:rPr>
          <w:rFonts w:hint="eastAsia"/>
          <w:kern w:val="2"/>
          <w:sz w:val="21"/>
          <w:szCs w:val="21"/>
        </w:rPr>
        <w:t>. 合同附件</w:t>
      </w:r>
      <w:bookmarkEnd w:id="1889"/>
      <w:bookmarkEnd w:id="1890"/>
    </w:p>
    <w:p w14:paraId="71009FC1">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协议书附件：</w:t>
      </w:r>
    </w:p>
    <w:p w14:paraId="163C6757">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附件1：承包人承揽工程项目一览表</w:t>
      </w:r>
    </w:p>
    <w:p w14:paraId="7FE6A9A7">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专用合同条款附件：</w:t>
      </w:r>
    </w:p>
    <w:p w14:paraId="27E29A5F">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附件2：发包人供应材料设备一览表</w:t>
      </w:r>
    </w:p>
    <w:p w14:paraId="4AC73683">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附件3：工程质量保修书</w:t>
      </w:r>
    </w:p>
    <w:p w14:paraId="66FAEFBD">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附件4：主要建设工程文件目录</w:t>
      </w:r>
    </w:p>
    <w:p w14:paraId="7346F40D">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附件5：承包人用于本工程施工的机械设备表</w:t>
      </w:r>
    </w:p>
    <w:p w14:paraId="1DFF7236">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附件6：承包人主要施工管理人员表</w:t>
      </w:r>
    </w:p>
    <w:p w14:paraId="38777DAD">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附件7：分包人主要施工管理人员表</w:t>
      </w:r>
    </w:p>
    <w:p w14:paraId="05490A10">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附件8：履约担保格式</w:t>
      </w:r>
    </w:p>
    <w:p w14:paraId="42C49765">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附件9：预付款担保格式</w:t>
      </w:r>
    </w:p>
    <w:p w14:paraId="16C13A96">
      <w:pPr>
        <w:pageBreakBefore w:val="0"/>
        <w:kinsoku/>
        <w:wordWrap/>
        <w:overflowPunct/>
        <w:topLinePunct w:val="0"/>
        <w:bidi w:val="0"/>
        <w:adjustRightInd/>
        <w:spacing w:line="360" w:lineRule="auto"/>
        <w:ind w:right="0" w:rightChars="0" w:firstLine="420" w:firstLineChars="200"/>
        <w:jc w:val="left"/>
        <w:rPr>
          <w:rFonts w:hint="eastAsia" w:ascii="宋体" w:hAnsi="宋体"/>
        </w:rPr>
      </w:pPr>
      <w:r>
        <w:rPr>
          <w:rFonts w:hint="eastAsia" w:ascii="宋体" w:hAnsi="宋体"/>
        </w:rPr>
        <w:t>附件10：支付担保格式</w:t>
      </w:r>
    </w:p>
    <w:p w14:paraId="453953E0">
      <w:pPr>
        <w:pageBreakBefore w:val="0"/>
        <w:kinsoku/>
        <w:wordWrap/>
        <w:overflowPunct/>
        <w:topLinePunct w:val="0"/>
        <w:bidi w:val="0"/>
        <w:adjustRightInd/>
        <w:spacing w:line="360" w:lineRule="auto"/>
        <w:ind w:right="0" w:rightChars="0" w:firstLine="420" w:firstLineChars="200"/>
        <w:jc w:val="left"/>
        <w:rPr>
          <w:rFonts w:hint="default" w:ascii="宋体" w:hAnsi="宋体" w:eastAsia="宋体"/>
          <w:szCs w:val="21"/>
          <w:lang w:val="en-US" w:eastAsia="zh-CN"/>
        </w:rPr>
      </w:pPr>
      <w:r>
        <w:rPr>
          <w:rFonts w:hint="eastAsia" w:ascii="宋体" w:hAnsi="宋体"/>
        </w:rPr>
        <w:t>附件11：暂估价一览表</w:t>
      </w:r>
    </w:p>
    <w:bookmarkEnd w:id="1891"/>
    <w:p w14:paraId="5AE843E6">
      <w:pPr>
        <w:pageBreakBefore w:val="0"/>
        <w:kinsoku/>
        <w:wordWrap/>
        <w:overflowPunct/>
        <w:topLinePunct w:val="0"/>
        <w:bidi w:val="0"/>
        <w:adjustRightInd/>
        <w:spacing w:line="360" w:lineRule="auto"/>
        <w:ind w:right="0" w:rightChars="0"/>
        <w:jc w:val="left"/>
        <w:rPr>
          <w:rFonts w:hint="eastAsia" w:ascii="宋体" w:hAnsi="宋体"/>
          <w:szCs w:val="21"/>
        </w:rPr>
        <w:sectPr>
          <w:pgSz w:w="11906" w:h="16838"/>
          <w:pgMar w:top="1418" w:right="1531" w:bottom="1418" w:left="1554" w:header="851" w:footer="992" w:gutter="0"/>
          <w:pgNumType w:fmt="decimal"/>
          <w:cols w:space="720" w:num="1"/>
          <w:titlePg/>
          <w:docGrid w:type="linesAndChars" w:linePitch="312" w:charSpace="0"/>
        </w:sectPr>
      </w:pPr>
    </w:p>
    <w:p w14:paraId="2F82437B">
      <w:pPr>
        <w:spacing w:before="156" w:beforeLines="50" w:after="156" w:afterLines="50" w:line="44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附件1：</w:t>
      </w:r>
    </w:p>
    <w:p w14:paraId="4F043716">
      <w:pPr>
        <w:spacing w:before="156" w:beforeLines="50" w:after="156" w:afterLines="50"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承包人承揽工程项目一览表</w:t>
      </w:r>
    </w:p>
    <w:tbl>
      <w:tblPr>
        <w:tblStyle w:val="45"/>
        <w:tblpPr w:leftFromText="180" w:rightFromText="180" w:vertAnchor="text" w:horzAnchor="page" w:tblpX="1015" w:tblpY="584"/>
        <w:tblOverlap w:val="never"/>
        <w:tblW w:w="1460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09E9F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27C2A8B5">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单位工程名称</w:t>
            </w:r>
          </w:p>
        </w:tc>
        <w:tc>
          <w:tcPr>
            <w:tcW w:w="1843" w:type="dxa"/>
            <w:tcBorders>
              <w:top w:val="single" w:color="auto" w:sz="12" w:space="0"/>
              <w:bottom w:val="double" w:color="auto" w:sz="6" w:space="0"/>
            </w:tcBorders>
            <w:noWrap w:val="0"/>
            <w:vAlign w:val="center"/>
          </w:tcPr>
          <w:p w14:paraId="4A58FBA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建设规模</w:t>
            </w:r>
          </w:p>
        </w:tc>
        <w:tc>
          <w:tcPr>
            <w:tcW w:w="1417" w:type="dxa"/>
            <w:tcBorders>
              <w:top w:val="single" w:color="auto" w:sz="12" w:space="0"/>
              <w:bottom w:val="double" w:color="auto" w:sz="6" w:space="0"/>
            </w:tcBorders>
            <w:noWrap w:val="0"/>
            <w:vAlign w:val="center"/>
          </w:tcPr>
          <w:p w14:paraId="0D728C2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建筑面积(平方米)</w:t>
            </w:r>
          </w:p>
        </w:tc>
        <w:tc>
          <w:tcPr>
            <w:tcW w:w="2410" w:type="dxa"/>
            <w:tcBorders>
              <w:top w:val="single" w:color="auto" w:sz="12" w:space="0"/>
              <w:bottom w:val="double" w:color="auto" w:sz="6" w:space="0"/>
            </w:tcBorders>
            <w:noWrap w:val="0"/>
            <w:vAlign w:val="center"/>
          </w:tcPr>
          <w:p w14:paraId="773A6A4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结构形式</w:t>
            </w:r>
          </w:p>
        </w:tc>
        <w:tc>
          <w:tcPr>
            <w:tcW w:w="850" w:type="dxa"/>
            <w:tcBorders>
              <w:top w:val="single" w:color="auto" w:sz="12" w:space="0"/>
              <w:bottom w:val="double" w:color="auto" w:sz="6" w:space="0"/>
            </w:tcBorders>
            <w:noWrap w:val="0"/>
            <w:vAlign w:val="center"/>
          </w:tcPr>
          <w:p w14:paraId="09534D1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层数</w:t>
            </w:r>
          </w:p>
        </w:tc>
        <w:tc>
          <w:tcPr>
            <w:tcW w:w="1560" w:type="dxa"/>
            <w:tcBorders>
              <w:top w:val="single" w:color="auto" w:sz="12" w:space="0"/>
              <w:bottom w:val="double" w:color="auto" w:sz="6" w:space="0"/>
            </w:tcBorders>
            <w:noWrap w:val="0"/>
            <w:vAlign w:val="center"/>
          </w:tcPr>
          <w:p w14:paraId="766048D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生产能力</w:t>
            </w:r>
          </w:p>
        </w:tc>
        <w:tc>
          <w:tcPr>
            <w:tcW w:w="2126" w:type="dxa"/>
            <w:tcBorders>
              <w:top w:val="single" w:color="auto" w:sz="12" w:space="0"/>
              <w:bottom w:val="double" w:color="auto" w:sz="6" w:space="0"/>
            </w:tcBorders>
            <w:noWrap w:val="0"/>
            <w:vAlign w:val="center"/>
          </w:tcPr>
          <w:p w14:paraId="10C1F63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设备安装内容</w:t>
            </w:r>
          </w:p>
        </w:tc>
        <w:tc>
          <w:tcPr>
            <w:tcW w:w="1417" w:type="dxa"/>
            <w:tcBorders>
              <w:top w:val="single" w:color="auto" w:sz="12" w:space="0"/>
              <w:bottom w:val="double" w:color="auto" w:sz="6" w:space="0"/>
            </w:tcBorders>
            <w:noWrap w:val="0"/>
            <w:vAlign w:val="center"/>
          </w:tcPr>
          <w:p w14:paraId="7CA9B98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合同价格（元）</w:t>
            </w:r>
          </w:p>
        </w:tc>
        <w:tc>
          <w:tcPr>
            <w:tcW w:w="851" w:type="dxa"/>
            <w:tcBorders>
              <w:top w:val="single" w:color="auto" w:sz="12" w:space="0"/>
              <w:bottom w:val="double" w:color="auto" w:sz="6" w:space="0"/>
            </w:tcBorders>
            <w:noWrap w:val="0"/>
            <w:vAlign w:val="center"/>
          </w:tcPr>
          <w:p w14:paraId="38A78DC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开工日期</w:t>
            </w:r>
          </w:p>
        </w:tc>
        <w:tc>
          <w:tcPr>
            <w:tcW w:w="850" w:type="dxa"/>
            <w:tcBorders>
              <w:top w:val="single" w:color="auto" w:sz="12" w:space="0"/>
              <w:bottom w:val="double" w:color="auto" w:sz="6" w:space="0"/>
            </w:tcBorders>
            <w:noWrap w:val="0"/>
            <w:vAlign w:val="center"/>
          </w:tcPr>
          <w:p w14:paraId="349C91A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竣工日期</w:t>
            </w:r>
          </w:p>
        </w:tc>
      </w:tr>
      <w:tr w14:paraId="3A5A5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4B7EFE4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843" w:type="dxa"/>
            <w:tcBorders>
              <w:top w:val="double" w:color="auto" w:sz="6" w:space="0"/>
              <w:bottom w:val="single" w:color="auto" w:sz="6" w:space="0"/>
            </w:tcBorders>
            <w:noWrap w:val="0"/>
            <w:vAlign w:val="center"/>
          </w:tcPr>
          <w:p w14:paraId="3C9BC6A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tcBorders>
              <w:top w:val="double" w:color="auto" w:sz="6" w:space="0"/>
              <w:bottom w:val="single" w:color="auto" w:sz="6" w:space="0"/>
            </w:tcBorders>
            <w:noWrap w:val="0"/>
            <w:vAlign w:val="center"/>
          </w:tcPr>
          <w:p w14:paraId="62DD94F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410" w:type="dxa"/>
            <w:tcBorders>
              <w:top w:val="double" w:color="auto" w:sz="6" w:space="0"/>
              <w:bottom w:val="single" w:color="auto" w:sz="6" w:space="0"/>
            </w:tcBorders>
            <w:noWrap w:val="0"/>
            <w:vAlign w:val="center"/>
          </w:tcPr>
          <w:p w14:paraId="63A8726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double" w:color="auto" w:sz="6" w:space="0"/>
              <w:bottom w:val="single" w:color="auto" w:sz="6" w:space="0"/>
            </w:tcBorders>
            <w:noWrap w:val="0"/>
            <w:vAlign w:val="center"/>
          </w:tcPr>
          <w:p w14:paraId="55DC694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560" w:type="dxa"/>
            <w:tcBorders>
              <w:top w:val="double" w:color="auto" w:sz="6" w:space="0"/>
              <w:bottom w:val="single" w:color="auto" w:sz="6" w:space="0"/>
            </w:tcBorders>
            <w:noWrap w:val="0"/>
            <w:vAlign w:val="center"/>
          </w:tcPr>
          <w:p w14:paraId="29CE01E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126" w:type="dxa"/>
            <w:tcBorders>
              <w:top w:val="double" w:color="auto" w:sz="6" w:space="0"/>
              <w:bottom w:val="single" w:color="auto" w:sz="6" w:space="0"/>
            </w:tcBorders>
            <w:noWrap w:val="0"/>
            <w:vAlign w:val="center"/>
          </w:tcPr>
          <w:p w14:paraId="466FBCB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tcBorders>
              <w:top w:val="double" w:color="auto" w:sz="6" w:space="0"/>
              <w:bottom w:val="single" w:color="auto" w:sz="6" w:space="0"/>
            </w:tcBorders>
            <w:noWrap w:val="0"/>
            <w:vAlign w:val="center"/>
          </w:tcPr>
          <w:p w14:paraId="3D674E8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tcBorders>
              <w:top w:val="double" w:color="auto" w:sz="6" w:space="0"/>
              <w:bottom w:val="single" w:color="auto" w:sz="6" w:space="0"/>
            </w:tcBorders>
            <w:noWrap w:val="0"/>
            <w:vAlign w:val="center"/>
          </w:tcPr>
          <w:p w14:paraId="596AD7B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double" w:color="auto" w:sz="6" w:space="0"/>
              <w:bottom w:val="single" w:color="auto" w:sz="6" w:space="0"/>
            </w:tcBorders>
            <w:noWrap w:val="0"/>
            <w:vAlign w:val="center"/>
          </w:tcPr>
          <w:p w14:paraId="70C6050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1A284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547767D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843" w:type="dxa"/>
            <w:noWrap w:val="0"/>
            <w:vAlign w:val="center"/>
          </w:tcPr>
          <w:p w14:paraId="2E2D0F5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noWrap w:val="0"/>
            <w:vAlign w:val="center"/>
          </w:tcPr>
          <w:p w14:paraId="71F1593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410" w:type="dxa"/>
            <w:noWrap w:val="0"/>
            <w:vAlign w:val="center"/>
          </w:tcPr>
          <w:p w14:paraId="71DED64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6670E00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560" w:type="dxa"/>
            <w:noWrap w:val="0"/>
            <w:vAlign w:val="center"/>
          </w:tcPr>
          <w:p w14:paraId="0E7867F4">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126" w:type="dxa"/>
            <w:noWrap w:val="0"/>
            <w:vAlign w:val="center"/>
          </w:tcPr>
          <w:p w14:paraId="4B53F02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noWrap w:val="0"/>
            <w:vAlign w:val="center"/>
          </w:tcPr>
          <w:p w14:paraId="597E5304">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0B85968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157FD3C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6C4E0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2FD0FD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843" w:type="dxa"/>
            <w:tcBorders>
              <w:top w:val="nil"/>
            </w:tcBorders>
            <w:noWrap w:val="0"/>
            <w:vAlign w:val="center"/>
          </w:tcPr>
          <w:p w14:paraId="47F9135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7C46CC6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410" w:type="dxa"/>
            <w:tcBorders>
              <w:top w:val="nil"/>
            </w:tcBorders>
            <w:noWrap w:val="0"/>
            <w:vAlign w:val="center"/>
          </w:tcPr>
          <w:p w14:paraId="53B4A03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0B27CF5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560" w:type="dxa"/>
            <w:tcBorders>
              <w:top w:val="nil"/>
            </w:tcBorders>
            <w:noWrap w:val="0"/>
            <w:vAlign w:val="center"/>
          </w:tcPr>
          <w:p w14:paraId="325B508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126" w:type="dxa"/>
            <w:tcBorders>
              <w:top w:val="nil"/>
            </w:tcBorders>
            <w:noWrap w:val="0"/>
            <w:vAlign w:val="center"/>
          </w:tcPr>
          <w:p w14:paraId="123F481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128BB69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14:paraId="19137DF5">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0C74B2F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15E88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22324C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843" w:type="dxa"/>
            <w:noWrap w:val="0"/>
            <w:vAlign w:val="center"/>
          </w:tcPr>
          <w:p w14:paraId="3F9457A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noWrap w:val="0"/>
            <w:vAlign w:val="center"/>
          </w:tcPr>
          <w:p w14:paraId="7E97E5D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410" w:type="dxa"/>
            <w:noWrap w:val="0"/>
            <w:vAlign w:val="center"/>
          </w:tcPr>
          <w:p w14:paraId="2628F78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2074337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560" w:type="dxa"/>
            <w:noWrap w:val="0"/>
            <w:vAlign w:val="center"/>
          </w:tcPr>
          <w:p w14:paraId="7B0FA0D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126" w:type="dxa"/>
            <w:noWrap w:val="0"/>
            <w:vAlign w:val="center"/>
          </w:tcPr>
          <w:p w14:paraId="3BE8A52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noWrap w:val="0"/>
            <w:vAlign w:val="center"/>
          </w:tcPr>
          <w:p w14:paraId="13BF466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20AAE80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398D601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7E4D1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EA758A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843" w:type="dxa"/>
            <w:tcBorders>
              <w:top w:val="nil"/>
            </w:tcBorders>
            <w:noWrap w:val="0"/>
            <w:vAlign w:val="center"/>
          </w:tcPr>
          <w:p w14:paraId="15C5E55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75BB616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410" w:type="dxa"/>
            <w:tcBorders>
              <w:top w:val="nil"/>
            </w:tcBorders>
            <w:noWrap w:val="0"/>
            <w:vAlign w:val="center"/>
          </w:tcPr>
          <w:p w14:paraId="5BA67CC5">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6E96F6F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560" w:type="dxa"/>
            <w:tcBorders>
              <w:top w:val="nil"/>
            </w:tcBorders>
            <w:noWrap w:val="0"/>
            <w:vAlign w:val="center"/>
          </w:tcPr>
          <w:p w14:paraId="1C3EDFC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126" w:type="dxa"/>
            <w:tcBorders>
              <w:top w:val="nil"/>
            </w:tcBorders>
            <w:noWrap w:val="0"/>
            <w:vAlign w:val="center"/>
          </w:tcPr>
          <w:p w14:paraId="3663269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170389F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14:paraId="568C7E35">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614C0D5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694F2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86DB37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843" w:type="dxa"/>
            <w:tcBorders>
              <w:top w:val="nil"/>
            </w:tcBorders>
            <w:noWrap w:val="0"/>
            <w:vAlign w:val="center"/>
          </w:tcPr>
          <w:p w14:paraId="7996DD2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76ABB86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410" w:type="dxa"/>
            <w:tcBorders>
              <w:top w:val="nil"/>
            </w:tcBorders>
            <w:noWrap w:val="0"/>
            <w:vAlign w:val="center"/>
          </w:tcPr>
          <w:p w14:paraId="147E1F2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3908065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560" w:type="dxa"/>
            <w:tcBorders>
              <w:top w:val="nil"/>
            </w:tcBorders>
            <w:noWrap w:val="0"/>
            <w:vAlign w:val="center"/>
          </w:tcPr>
          <w:p w14:paraId="2274064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126" w:type="dxa"/>
            <w:tcBorders>
              <w:top w:val="nil"/>
            </w:tcBorders>
            <w:noWrap w:val="0"/>
            <w:vAlign w:val="center"/>
          </w:tcPr>
          <w:p w14:paraId="5507D3C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4893805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14:paraId="61AD99B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0C561A9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7EC10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62FC05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843" w:type="dxa"/>
            <w:noWrap w:val="0"/>
            <w:vAlign w:val="center"/>
          </w:tcPr>
          <w:p w14:paraId="4F5FA3C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noWrap w:val="0"/>
            <w:vAlign w:val="center"/>
          </w:tcPr>
          <w:p w14:paraId="78145974">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410" w:type="dxa"/>
            <w:noWrap w:val="0"/>
            <w:vAlign w:val="center"/>
          </w:tcPr>
          <w:p w14:paraId="4AE0BA0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0F44035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560" w:type="dxa"/>
            <w:noWrap w:val="0"/>
            <w:vAlign w:val="center"/>
          </w:tcPr>
          <w:p w14:paraId="2D3F871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126" w:type="dxa"/>
            <w:noWrap w:val="0"/>
            <w:vAlign w:val="center"/>
          </w:tcPr>
          <w:p w14:paraId="086A03C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noWrap w:val="0"/>
            <w:vAlign w:val="center"/>
          </w:tcPr>
          <w:p w14:paraId="4DD7A05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4BDDF27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5F5BEB7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08505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E9D90A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843" w:type="dxa"/>
            <w:tcBorders>
              <w:top w:val="nil"/>
            </w:tcBorders>
            <w:noWrap w:val="0"/>
            <w:vAlign w:val="center"/>
          </w:tcPr>
          <w:p w14:paraId="18689CA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4CF1499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410" w:type="dxa"/>
            <w:tcBorders>
              <w:top w:val="nil"/>
            </w:tcBorders>
            <w:noWrap w:val="0"/>
            <w:vAlign w:val="center"/>
          </w:tcPr>
          <w:p w14:paraId="00742B1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4581A81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560" w:type="dxa"/>
            <w:tcBorders>
              <w:top w:val="nil"/>
            </w:tcBorders>
            <w:noWrap w:val="0"/>
            <w:vAlign w:val="center"/>
          </w:tcPr>
          <w:p w14:paraId="4E69374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126" w:type="dxa"/>
            <w:tcBorders>
              <w:top w:val="nil"/>
            </w:tcBorders>
            <w:noWrap w:val="0"/>
            <w:vAlign w:val="center"/>
          </w:tcPr>
          <w:p w14:paraId="565DDB0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tcBorders>
              <w:top w:val="nil"/>
            </w:tcBorders>
            <w:noWrap w:val="0"/>
            <w:vAlign w:val="center"/>
          </w:tcPr>
          <w:p w14:paraId="0B678B3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14:paraId="64307E4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20B60EE4">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2D215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77E6494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843" w:type="dxa"/>
            <w:noWrap w:val="0"/>
            <w:vAlign w:val="center"/>
          </w:tcPr>
          <w:p w14:paraId="47F2524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noWrap w:val="0"/>
            <w:vAlign w:val="center"/>
          </w:tcPr>
          <w:p w14:paraId="781694C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410" w:type="dxa"/>
            <w:noWrap w:val="0"/>
            <w:vAlign w:val="center"/>
          </w:tcPr>
          <w:p w14:paraId="6CEEFD65">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193EC9A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560" w:type="dxa"/>
            <w:noWrap w:val="0"/>
            <w:vAlign w:val="center"/>
          </w:tcPr>
          <w:p w14:paraId="2E7816F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2126" w:type="dxa"/>
            <w:noWrap w:val="0"/>
            <w:vAlign w:val="center"/>
          </w:tcPr>
          <w:p w14:paraId="75A465A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7" w:type="dxa"/>
            <w:noWrap w:val="0"/>
            <w:vAlign w:val="center"/>
          </w:tcPr>
          <w:p w14:paraId="2590724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6BF6540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51DCD5D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bl>
    <w:p w14:paraId="081D89E5">
      <w:pPr>
        <w:spacing w:line="440" w:lineRule="exact"/>
        <w:rPr>
          <w:rFonts w:hint="eastAsia" w:ascii="宋体" w:hAnsi="宋体" w:eastAsia="宋体" w:cs="宋体"/>
          <w:b/>
          <w:color w:val="000000"/>
          <w:sz w:val="21"/>
          <w:szCs w:val="21"/>
        </w:rPr>
        <w:sectPr>
          <w:pgSz w:w="16838" w:h="11906" w:orient="landscape"/>
          <w:pgMar w:top="1554" w:right="1418" w:bottom="1531" w:left="1418" w:header="851" w:footer="992" w:gutter="0"/>
          <w:pgNumType w:fmt="decimal"/>
          <w:cols w:space="720" w:num="1"/>
          <w:titlePg/>
          <w:docGrid w:type="linesAndChars" w:linePitch="312" w:charSpace="0"/>
        </w:sectPr>
      </w:pPr>
    </w:p>
    <w:p w14:paraId="590C95CC">
      <w:pPr>
        <w:spacing w:line="4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附</w:t>
      </w:r>
      <w:bookmarkStart w:id="1892" w:name="_Toc296891053"/>
      <w:bookmarkStart w:id="1893" w:name="_Toc296346726"/>
      <w:bookmarkStart w:id="1894" w:name="_Toc296347224"/>
      <w:bookmarkStart w:id="1895" w:name="_Toc296891265"/>
      <w:bookmarkStart w:id="1896" w:name="_Toc267261692"/>
      <w:bookmarkStart w:id="1897" w:name="_Toc296944564"/>
      <w:bookmarkStart w:id="1898" w:name="_Toc296503225"/>
      <w:r>
        <w:rPr>
          <w:rFonts w:hint="eastAsia" w:ascii="宋体" w:hAnsi="宋体" w:eastAsia="宋体" w:cs="宋体"/>
          <w:color w:val="000000"/>
          <w:sz w:val="21"/>
          <w:szCs w:val="21"/>
        </w:rPr>
        <w:t>件2：</w:t>
      </w:r>
    </w:p>
    <w:bookmarkEnd w:id="1892"/>
    <w:bookmarkEnd w:id="1893"/>
    <w:bookmarkEnd w:id="1894"/>
    <w:bookmarkEnd w:id="1895"/>
    <w:bookmarkEnd w:id="1896"/>
    <w:bookmarkEnd w:id="1897"/>
    <w:bookmarkEnd w:id="1898"/>
    <w:p w14:paraId="554536C4">
      <w:pPr>
        <w:spacing w:before="156" w:beforeLines="50" w:after="156" w:afterLines="50"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发包人供应材料设备一览表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77B23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276307C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序号</w:t>
            </w:r>
          </w:p>
        </w:tc>
        <w:tc>
          <w:tcPr>
            <w:tcW w:w="1276" w:type="dxa"/>
            <w:tcBorders>
              <w:top w:val="single" w:color="auto" w:sz="12" w:space="0"/>
              <w:bottom w:val="double" w:color="auto" w:sz="6" w:space="0"/>
            </w:tcBorders>
            <w:noWrap w:val="0"/>
            <w:vAlign w:val="center"/>
          </w:tcPr>
          <w:p w14:paraId="2F97F26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材料、设备品种</w:t>
            </w:r>
          </w:p>
        </w:tc>
        <w:tc>
          <w:tcPr>
            <w:tcW w:w="1418" w:type="dxa"/>
            <w:tcBorders>
              <w:top w:val="single" w:color="auto" w:sz="12" w:space="0"/>
              <w:bottom w:val="double" w:color="auto" w:sz="6" w:space="0"/>
            </w:tcBorders>
            <w:noWrap w:val="0"/>
            <w:vAlign w:val="center"/>
          </w:tcPr>
          <w:p w14:paraId="5BBBAC5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规格型号</w:t>
            </w:r>
          </w:p>
        </w:tc>
        <w:tc>
          <w:tcPr>
            <w:tcW w:w="940" w:type="dxa"/>
            <w:tcBorders>
              <w:top w:val="single" w:color="auto" w:sz="12" w:space="0"/>
              <w:bottom w:val="double" w:color="auto" w:sz="6" w:space="0"/>
            </w:tcBorders>
            <w:noWrap w:val="0"/>
            <w:vAlign w:val="center"/>
          </w:tcPr>
          <w:p w14:paraId="6888F665">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单位</w:t>
            </w:r>
          </w:p>
        </w:tc>
        <w:tc>
          <w:tcPr>
            <w:tcW w:w="851" w:type="dxa"/>
            <w:tcBorders>
              <w:top w:val="single" w:color="auto" w:sz="12" w:space="0"/>
              <w:bottom w:val="double" w:color="auto" w:sz="6" w:space="0"/>
            </w:tcBorders>
            <w:noWrap w:val="0"/>
            <w:vAlign w:val="center"/>
          </w:tcPr>
          <w:p w14:paraId="09E77B0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数量</w:t>
            </w:r>
          </w:p>
        </w:tc>
        <w:tc>
          <w:tcPr>
            <w:tcW w:w="1044" w:type="dxa"/>
            <w:tcBorders>
              <w:top w:val="single" w:color="auto" w:sz="12" w:space="0"/>
              <w:bottom w:val="double" w:color="auto" w:sz="6" w:space="0"/>
            </w:tcBorders>
            <w:noWrap w:val="0"/>
            <w:vAlign w:val="center"/>
          </w:tcPr>
          <w:p w14:paraId="1E8EFF8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单价（元）</w:t>
            </w:r>
          </w:p>
        </w:tc>
        <w:tc>
          <w:tcPr>
            <w:tcW w:w="992" w:type="dxa"/>
            <w:tcBorders>
              <w:top w:val="single" w:color="auto" w:sz="12" w:space="0"/>
              <w:bottom w:val="double" w:color="auto" w:sz="6" w:space="0"/>
            </w:tcBorders>
            <w:noWrap w:val="0"/>
            <w:vAlign w:val="center"/>
          </w:tcPr>
          <w:p w14:paraId="38FE2A1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质量等级</w:t>
            </w:r>
          </w:p>
        </w:tc>
        <w:tc>
          <w:tcPr>
            <w:tcW w:w="851" w:type="dxa"/>
            <w:tcBorders>
              <w:top w:val="single" w:color="auto" w:sz="12" w:space="0"/>
              <w:bottom w:val="double" w:color="auto" w:sz="6" w:space="0"/>
            </w:tcBorders>
            <w:noWrap w:val="0"/>
            <w:vAlign w:val="center"/>
          </w:tcPr>
          <w:p w14:paraId="14BE2F4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供应时间</w:t>
            </w:r>
          </w:p>
        </w:tc>
        <w:tc>
          <w:tcPr>
            <w:tcW w:w="1487" w:type="dxa"/>
            <w:tcBorders>
              <w:top w:val="single" w:color="auto" w:sz="12" w:space="0"/>
              <w:bottom w:val="double" w:color="auto" w:sz="6" w:space="0"/>
            </w:tcBorders>
            <w:noWrap w:val="0"/>
            <w:vAlign w:val="center"/>
          </w:tcPr>
          <w:p w14:paraId="340A718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送达地点</w:t>
            </w:r>
          </w:p>
        </w:tc>
        <w:tc>
          <w:tcPr>
            <w:tcW w:w="992" w:type="dxa"/>
            <w:tcBorders>
              <w:top w:val="single" w:color="auto" w:sz="12" w:space="0"/>
              <w:bottom w:val="double" w:color="auto" w:sz="6" w:space="0"/>
            </w:tcBorders>
            <w:noWrap w:val="0"/>
            <w:vAlign w:val="center"/>
          </w:tcPr>
          <w:p w14:paraId="4267D67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备注</w:t>
            </w:r>
          </w:p>
        </w:tc>
      </w:tr>
      <w:tr w14:paraId="6E18E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378926E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tcBorders>
              <w:top w:val="double" w:color="auto" w:sz="6" w:space="0"/>
              <w:bottom w:val="single" w:color="auto" w:sz="6" w:space="0"/>
            </w:tcBorders>
            <w:noWrap w:val="0"/>
            <w:vAlign w:val="center"/>
          </w:tcPr>
          <w:p w14:paraId="58E3E51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tcBorders>
              <w:top w:val="double" w:color="auto" w:sz="6" w:space="0"/>
              <w:bottom w:val="single" w:color="auto" w:sz="6" w:space="0"/>
            </w:tcBorders>
            <w:noWrap w:val="0"/>
            <w:vAlign w:val="center"/>
          </w:tcPr>
          <w:p w14:paraId="114442B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40" w:type="dxa"/>
            <w:tcBorders>
              <w:top w:val="double" w:color="auto" w:sz="6" w:space="0"/>
              <w:bottom w:val="single" w:color="auto" w:sz="6" w:space="0"/>
            </w:tcBorders>
            <w:noWrap w:val="0"/>
            <w:vAlign w:val="center"/>
          </w:tcPr>
          <w:p w14:paraId="4EB5BE6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tcBorders>
              <w:top w:val="double" w:color="auto" w:sz="6" w:space="0"/>
              <w:bottom w:val="single" w:color="auto" w:sz="6" w:space="0"/>
            </w:tcBorders>
            <w:noWrap w:val="0"/>
            <w:vAlign w:val="center"/>
          </w:tcPr>
          <w:p w14:paraId="3269F66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044" w:type="dxa"/>
            <w:tcBorders>
              <w:top w:val="double" w:color="auto" w:sz="6" w:space="0"/>
              <w:bottom w:val="single" w:color="auto" w:sz="6" w:space="0"/>
            </w:tcBorders>
            <w:noWrap w:val="0"/>
            <w:vAlign w:val="center"/>
          </w:tcPr>
          <w:p w14:paraId="716A3DC4">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tcBorders>
              <w:top w:val="double" w:color="auto" w:sz="6" w:space="0"/>
              <w:bottom w:val="single" w:color="auto" w:sz="6" w:space="0"/>
            </w:tcBorders>
            <w:noWrap w:val="0"/>
            <w:vAlign w:val="center"/>
          </w:tcPr>
          <w:p w14:paraId="5EDF32D4">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tcBorders>
              <w:top w:val="double" w:color="auto" w:sz="6" w:space="0"/>
              <w:bottom w:val="single" w:color="auto" w:sz="6" w:space="0"/>
            </w:tcBorders>
            <w:noWrap w:val="0"/>
            <w:vAlign w:val="center"/>
          </w:tcPr>
          <w:p w14:paraId="1DF728C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87" w:type="dxa"/>
            <w:tcBorders>
              <w:top w:val="double" w:color="auto" w:sz="6" w:space="0"/>
              <w:bottom w:val="single" w:color="auto" w:sz="6" w:space="0"/>
            </w:tcBorders>
            <w:noWrap w:val="0"/>
            <w:vAlign w:val="center"/>
          </w:tcPr>
          <w:p w14:paraId="292AB51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tcBorders>
              <w:top w:val="double" w:color="auto" w:sz="6" w:space="0"/>
              <w:bottom w:val="single" w:color="auto" w:sz="6" w:space="0"/>
            </w:tcBorders>
            <w:noWrap w:val="0"/>
            <w:vAlign w:val="center"/>
          </w:tcPr>
          <w:p w14:paraId="12D11C1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7131E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27478F1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tcBorders>
              <w:top w:val="nil"/>
            </w:tcBorders>
            <w:noWrap w:val="0"/>
            <w:vAlign w:val="center"/>
          </w:tcPr>
          <w:p w14:paraId="565AFD0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tcBorders>
              <w:top w:val="nil"/>
            </w:tcBorders>
            <w:noWrap w:val="0"/>
            <w:vAlign w:val="center"/>
          </w:tcPr>
          <w:p w14:paraId="4E891EF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40" w:type="dxa"/>
            <w:tcBorders>
              <w:top w:val="nil"/>
            </w:tcBorders>
            <w:noWrap w:val="0"/>
            <w:vAlign w:val="center"/>
          </w:tcPr>
          <w:p w14:paraId="36CEB92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14:paraId="6C74905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044" w:type="dxa"/>
            <w:tcBorders>
              <w:top w:val="nil"/>
            </w:tcBorders>
            <w:noWrap w:val="0"/>
            <w:vAlign w:val="center"/>
          </w:tcPr>
          <w:p w14:paraId="5D40DE4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tcBorders>
              <w:top w:val="nil"/>
            </w:tcBorders>
            <w:noWrap w:val="0"/>
            <w:vAlign w:val="center"/>
          </w:tcPr>
          <w:p w14:paraId="7DFAFB5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tcBorders>
              <w:top w:val="nil"/>
            </w:tcBorders>
            <w:noWrap w:val="0"/>
            <w:vAlign w:val="center"/>
          </w:tcPr>
          <w:p w14:paraId="38E2F17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87" w:type="dxa"/>
            <w:tcBorders>
              <w:top w:val="nil"/>
            </w:tcBorders>
            <w:noWrap w:val="0"/>
            <w:vAlign w:val="center"/>
          </w:tcPr>
          <w:p w14:paraId="2277915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tcBorders>
              <w:top w:val="nil"/>
            </w:tcBorders>
            <w:noWrap w:val="0"/>
            <w:vAlign w:val="center"/>
          </w:tcPr>
          <w:p w14:paraId="0925B5C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0FC68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EE3D10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63ECBC4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3105316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40" w:type="dxa"/>
            <w:noWrap w:val="0"/>
            <w:vAlign w:val="center"/>
          </w:tcPr>
          <w:p w14:paraId="096B168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311D408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044" w:type="dxa"/>
            <w:noWrap w:val="0"/>
            <w:vAlign w:val="center"/>
          </w:tcPr>
          <w:p w14:paraId="01FF8BC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38BE736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5FFA7CD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87" w:type="dxa"/>
            <w:noWrap w:val="0"/>
            <w:vAlign w:val="center"/>
          </w:tcPr>
          <w:p w14:paraId="2E5EA61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7FDC2EB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7D2F6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04E3CB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7BDCE7A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143CCBF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40" w:type="dxa"/>
            <w:noWrap w:val="0"/>
            <w:vAlign w:val="center"/>
          </w:tcPr>
          <w:p w14:paraId="750725E4">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00D1B70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044" w:type="dxa"/>
            <w:noWrap w:val="0"/>
            <w:vAlign w:val="center"/>
          </w:tcPr>
          <w:p w14:paraId="7527FEB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7BBCDBD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636AEDF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87" w:type="dxa"/>
            <w:noWrap w:val="0"/>
            <w:vAlign w:val="center"/>
          </w:tcPr>
          <w:p w14:paraId="74ED2DF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4583F01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1F3ED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D14539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5C7C6BA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5D243DD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40" w:type="dxa"/>
            <w:noWrap w:val="0"/>
            <w:vAlign w:val="center"/>
          </w:tcPr>
          <w:p w14:paraId="3B036E3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6EBA78D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044" w:type="dxa"/>
            <w:noWrap w:val="0"/>
            <w:vAlign w:val="center"/>
          </w:tcPr>
          <w:p w14:paraId="1B683E2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75921BA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1D39B8D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87" w:type="dxa"/>
            <w:noWrap w:val="0"/>
            <w:vAlign w:val="center"/>
          </w:tcPr>
          <w:p w14:paraId="0837DFA4">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4463A24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3B218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03AEA9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520363A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643F21E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40" w:type="dxa"/>
            <w:noWrap w:val="0"/>
            <w:vAlign w:val="center"/>
          </w:tcPr>
          <w:p w14:paraId="139175D4">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0866855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044" w:type="dxa"/>
            <w:noWrap w:val="0"/>
            <w:vAlign w:val="center"/>
          </w:tcPr>
          <w:p w14:paraId="6F178D7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5CA7CEE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2F953E2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87" w:type="dxa"/>
            <w:noWrap w:val="0"/>
            <w:vAlign w:val="center"/>
          </w:tcPr>
          <w:p w14:paraId="005D636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61B9FD3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20024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0C064D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0F66800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154C0254">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40" w:type="dxa"/>
            <w:noWrap w:val="0"/>
            <w:vAlign w:val="center"/>
          </w:tcPr>
          <w:p w14:paraId="7492B16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1C50085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044" w:type="dxa"/>
            <w:noWrap w:val="0"/>
            <w:vAlign w:val="center"/>
          </w:tcPr>
          <w:p w14:paraId="56E6C5B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0D0693D4">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5F9D930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87" w:type="dxa"/>
            <w:noWrap w:val="0"/>
            <w:vAlign w:val="center"/>
          </w:tcPr>
          <w:p w14:paraId="41A51EC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6986272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6D0D4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1F9FDA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7C486FA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6F95AB1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40" w:type="dxa"/>
            <w:noWrap w:val="0"/>
            <w:vAlign w:val="center"/>
          </w:tcPr>
          <w:p w14:paraId="68E2D3B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2F1C4BC5">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044" w:type="dxa"/>
            <w:noWrap w:val="0"/>
            <w:vAlign w:val="center"/>
          </w:tcPr>
          <w:p w14:paraId="0E8723A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78F6EC2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33FEF97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87" w:type="dxa"/>
            <w:noWrap w:val="0"/>
            <w:vAlign w:val="center"/>
          </w:tcPr>
          <w:p w14:paraId="1FEBF0F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3C276A1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7772A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2094F3F">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center"/>
          </w:tcPr>
          <w:p w14:paraId="7600F4B1">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18" w:type="dxa"/>
            <w:noWrap w:val="0"/>
            <w:vAlign w:val="center"/>
          </w:tcPr>
          <w:p w14:paraId="608CBE5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40" w:type="dxa"/>
            <w:noWrap w:val="0"/>
            <w:vAlign w:val="center"/>
          </w:tcPr>
          <w:p w14:paraId="01D57CF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52262717">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044" w:type="dxa"/>
            <w:noWrap w:val="0"/>
            <w:vAlign w:val="center"/>
          </w:tcPr>
          <w:p w14:paraId="11D7BC4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50E5BEBD">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25D51D8A">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87" w:type="dxa"/>
            <w:noWrap w:val="0"/>
            <w:vAlign w:val="center"/>
          </w:tcPr>
          <w:p w14:paraId="6B997C05">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03FAFA4D">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2C517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03307D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7214F24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4240D89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40" w:type="dxa"/>
            <w:noWrap w:val="0"/>
            <w:vAlign w:val="center"/>
          </w:tcPr>
          <w:p w14:paraId="6A51158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4769D3C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044" w:type="dxa"/>
            <w:noWrap w:val="0"/>
            <w:vAlign w:val="center"/>
          </w:tcPr>
          <w:p w14:paraId="23BBA96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02849BA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851" w:type="dxa"/>
            <w:noWrap w:val="0"/>
            <w:vAlign w:val="center"/>
          </w:tcPr>
          <w:p w14:paraId="1DF8FD7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87" w:type="dxa"/>
            <w:noWrap w:val="0"/>
            <w:vAlign w:val="center"/>
          </w:tcPr>
          <w:p w14:paraId="3A0C9164">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992" w:type="dxa"/>
            <w:noWrap w:val="0"/>
            <w:vAlign w:val="center"/>
          </w:tcPr>
          <w:p w14:paraId="24FEC3A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17719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2CC048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center"/>
          </w:tcPr>
          <w:p w14:paraId="5A40AE1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18" w:type="dxa"/>
            <w:noWrap w:val="0"/>
            <w:vAlign w:val="center"/>
          </w:tcPr>
          <w:p w14:paraId="2650ECB5">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40" w:type="dxa"/>
            <w:noWrap w:val="0"/>
            <w:vAlign w:val="center"/>
          </w:tcPr>
          <w:p w14:paraId="7CBF135A">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7610F10A">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044" w:type="dxa"/>
            <w:noWrap w:val="0"/>
            <w:vAlign w:val="center"/>
          </w:tcPr>
          <w:p w14:paraId="55DE47B9">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664D92E1">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6183D2BF">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87" w:type="dxa"/>
            <w:noWrap w:val="0"/>
            <w:vAlign w:val="center"/>
          </w:tcPr>
          <w:p w14:paraId="54ACDB3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7CA413C1">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7558D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80D7732">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center"/>
          </w:tcPr>
          <w:p w14:paraId="2F31544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18" w:type="dxa"/>
            <w:noWrap w:val="0"/>
            <w:vAlign w:val="center"/>
          </w:tcPr>
          <w:p w14:paraId="284AA92E">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40" w:type="dxa"/>
            <w:noWrap w:val="0"/>
            <w:vAlign w:val="center"/>
          </w:tcPr>
          <w:p w14:paraId="469C57C1">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5D08C466">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044" w:type="dxa"/>
            <w:noWrap w:val="0"/>
            <w:vAlign w:val="center"/>
          </w:tcPr>
          <w:p w14:paraId="220FAB72">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06E31E6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371105E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87" w:type="dxa"/>
            <w:noWrap w:val="0"/>
            <w:vAlign w:val="center"/>
          </w:tcPr>
          <w:p w14:paraId="324A053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4F6DA3F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56052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7FE4E1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center"/>
          </w:tcPr>
          <w:p w14:paraId="1D60A47A">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18" w:type="dxa"/>
            <w:noWrap w:val="0"/>
            <w:vAlign w:val="center"/>
          </w:tcPr>
          <w:p w14:paraId="1361CD81">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40" w:type="dxa"/>
            <w:noWrap w:val="0"/>
            <w:vAlign w:val="center"/>
          </w:tcPr>
          <w:p w14:paraId="0EB0868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3DCF7AFC">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044" w:type="dxa"/>
            <w:noWrap w:val="0"/>
            <w:vAlign w:val="center"/>
          </w:tcPr>
          <w:p w14:paraId="02B754D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2E1453C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2526E0D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87" w:type="dxa"/>
            <w:noWrap w:val="0"/>
            <w:vAlign w:val="center"/>
          </w:tcPr>
          <w:p w14:paraId="244AF20D">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4F26A4DF">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1F920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494F3D6">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center"/>
          </w:tcPr>
          <w:p w14:paraId="1D6A2B8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18" w:type="dxa"/>
            <w:noWrap w:val="0"/>
            <w:vAlign w:val="center"/>
          </w:tcPr>
          <w:p w14:paraId="4A18CD7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40" w:type="dxa"/>
            <w:noWrap w:val="0"/>
            <w:vAlign w:val="center"/>
          </w:tcPr>
          <w:p w14:paraId="478F717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4E7E118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044" w:type="dxa"/>
            <w:noWrap w:val="0"/>
            <w:vAlign w:val="center"/>
          </w:tcPr>
          <w:p w14:paraId="543D29D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0FB8B93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5CF6AFDA">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87" w:type="dxa"/>
            <w:noWrap w:val="0"/>
            <w:vAlign w:val="center"/>
          </w:tcPr>
          <w:p w14:paraId="692D002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64FA4C2F">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53CFA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7CEE4E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center"/>
          </w:tcPr>
          <w:p w14:paraId="1359C9E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18" w:type="dxa"/>
            <w:noWrap w:val="0"/>
            <w:vAlign w:val="center"/>
          </w:tcPr>
          <w:p w14:paraId="07D3AAC2">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40" w:type="dxa"/>
            <w:noWrap w:val="0"/>
            <w:vAlign w:val="center"/>
          </w:tcPr>
          <w:p w14:paraId="1AAEECA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3F582717">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044" w:type="dxa"/>
            <w:noWrap w:val="0"/>
            <w:vAlign w:val="center"/>
          </w:tcPr>
          <w:p w14:paraId="0E28513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245922EC">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7A5DE9C5">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87" w:type="dxa"/>
            <w:noWrap w:val="0"/>
            <w:vAlign w:val="center"/>
          </w:tcPr>
          <w:p w14:paraId="42B39FD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3A8A747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4D6983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0C8729F">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center"/>
          </w:tcPr>
          <w:p w14:paraId="7C4B3A5F">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18" w:type="dxa"/>
            <w:noWrap w:val="0"/>
            <w:vAlign w:val="center"/>
          </w:tcPr>
          <w:p w14:paraId="39B5996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40" w:type="dxa"/>
            <w:noWrap w:val="0"/>
            <w:vAlign w:val="center"/>
          </w:tcPr>
          <w:p w14:paraId="10099A85">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5822CF7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044" w:type="dxa"/>
            <w:noWrap w:val="0"/>
            <w:vAlign w:val="center"/>
          </w:tcPr>
          <w:p w14:paraId="3CB16786">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5D2BC651">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0B0F2E79">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87" w:type="dxa"/>
            <w:noWrap w:val="0"/>
            <w:vAlign w:val="center"/>
          </w:tcPr>
          <w:p w14:paraId="03522CD2">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06E5B7B5">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33D93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E67ED5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center"/>
          </w:tcPr>
          <w:p w14:paraId="07FC7DA9">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18" w:type="dxa"/>
            <w:noWrap w:val="0"/>
            <w:vAlign w:val="center"/>
          </w:tcPr>
          <w:p w14:paraId="0C3D7956">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40" w:type="dxa"/>
            <w:noWrap w:val="0"/>
            <w:vAlign w:val="center"/>
          </w:tcPr>
          <w:p w14:paraId="38B930DF">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67E3D01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044" w:type="dxa"/>
            <w:noWrap w:val="0"/>
            <w:vAlign w:val="center"/>
          </w:tcPr>
          <w:p w14:paraId="4A96927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160EA04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5220DF3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87" w:type="dxa"/>
            <w:noWrap w:val="0"/>
            <w:vAlign w:val="center"/>
          </w:tcPr>
          <w:p w14:paraId="1F859CF7">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0C690DB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54B01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916E2D7">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center"/>
          </w:tcPr>
          <w:p w14:paraId="21034D2F">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18" w:type="dxa"/>
            <w:noWrap w:val="0"/>
            <w:vAlign w:val="center"/>
          </w:tcPr>
          <w:p w14:paraId="3EA85B67">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40" w:type="dxa"/>
            <w:noWrap w:val="0"/>
            <w:vAlign w:val="center"/>
          </w:tcPr>
          <w:p w14:paraId="4B60D727">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69071F0C">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044" w:type="dxa"/>
            <w:noWrap w:val="0"/>
            <w:vAlign w:val="center"/>
          </w:tcPr>
          <w:p w14:paraId="3B546FB9">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53A0B6AC">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851" w:type="dxa"/>
            <w:noWrap w:val="0"/>
            <w:vAlign w:val="center"/>
          </w:tcPr>
          <w:p w14:paraId="15DCA29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87" w:type="dxa"/>
            <w:noWrap w:val="0"/>
            <w:vAlign w:val="center"/>
          </w:tcPr>
          <w:p w14:paraId="39E7996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992" w:type="dxa"/>
            <w:noWrap w:val="0"/>
            <w:vAlign w:val="center"/>
          </w:tcPr>
          <w:p w14:paraId="0D0941E6">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bl>
    <w:p w14:paraId="01209F2B">
      <w:pPr>
        <w:spacing w:line="440" w:lineRule="exact"/>
        <w:rPr>
          <w:rFonts w:hint="eastAsia" w:ascii="宋体" w:hAnsi="宋体" w:eastAsia="宋体" w:cs="宋体"/>
          <w:color w:val="000000"/>
          <w:sz w:val="21"/>
          <w:szCs w:val="21"/>
        </w:rPr>
      </w:pPr>
    </w:p>
    <w:p w14:paraId="398FE60A">
      <w:pP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62CB3D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附</w:t>
      </w:r>
      <w:bookmarkStart w:id="1899" w:name="_Toc296346727"/>
      <w:bookmarkStart w:id="1900" w:name="_Toc296891266"/>
      <w:bookmarkStart w:id="1901" w:name="_Toc267261693"/>
      <w:bookmarkStart w:id="1902" w:name="_Toc296503226"/>
      <w:bookmarkStart w:id="1903" w:name="_Toc296891054"/>
      <w:bookmarkStart w:id="1904" w:name="_Toc296944565"/>
      <w:bookmarkStart w:id="1905" w:name="_Toc296347225"/>
      <w:r>
        <w:rPr>
          <w:rFonts w:hint="eastAsia" w:ascii="宋体" w:hAnsi="宋体" w:eastAsia="宋体" w:cs="宋体"/>
          <w:color w:val="000000"/>
          <w:sz w:val="21"/>
          <w:szCs w:val="21"/>
        </w:rPr>
        <w:t>件3：</w:t>
      </w:r>
      <w:bookmarkEnd w:id="1899"/>
      <w:bookmarkEnd w:id="1900"/>
      <w:bookmarkEnd w:id="1901"/>
      <w:bookmarkEnd w:id="1902"/>
      <w:bookmarkEnd w:id="1903"/>
      <w:bookmarkEnd w:id="1904"/>
      <w:bookmarkEnd w:id="1905"/>
    </w:p>
    <w:p w14:paraId="22A1067B">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工程质量保修书</w:t>
      </w:r>
    </w:p>
    <w:p w14:paraId="6CEBB0F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发包人（全称）：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6B584F4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承包人（全称）：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1F1AB96C">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sz w:val="21"/>
          <w:szCs w:val="21"/>
        </w:rPr>
      </w:pPr>
    </w:p>
    <w:p w14:paraId="4B80BF2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发包人和承包人根据《中华人民共和国建筑法》和《建设工程质量管理条例》，经协商一致就</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（工程全称）签订工程质量保修书。</w:t>
      </w:r>
    </w:p>
    <w:p w14:paraId="571C04D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一、工程质量保修范围和内容</w:t>
      </w:r>
    </w:p>
    <w:p w14:paraId="61DC4F2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承包人在质量保修期内，按照有关法律规定和合同约定，承担工程质量保修责任。</w:t>
      </w:r>
    </w:p>
    <w:p w14:paraId="04FECB6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6656FD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2C5E6F8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二、质量保修期</w:t>
      </w:r>
    </w:p>
    <w:p w14:paraId="3FBE552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根据《建设工程质量管理条例》及有关规定，工程的质量保修期如下：</w:t>
      </w:r>
    </w:p>
    <w:p w14:paraId="0222860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color w:val="000000"/>
          <w:sz w:val="21"/>
          <w:szCs w:val="21"/>
        </w:rPr>
        <w:t>．</w:t>
      </w:r>
      <w:r>
        <w:rPr>
          <w:rFonts w:hint="eastAsia" w:ascii="宋体" w:hAnsi="宋体" w:eastAsia="宋体" w:cs="宋体"/>
          <w:sz w:val="21"/>
          <w:szCs w:val="21"/>
        </w:rPr>
        <w:t>地基基础工程和主体结构工程为设计文件规定的工程合理使用年限；</w:t>
      </w:r>
    </w:p>
    <w:p w14:paraId="3FDF056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sz w:val="21"/>
          <w:szCs w:val="21"/>
        </w:rPr>
        <w:t>．</w:t>
      </w:r>
      <w:r>
        <w:rPr>
          <w:rFonts w:hint="eastAsia" w:ascii="宋体" w:hAnsi="宋体" w:eastAsia="宋体" w:cs="宋体"/>
          <w:color w:val="000000"/>
          <w:sz w:val="21"/>
          <w:szCs w:val="21"/>
        </w:rPr>
        <w:t>屋面防水工程、有防水要求的卫生间、房间和外墙面的防渗为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年；</w:t>
      </w:r>
    </w:p>
    <w:p w14:paraId="7972A75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sz w:val="21"/>
          <w:szCs w:val="21"/>
        </w:rPr>
        <w:t>．</w:t>
      </w:r>
      <w:r>
        <w:rPr>
          <w:rFonts w:hint="eastAsia" w:ascii="宋体" w:hAnsi="宋体" w:eastAsia="宋体" w:cs="宋体"/>
          <w:color w:val="000000"/>
          <w:sz w:val="21"/>
          <w:szCs w:val="21"/>
        </w:rPr>
        <w:t>装修工程为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年；</w:t>
      </w:r>
    </w:p>
    <w:p w14:paraId="6122461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sz w:val="21"/>
          <w:szCs w:val="21"/>
        </w:rPr>
        <w:t>．</w:t>
      </w:r>
      <w:r>
        <w:rPr>
          <w:rFonts w:hint="eastAsia" w:ascii="宋体" w:hAnsi="宋体" w:eastAsia="宋体" w:cs="宋体"/>
          <w:color w:val="000000"/>
          <w:sz w:val="21"/>
          <w:szCs w:val="21"/>
        </w:rPr>
        <w:t>电气管线、给排水管道、设备安装工程为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年；</w:t>
      </w:r>
    </w:p>
    <w:p w14:paraId="2D76F21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sz w:val="21"/>
          <w:szCs w:val="21"/>
        </w:rPr>
        <w:t>．</w:t>
      </w:r>
      <w:r>
        <w:rPr>
          <w:rFonts w:hint="eastAsia" w:ascii="宋体" w:hAnsi="宋体" w:eastAsia="宋体" w:cs="宋体"/>
          <w:color w:val="000000"/>
          <w:sz w:val="21"/>
          <w:szCs w:val="21"/>
        </w:rPr>
        <w:t>供热与供冷系统为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个采暖期、供冷期；</w:t>
      </w:r>
    </w:p>
    <w:p w14:paraId="1019727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w:t>
      </w:r>
      <w:r>
        <w:rPr>
          <w:rFonts w:hint="eastAsia" w:ascii="宋体" w:hAnsi="宋体" w:eastAsia="宋体" w:cs="宋体"/>
          <w:sz w:val="21"/>
          <w:szCs w:val="21"/>
        </w:rPr>
        <w:t>．</w:t>
      </w:r>
      <w:r>
        <w:rPr>
          <w:rFonts w:hint="eastAsia" w:ascii="宋体" w:hAnsi="宋体" w:eastAsia="宋体" w:cs="宋体"/>
          <w:color w:val="000000"/>
          <w:sz w:val="21"/>
          <w:szCs w:val="21"/>
        </w:rPr>
        <w:t>住宅小区内的给排水设施、道路等配套工程为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年；</w:t>
      </w:r>
    </w:p>
    <w:p w14:paraId="14B3D98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w:t>
      </w:r>
      <w:r>
        <w:rPr>
          <w:rFonts w:hint="eastAsia" w:ascii="宋体" w:hAnsi="宋体" w:eastAsia="宋体" w:cs="宋体"/>
          <w:sz w:val="21"/>
          <w:szCs w:val="21"/>
        </w:rPr>
        <w:t>．</w:t>
      </w:r>
      <w:r>
        <w:rPr>
          <w:rFonts w:hint="eastAsia" w:ascii="宋体" w:hAnsi="宋体" w:eastAsia="宋体" w:cs="宋体"/>
          <w:color w:val="000000"/>
          <w:sz w:val="21"/>
          <w:szCs w:val="21"/>
        </w:rPr>
        <w:t>其他项目保修期限约定如下：</w:t>
      </w:r>
    </w:p>
    <w:p w14:paraId="7ED7952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6C87CAC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质量保修期自工程竣工验收合格之日起计算。</w:t>
      </w:r>
    </w:p>
    <w:p w14:paraId="4FE2087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三、缺陷责任期</w:t>
      </w:r>
    </w:p>
    <w:p w14:paraId="7094E95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工程缺陷责任期为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个月，缺陷责任期自工程通过竣工验收之日起计算。单位工程先于全部工程进行验收，单位工程缺陷责任期自单位工程验收合格之日起算。</w:t>
      </w:r>
    </w:p>
    <w:p w14:paraId="420E5D4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缺陷责任期终止后，发包人应退还剩余的质量保证金。</w:t>
      </w:r>
    </w:p>
    <w:p w14:paraId="6706590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四、质量保修责任</w:t>
      </w:r>
    </w:p>
    <w:p w14:paraId="3AC0CB63">
      <w:pPr>
        <w:keepNext w:val="0"/>
        <w:keepLines w:val="0"/>
        <w:pageBreakBefore w:val="0"/>
        <w:widowControl w:val="0"/>
        <w:kinsoku/>
        <w:wordWrap/>
        <w:overflowPunct/>
        <w:topLinePunct w:val="0"/>
        <w:autoSpaceDE/>
        <w:autoSpaceDN/>
        <w:bidi w:val="0"/>
        <w:adjustRightInd/>
        <w:snapToGrid/>
        <w:spacing w:line="360" w:lineRule="auto"/>
        <w:ind w:left="0" w:leftChars="0" w:firstLine="430" w:firstLineChars="205"/>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sz w:val="21"/>
          <w:szCs w:val="21"/>
        </w:rPr>
        <w:t>．</w:t>
      </w:r>
      <w:r>
        <w:rPr>
          <w:rFonts w:hint="eastAsia" w:ascii="宋体" w:hAnsi="宋体" w:eastAsia="宋体" w:cs="宋体"/>
          <w:color w:val="000000"/>
          <w:sz w:val="21"/>
          <w:szCs w:val="21"/>
        </w:rPr>
        <w:t>属于保修范围、内容的项目，承包人应当在接到保修通知之日起7天内派人保修。承包人不在约定期限内派人保修的，发包人可以委托他人修理。</w:t>
      </w:r>
    </w:p>
    <w:p w14:paraId="0C2BE8B8">
      <w:pPr>
        <w:keepNext w:val="0"/>
        <w:keepLines w:val="0"/>
        <w:pageBreakBefore w:val="0"/>
        <w:widowControl w:val="0"/>
        <w:kinsoku/>
        <w:wordWrap/>
        <w:overflowPunct/>
        <w:topLinePunct w:val="0"/>
        <w:autoSpaceDE/>
        <w:autoSpaceDN/>
        <w:bidi w:val="0"/>
        <w:adjustRightInd/>
        <w:snapToGrid/>
        <w:spacing w:line="360" w:lineRule="auto"/>
        <w:ind w:left="0" w:leftChars="0" w:firstLine="430" w:firstLineChars="205"/>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sz w:val="21"/>
          <w:szCs w:val="21"/>
        </w:rPr>
        <w:t>．</w:t>
      </w:r>
      <w:r>
        <w:rPr>
          <w:rFonts w:hint="eastAsia" w:ascii="宋体" w:hAnsi="宋体" w:eastAsia="宋体" w:cs="宋体"/>
          <w:color w:val="000000"/>
          <w:sz w:val="21"/>
          <w:szCs w:val="21"/>
        </w:rPr>
        <w:t>发生紧急事故需抢修的，承包人在接到事故通知后，应当立即到达事故现场抢修。</w:t>
      </w:r>
    </w:p>
    <w:p w14:paraId="11354C78">
      <w:pPr>
        <w:keepNext w:val="0"/>
        <w:keepLines w:val="0"/>
        <w:pageBreakBefore w:val="0"/>
        <w:widowControl w:val="0"/>
        <w:kinsoku/>
        <w:wordWrap/>
        <w:overflowPunct/>
        <w:topLinePunct w:val="0"/>
        <w:autoSpaceDE/>
        <w:autoSpaceDN/>
        <w:bidi w:val="0"/>
        <w:adjustRightInd/>
        <w:snapToGrid/>
        <w:spacing w:line="360" w:lineRule="auto"/>
        <w:ind w:left="0" w:leftChars="0" w:firstLine="430" w:firstLineChars="205"/>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sz w:val="21"/>
          <w:szCs w:val="21"/>
        </w:rPr>
        <w:t>．</w:t>
      </w:r>
      <w:r>
        <w:rPr>
          <w:rFonts w:hint="eastAsia" w:ascii="宋体" w:hAnsi="宋体" w:eastAsia="宋体" w:cs="宋体"/>
          <w:color w:val="000000"/>
          <w:sz w:val="21"/>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1F90149">
      <w:pPr>
        <w:keepNext w:val="0"/>
        <w:keepLines w:val="0"/>
        <w:pageBreakBefore w:val="0"/>
        <w:widowControl w:val="0"/>
        <w:kinsoku/>
        <w:wordWrap/>
        <w:overflowPunct/>
        <w:topLinePunct w:val="0"/>
        <w:autoSpaceDE/>
        <w:autoSpaceDN/>
        <w:bidi w:val="0"/>
        <w:adjustRightInd/>
        <w:snapToGrid/>
        <w:spacing w:line="360" w:lineRule="auto"/>
        <w:ind w:left="0" w:leftChars="0" w:firstLine="105" w:firstLineChars="5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sz w:val="21"/>
          <w:szCs w:val="21"/>
        </w:rPr>
        <w:t>．</w:t>
      </w:r>
      <w:r>
        <w:rPr>
          <w:rFonts w:hint="eastAsia" w:ascii="宋体" w:hAnsi="宋体" w:eastAsia="宋体" w:cs="宋体"/>
          <w:color w:val="000000"/>
          <w:sz w:val="21"/>
          <w:szCs w:val="21"/>
        </w:rPr>
        <w:t>质量保修完成后，由发包人组织验收。</w:t>
      </w:r>
    </w:p>
    <w:p w14:paraId="56B0247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五、保修费用</w:t>
      </w:r>
    </w:p>
    <w:p w14:paraId="19DB7CB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保修费用由造成质量缺陷的责任方承担。</w:t>
      </w:r>
    </w:p>
    <w:p w14:paraId="26CFAEB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b w:val="0"/>
          <w:bCs/>
          <w:color w:val="000000"/>
          <w:sz w:val="21"/>
          <w:szCs w:val="21"/>
        </w:rPr>
        <w:t>六、双</w:t>
      </w:r>
      <w:r>
        <w:rPr>
          <w:rFonts w:hint="eastAsia" w:ascii="宋体" w:hAnsi="宋体" w:eastAsia="宋体" w:cs="宋体"/>
          <w:color w:val="000000"/>
          <w:sz w:val="21"/>
          <w:szCs w:val="21"/>
        </w:rPr>
        <w:t>方约定的其他工程质量保修事项：</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612AFA9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工程质量保修书由发包人、承包人在工程竣工验收前共同签署，作为施工合同附件，其有效期限至保修期满。</w:t>
      </w:r>
    </w:p>
    <w:p w14:paraId="5DF7C084">
      <w:pPr>
        <w:keepNext w:val="0"/>
        <w:keepLines w:val="0"/>
        <w:pageBreakBefore w:val="0"/>
        <w:widowControl w:val="0"/>
        <w:kinsoku/>
        <w:wordWrap/>
        <w:overflowPunct/>
        <w:topLinePunct w:val="0"/>
        <w:autoSpaceDE/>
        <w:autoSpaceDN/>
        <w:bidi w:val="0"/>
        <w:adjustRightInd/>
        <w:snapToGrid/>
        <w:spacing w:line="360" w:lineRule="auto"/>
        <w:ind w:left="0" w:leftChars="0" w:firstLine="420"/>
        <w:textAlignment w:val="auto"/>
        <w:rPr>
          <w:rFonts w:hint="eastAsia" w:ascii="宋体" w:hAnsi="宋体" w:eastAsia="宋体" w:cs="宋体"/>
          <w:color w:val="000000"/>
          <w:sz w:val="21"/>
          <w:szCs w:val="21"/>
        </w:rPr>
      </w:pPr>
    </w:p>
    <w:p w14:paraId="095A9612">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发包人(公章)：</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 xml:space="preserve"> 承包人(公章)：</w:t>
      </w:r>
      <w:r>
        <w:rPr>
          <w:rFonts w:hint="eastAsia" w:ascii="宋体" w:hAnsi="宋体" w:eastAsia="宋体" w:cs="宋体"/>
          <w:color w:val="000000"/>
          <w:sz w:val="21"/>
          <w:szCs w:val="21"/>
          <w:u w:val="single"/>
        </w:rPr>
        <w:t xml:space="preserve">           </w:t>
      </w:r>
    </w:p>
    <w:p w14:paraId="49F7B720">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地  址：</w:t>
      </w:r>
      <w:r>
        <w:rPr>
          <w:rFonts w:hint="eastAsia" w:ascii="宋体" w:hAnsi="宋体" w:eastAsia="宋体" w:cs="宋体"/>
          <w:color w:val="000000"/>
          <w:sz w:val="21"/>
          <w:szCs w:val="21"/>
          <w:u w:val="single"/>
        </w:rPr>
        <w:t xml:space="preserve">       </w:t>
      </w:r>
    </w:p>
    <w:p w14:paraId="1D20DC58">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r>
        <w:rPr>
          <w:rFonts w:hint="eastAsia" w:ascii="宋体" w:hAnsi="宋体" w:eastAsia="宋体" w:cs="宋体"/>
          <w:color w:val="000000"/>
          <w:sz w:val="21"/>
          <w:szCs w:val="21"/>
          <w:lang w:eastAsia="zh-CN"/>
        </w:rPr>
        <w:t>签名</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法定代表人(</w:t>
      </w:r>
      <w:r>
        <w:rPr>
          <w:rFonts w:hint="eastAsia" w:ascii="宋体" w:hAnsi="宋体" w:eastAsia="宋体" w:cs="宋体"/>
          <w:color w:val="000000"/>
          <w:sz w:val="21"/>
          <w:szCs w:val="21"/>
          <w:lang w:eastAsia="zh-CN"/>
        </w:rPr>
        <w:t>签名</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p>
    <w:p w14:paraId="78F056D1">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委托代理人(</w:t>
      </w:r>
      <w:r>
        <w:rPr>
          <w:rFonts w:hint="eastAsia" w:ascii="宋体" w:hAnsi="宋体" w:eastAsia="宋体" w:cs="宋体"/>
          <w:color w:val="000000"/>
          <w:sz w:val="21"/>
          <w:szCs w:val="21"/>
          <w:lang w:eastAsia="zh-CN"/>
        </w:rPr>
        <w:t>签名</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委托代理人(</w:t>
      </w:r>
      <w:r>
        <w:rPr>
          <w:rFonts w:hint="eastAsia" w:ascii="宋体" w:hAnsi="宋体" w:eastAsia="宋体" w:cs="宋体"/>
          <w:color w:val="000000"/>
          <w:sz w:val="21"/>
          <w:szCs w:val="21"/>
          <w:lang w:eastAsia="zh-CN"/>
        </w:rPr>
        <w:t>签名</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p>
    <w:p w14:paraId="58CBA9F2">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电  话：</w:t>
      </w:r>
      <w:r>
        <w:rPr>
          <w:rFonts w:hint="eastAsia" w:ascii="宋体" w:hAnsi="宋体" w:eastAsia="宋体" w:cs="宋体"/>
          <w:color w:val="000000"/>
          <w:sz w:val="21"/>
          <w:szCs w:val="21"/>
          <w:u w:val="single"/>
        </w:rPr>
        <w:t xml:space="preserve">     </w:t>
      </w:r>
    </w:p>
    <w:p w14:paraId="6D820332">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传  真：</w:t>
      </w:r>
      <w:r>
        <w:rPr>
          <w:rFonts w:hint="eastAsia" w:ascii="宋体" w:hAnsi="宋体" w:eastAsia="宋体" w:cs="宋体"/>
          <w:color w:val="000000"/>
          <w:sz w:val="21"/>
          <w:szCs w:val="21"/>
          <w:u w:val="single"/>
        </w:rPr>
        <w:t xml:space="preserve">     </w:t>
      </w:r>
    </w:p>
    <w:p w14:paraId="5198D05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开户银行：</w:t>
      </w:r>
      <w:r>
        <w:rPr>
          <w:rFonts w:hint="eastAsia" w:ascii="宋体" w:hAnsi="宋体" w:eastAsia="宋体" w:cs="宋体"/>
          <w:color w:val="000000"/>
          <w:sz w:val="21"/>
          <w:szCs w:val="21"/>
          <w:u w:val="single"/>
        </w:rPr>
        <w:t xml:space="preserve">   </w:t>
      </w:r>
    </w:p>
    <w:p w14:paraId="3DEFB565">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账  号：</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账  号：</w:t>
      </w:r>
      <w:r>
        <w:rPr>
          <w:rFonts w:hint="eastAsia" w:ascii="宋体" w:hAnsi="宋体" w:eastAsia="宋体" w:cs="宋体"/>
          <w:color w:val="000000"/>
          <w:sz w:val="21"/>
          <w:szCs w:val="21"/>
          <w:u w:val="single"/>
        </w:rPr>
        <w:t xml:space="preserve">     </w:t>
      </w:r>
    </w:p>
    <w:p w14:paraId="422956B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邮政编码：</w:t>
      </w:r>
      <w:r>
        <w:rPr>
          <w:rFonts w:hint="eastAsia" w:ascii="宋体" w:hAnsi="宋体" w:eastAsia="宋体" w:cs="宋体"/>
          <w:color w:val="000000"/>
          <w:sz w:val="21"/>
          <w:szCs w:val="21"/>
          <w:u w:val="single"/>
        </w:rPr>
        <w:t xml:space="preserve">   </w:t>
      </w:r>
    </w:p>
    <w:p w14:paraId="3CDF4F4C">
      <w:pPr>
        <w:spacing w:line="440" w:lineRule="exact"/>
        <w:rPr>
          <w:rFonts w:hint="eastAsia" w:ascii="宋体" w:hAnsi="宋体" w:eastAsia="宋体" w:cs="宋体"/>
          <w:color w:val="000000"/>
          <w:sz w:val="21"/>
          <w:szCs w:val="21"/>
        </w:rPr>
      </w:pPr>
      <w:r>
        <w:rPr>
          <w:rFonts w:hint="eastAsia" w:ascii="宋体" w:hAnsi="宋体" w:eastAsia="宋体" w:cs="宋体"/>
          <w:b/>
          <w:color w:val="000000"/>
          <w:sz w:val="21"/>
          <w:szCs w:val="21"/>
        </w:rPr>
        <w:br w:type="page"/>
      </w:r>
      <w:r>
        <w:rPr>
          <w:rFonts w:hint="eastAsia" w:ascii="宋体" w:hAnsi="宋体" w:eastAsia="宋体" w:cs="宋体"/>
          <w:color w:val="000000"/>
          <w:sz w:val="21"/>
          <w:szCs w:val="21"/>
        </w:rPr>
        <w:t>附件4：</w:t>
      </w:r>
    </w:p>
    <w:p w14:paraId="672B9BD7">
      <w:pPr>
        <w:spacing w:before="156" w:beforeLines="50" w:after="156" w:afterLines="50"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主要建设工程文件目录</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12CB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1065FC9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文件名称</w:t>
            </w:r>
          </w:p>
        </w:tc>
        <w:tc>
          <w:tcPr>
            <w:tcW w:w="1276" w:type="dxa"/>
            <w:tcBorders>
              <w:top w:val="single" w:color="auto" w:sz="12" w:space="0"/>
              <w:bottom w:val="double" w:color="auto" w:sz="6" w:space="0"/>
            </w:tcBorders>
            <w:noWrap w:val="0"/>
            <w:vAlign w:val="center"/>
          </w:tcPr>
          <w:p w14:paraId="7066685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套数</w:t>
            </w:r>
          </w:p>
        </w:tc>
        <w:tc>
          <w:tcPr>
            <w:tcW w:w="1450" w:type="dxa"/>
            <w:tcBorders>
              <w:top w:val="single" w:color="auto" w:sz="12" w:space="0"/>
              <w:bottom w:val="double" w:color="auto" w:sz="6" w:space="0"/>
            </w:tcBorders>
            <w:noWrap w:val="0"/>
            <w:vAlign w:val="center"/>
          </w:tcPr>
          <w:p w14:paraId="1F4F790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费用（元）</w:t>
            </w:r>
          </w:p>
        </w:tc>
        <w:tc>
          <w:tcPr>
            <w:tcW w:w="1243" w:type="dxa"/>
            <w:tcBorders>
              <w:top w:val="single" w:color="auto" w:sz="12" w:space="0"/>
              <w:bottom w:val="double" w:color="auto" w:sz="6" w:space="0"/>
            </w:tcBorders>
            <w:noWrap w:val="0"/>
            <w:vAlign w:val="center"/>
          </w:tcPr>
          <w:p w14:paraId="09EC9E8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质量</w:t>
            </w:r>
          </w:p>
        </w:tc>
        <w:tc>
          <w:tcPr>
            <w:tcW w:w="1450" w:type="dxa"/>
            <w:tcBorders>
              <w:top w:val="single" w:color="auto" w:sz="12" w:space="0"/>
              <w:bottom w:val="double" w:color="auto" w:sz="6" w:space="0"/>
            </w:tcBorders>
            <w:noWrap w:val="0"/>
            <w:vAlign w:val="top"/>
          </w:tcPr>
          <w:p w14:paraId="463FF0E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移交时间</w:t>
            </w:r>
          </w:p>
        </w:tc>
        <w:tc>
          <w:tcPr>
            <w:tcW w:w="1667" w:type="dxa"/>
            <w:tcBorders>
              <w:top w:val="single" w:color="auto" w:sz="12" w:space="0"/>
              <w:bottom w:val="double" w:color="auto" w:sz="6" w:space="0"/>
            </w:tcBorders>
            <w:noWrap w:val="0"/>
            <w:vAlign w:val="top"/>
          </w:tcPr>
          <w:p w14:paraId="2DBAD295">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责任人</w:t>
            </w:r>
          </w:p>
        </w:tc>
      </w:tr>
      <w:tr w14:paraId="4CEE4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35BDD67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tcBorders>
              <w:top w:val="double" w:color="auto" w:sz="6" w:space="0"/>
              <w:bottom w:val="single" w:color="auto" w:sz="6" w:space="0"/>
            </w:tcBorders>
            <w:noWrap w:val="0"/>
            <w:vAlign w:val="center"/>
          </w:tcPr>
          <w:p w14:paraId="7ED5E7E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tcBorders>
              <w:top w:val="double" w:color="auto" w:sz="6" w:space="0"/>
              <w:bottom w:val="single" w:color="auto" w:sz="6" w:space="0"/>
            </w:tcBorders>
            <w:noWrap w:val="0"/>
            <w:vAlign w:val="center"/>
          </w:tcPr>
          <w:p w14:paraId="16AA9E3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43" w:type="dxa"/>
            <w:tcBorders>
              <w:top w:val="double" w:color="auto" w:sz="6" w:space="0"/>
              <w:bottom w:val="single" w:color="auto" w:sz="6" w:space="0"/>
            </w:tcBorders>
            <w:noWrap w:val="0"/>
            <w:vAlign w:val="center"/>
          </w:tcPr>
          <w:p w14:paraId="1E938A3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tcBorders>
              <w:top w:val="double" w:color="auto" w:sz="6" w:space="0"/>
              <w:bottom w:val="single" w:color="auto" w:sz="6" w:space="0"/>
            </w:tcBorders>
            <w:noWrap w:val="0"/>
            <w:vAlign w:val="center"/>
          </w:tcPr>
          <w:p w14:paraId="41A5DA0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667" w:type="dxa"/>
            <w:tcBorders>
              <w:top w:val="double" w:color="auto" w:sz="6" w:space="0"/>
              <w:bottom w:val="single" w:color="auto" w:sz="6" w:space="0"/>
            </w:tcBorders>
            <w:noWrap w:val="0"/>
            <w:vAlign w:val="center"/>
          </w:tcPr>
          <w:p w14:paraId="210F123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05B97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64171E6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tcBorders>
              <w:top w:val="nil"/>
            </w:tcBorders>
            <w:noWrap w:val="0"/>
            <w:vAlign w:val="center"/>
          </w:tcPr>
          <w:p w14:paraId="64FB609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tcBorders>
              <w:top w:val="nil"/>
            </w:tcBorders>
            <w:noWrap w:val="0"/>
            <w:vAlign w:val="center"/>
          </w:tcPr>
          <w:p w14:paraId="4048604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43" w:type="dxa"/>
            <w:tcBorders>
              <w:top w:val="nil"/>
            </w:tcBorders>
            <w:noWrap w:val="0"/>
            <w:vAlign w:val="center"/>
          </w:tcPr>
          <w:p w14:paraId="5523540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tcBorders>
              <w:top w:val="nil"/>
            </w:tcBorders>
            <w:noWrap w:val="0"/>
            <w:vAlign w:val="center"/>
          </w:tcPr>
          <w:p w14:paraId="3F7BD6B4">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667" w:type="dxa"/>
            <w:tcBorders>
              <w:top w:val="nil"/>
            </w:tcBorders>
            <w:noWrap w:val="0"/>
            <w:vAlign w:val="center"/>
          </w:tcPr>
          <w:p w14:paraId="256704C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3446D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338D31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155531B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7517930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43" w:type="dxa"/>
            <w:noWrap w:val="0"/>
            <w:vAlign w:val="center"/>
          </w:tcPr>
          <w:p w14:paraId="0594ABA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17AABDF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667" w:type="dxa"/>
            <w:noWrap w:val="0"/>
            <w:vAlign w:val="center"/>
          </w:tcPr>
          <w:p w14:paraId="7945B6A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4272B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586977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6FFCDB1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206CF26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43" w:type="dxa"/>
            <w:noWrap w:val="0"/>
            <w:vAlign w:val="center"/>
          </w:tcPr>
          <w:p w14:paraId="60A3D91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5E0A025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667" w:type="dxa"/>
            <w:noWrap w:val="0"/>
            <w:vAlign w:val="center"/>
          </w:tcPr>
          <w:p w14:paraId="0D06AA1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5563E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5F3AAF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60F1ED0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5D41F66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43" w:type="dxa"/>
            <w:noWrap w:val="0"/>
            <w:vAlign w:val="center"/>
          </w:tcPr>
          <w:p w14:paraId="26C7DC2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014FFA6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667" w:type="dxa"/>
            <w:noWrap w:val="0"/>
            <w:vAlign w:val="center"/>
          </w:tcPr>
          <w:p w14:paraId="6E77426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669E1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2BC561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3F2AC4E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08B00D9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43" w:type="dxa"/>
            <w:noWrap w:val="0"/>
            <w:vAlign w:val="center"/>
          </w:tcPr>
          <w:p w14:paraId="5B159D0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4A3DF04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667" w:type="dxa"/>
            <w:noWrap w:val="0"/>
            <w:vAlign w:val="center"/>
          </w:tcPr>
          <w:p w14:paraId="5036038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69A47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2CB010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4C3607D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2C8F9C7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43" w:type="dxa"/>
            <w:noWrap w:val="0"/>
            <w:vAlign w:val="center"/>
          </w:tcPr>
          <w:p w14:paraId="3481C9F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37B67EF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667" w:type="dxa"/>
            <w:noWrap w:val="0"/>
            <w:vAlign w:val="center"/>
          </w:tcPr>
          <w:p w14:paraId="675F303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0F75A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C20DB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221C2B8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08B3264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43" w:type="dxa"/>
            <w:noWrap w:val="0"/>
            <w:vAlign w:val="center"/>
          </w:tcPr>
          <w:p w14:paraId="269235D5">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12D1F6C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667" w:type="dxa"/>
            <w:noWrap w:val="0"/>
            <w:vAlign w:val="center"/>
          </w:tcPr>
          <w:p w14:paraId="6FD32B6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00772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D99B07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top"/>
          </w:tcPr>
          <w:p w14:paraId="780821F2">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6BE2EA45">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43" w:type="dxa"/>
            <w:noWrap w:val="0"/>
            <w:vAlign w:val="top"/>
          </w:tcPr>
          <w:p w14:paraId="3DC33D31">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15024729">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667" w:type="dxa"/>
            <w:noWrap w:val="0"/>
            <w:vAlign w:val="top"/>
          </w:tcPr>
          <w:p w14:paraId="581A1867">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457C7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797D2A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76" w:type="dxa"/>
            <w:noWrap w:val="0"/>
            <w:vAlign w:val="center"/>
          </w:tcPr>
          <w:p w14:paraId="6C34E21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7690332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243" w:type="dxa"/>
            <w:noWrap w:val="0"/>
            <w:vAlign w:val="center"/>
          </w:tcPr>
          <w:p w14:paraId="32996CC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50" w:type="dxa"/>
            <w:noWrap w:val="0"/>
            <w:vAlign w:val="center"/>
          </w:tcPr>
          <w:p w14:paraId="0CD1829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667" w:type="dxa"/>
            <w:noWrap w:val="0"/>
            <w:vAlign w:val="center"/>
          </w:tcPr>
          <w:p w14:paraId="7B69666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3C80B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8C5D6E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top"/>
          </w:tcPr>
          <w:p w14:paraId="0A21E24A">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3588611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43" w:type="dxa"/>
            <w:noWrap w:val="0"/>
            <w:vAlign w:val="top"/>
          </w:tcPr>
          <w:p w14:paraId="2E3E0646">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527A817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667" w:type="dxa"/>
            <w:noWrap w:val="0"/>
            <w:vAlign w:val="top"/>
          </w:tcPr>
          <w:p w14:paraId="2B32197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4AD5C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12359AF">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top"/>
          </w:tcPr>
          <w:p w14:paraId="4D21E77C">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42C3CB07">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43" w:type="dxa"/>
            <w:noWrap w:val="0"/>
            <w:vAlign w:val="top"/>
          </w:tcPr>
          <w:p w14:paraId="266DDF3C">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0EF824DA">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667" w:type="dxa"/>
            <w:noWrap w:val="0"/>
            <w:vAlign w:val="top"/>
          </w:tcPr>
          <w:p w14:paraId="0F6BC0D5">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28CDD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4151B55">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top"/>
          </w:tcPr>
          <w:p w14:paraId="21F964AD">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025110F3">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43" w:type="dxa"/>
            <w:noWrap w:val="0"/>
            <w:vAlign w:val="top"/>
          </w:tcPr>
          <w:p w14:paraId="525B9AC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0388DCF9">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667" w:type="dxa"/>
            <w:noWrap w:val="0"/>
            <w:vAlign w:val="top"/>
          </w:tcPr>
          <w:p w14:paraId="33C0D296">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4C1C5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A7A4F8E">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top"/>
          </w:tcPr>
          <w:p w14:paraId="0AFC9B1C">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5852D69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43" w:type="dxa"/>
            <w:noWrap w:val="0"/>
            <w:vAlign w:val="top"/>
          </w:tcPr>
          <w:p w14:paraId="4113603D">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25CFFC5C">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667" w:type="dxa"/>
            <w:noWrap w:val="0"/>
            <w:vAlign w:val="top"/>
          </w:tcPr>
          <w:p w14:paraId="7B8DB329">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166E0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6DE4B2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top"/>
          </w:tcPr>
          <w:p w14:paraId="398DDEA7">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08931DBD">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43" w:type="dxa"/>
            <w:noWrap w:val="0"/>
            <w:vAlign w:val="top"/>
          </w:tcPr>
          <w:p w14:paraId="08696F0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4417455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667" w:type="dxa"/>
            <w:noWrap w:val="0"/>
            <w:vAlign w:val="top"/>
          </w:tcPr>
          <w:p w14:paraId="41B92B5A">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71B37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A31C2B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top"/>
          </w:tcPr>
          <w:p w14:paraId="7219A59D">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32EB321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43" w:type="dxa"/>
            <w:noWrap w:val="0"/>
            <w:vAlign w:val="top"/>
          </w:tcPr>
          <w:p w14:paraId="057AE90D">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7362666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667" w:type="dxa"/>
            <w:noWrap w:val="0"/>
            <w:vAlign w:val="top"/>
          </w:tcPr>
          <w:p w14:paraId="06F522CD">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77E18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9DCAA5A">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top"/>
          </w:tcPr>
          <w:p w14:paraId="738EA6D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3FCA4AB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43" w:type="dxa"/>
            <w:noWrap w:val="0"/>
            <w:vAlign w:val="top"/>
          </w:tcPr>
          <w:p w14:paraId="0229970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72EFE40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667" w:type="dxa"/>
            <w:noWrap w:val="0"/>
            <w:vAlign w:val="top"/>
          </w:tcPr>
          <w:p w14:paraId="4B496E31">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65843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DCFBB82">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top"/>
          </w:tcPr>
          <w:p w14:paraId="64CCB5EF">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785FD5B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43" w:type="dxa"/>
            <w:noWrap w:val="0"/>
            <w:vAlign w:val="top"/>
          </w:tcPr>
          <w:p w14:paraId="12C647F4">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1ED2ABC0">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667" w:type="dxa"/>
            <w:noWrap w:val="0"/>
            <w:vAlign w:val="top"/>
          </w:tcPr>
          <w:p w14:paraId="0BE58D9A">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r w14:paraId="48621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E84076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76" w:type="dxa"/>
            <w:noWrap w:val="0"/>
            <w:vAlign w:val="top"/>
          </w:tcPr>
          <w:p w14:paraId="2FEC6FB2">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3257D72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243" w:type="dxa"/>
            <w:noWrap w:val="0"/>
            <w:vAlign w:val="top"/>
          </w:tcPr>
          <w:p w14:paraId="2C9B10C8">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450" w:type="dxa"/>
            <w:noWrap w:val="0"/>
            <w:vAlign w:val="top"/>
          </w:tcPr>
          <w:p w14:paraId="3B1F6FE5">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c>
          <w:tcPr>
            <w:tcW w:w="1667" w:type="dxa"/>
            <w:noWrap w:val="0"/>
            <w:vAlign w:val="top"/>
          </w:tcPr>
          <w:p w14:paraId="09F7B37B">
            <w:pPr>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000000"/>
                <w:sz w:val="21"/>
                <w:szCs w:val="21"/>
              </w:rPr>
            </w:pPr>
          </w:p>
        </w:tc>
      </w:tr>
    </w:tbl>
    <w:p w14:paraId="3152908E">
      <w:pP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4945F449">
      <w:pPr>
        <w:spacing w:line="4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附</w:t>
      </w:r>
      <w:bookmarkStart w:id="1906" w:name="_Toc296346728"/>
      <w:bookmarkStart w:id="1907" w:name="_Toc296503227"/>
      <w:bookmarkStart w:id="1908" w:name="_Toc296891267"/>
      <w:bookmarkStart w:id="1909" w:name="_Toc296944566"/>
      <w:bookmarkStart w:id="1910" w:name="_Toc296347226"/>
      <w:bookmarkStart w:id="1911" w:name="_Toc296891055"/>
      <w:bookmarkStart w:id="1912" w:name="_Toc267261698"/>
      <w:r>
        <w:rPr>
          <w:rFonts w:hint="eastAsia" w:ascii="宋体" w:hAnsi="宋体" w:eastAsia="宋体" w:cs="宋体"/>
          <w:color w:val="000000"/>
          <w:sz w:val="21"/>
          <w:szCs w:val="21"/>
        </w:rPr>
        <w:t>件5：</w:t>
      </w:r>
    </w:p>
    <w:p w14:paraId="1BBCBF95">
      <w:pPr>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承包人用于本工程施工的机械设备表</w:t>
      </w:r>
    </w:p>
    <w:bookmarkEnd w:id="1906"/>
    <w:bookmarkEnd w:id="1907"/>
    <w:bookmarkEnd w:id="1908"/>
    <w:bookmarkEnd w:id="1909"/>
    <w:bookmarkEnd w:id="1910"/>
    <w:bookmarkEnd w:id="1911"/>
    <w:bookmarkEnd w:id="1912"/>
    <w:tbl>
      <w:tblPr>
        <w:tblStyle w:val="45"/>
        <w:tblW w:w="980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1288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162" w:type="dxa"/>
            <w:tcBorders>
              <w:top w:val="single" w:color="auto" w:sz="12" w:space="0"/>
              <w:bottom w:val="double" w:color="auto" w:sz="6" w:space="0"/>
            </w:tcBorders>
            <w:noWrap w:val="0"/>
            <w:vAlign w:val="center"/>
          </w:tcPr>
          <w:p w14:paraId="4C84F00E">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序号</w:t>
            </w:r>
          </w:p>
        </w:tc>
        <w:tc>
          <w:tcPr>
            <w:tcW w:w="1418" w:type="dxa"/>
            <w:tcBorders>
              <w:top w:val="single" w:color="auto" w:sz="12" w:space="0"/>
              <w:bottom w:val="double" w:color="auto" w:sz="6" w:space="0"/>
            </w:tcBorders>
            <w:noWrap w:val="0"/>
            <w:vAlign w:val="center"/>
          </w:tcPr>
          <w:p w14:paraId="1871D118">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机械或设备名称</w:t>
            </w:r>
          </w:p>
        </w:tc>
        <w:tc>
          <w:tcPr>
            <w:tcW w:w="850" w:type="dxa"/>
            <w:tcBorders>
              <w:top w:val="single" w:color="auto" w:sz="12" w:space="0"/>
              <w:bottom w:val="double" w:color="auto" w:sz="6" w:space="0"/>
            </w:tcBorders>
            <w:noWrap w:val="0"/>
            <w:vAlign w:val="center"/>
          </w:tcPr>
          <w:p w14:paraId="185C02AF">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规格型号</w:t>
            </w:r>
          </w:p>
        </w:tc>
        <w:tc>
          <w:tcPr>
            <w:tcW w:w="1058" w:type="dxa"/>
            <w:tcBorders>
              <w:top w:val="single" w:color="auto" w:sz="12" w:space="0"/>
              <w:bottom w:val="double" w:color="auto" w:sz="6" w:space="0"/>
            </w:tcBorders>
            <w:noWrap w:val="0"/>
            <w:vAlign w:val="center"/>
          </w:tcPr>
          <w:p w14:paraId="7E1F9DBD">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数量</w:t>
            </w:r>
          </w:p>
        </w:tc>
        <w:tc>
          <w:tcPr>
            <w:tcW w:w="880" w:type="dxa"/>
            <w:tcBorders>
              <w:top w:val="single" w:color="auto" w:sz="12" w:space="0"/>
              <w:bottom w:val="double" w:color="auto" w:sz="6" w:space="0"/>
            </w:tcBorders>
            <w:noWrap w:val="0"/>
            <w:vAlign w:val="center"/>
          </w:tcPr>
          <w:p w14:paraId="2A717ACF">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产地</w:t>
            </w:r>
          </w:p>
        </w:tc>
        <w:tc>
          <w:tcPr>
            <w:tcW w:w="1020" w:type="dxa"/>
            <w:tcBorders>
              <w:top w:val="single" w:color="auto" w:sz="12" w:space="0"/>
              <w:bottom w:val="double" w:color="auto" w:sz="6" w:space="0"/>
            </w:tcBorders>
            <w:noWrap w:val="0"/>
            <w:vAlign w:val="center"/>
          </w:tcPr>
          <w:p w14:paraId="5C794147">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制造年份</w:t>
            </w:r>
          </w:p>
        </w:tc>
        <w:tc>
          <w:tcPr>
            <w:tcW w:w="1480" w:type="dxa"/>
            <w:tcBorders>
              <w:top w:val="single" w:color="auto" w:sz="12" w:space="0"/>
              <w:bottom w:val="double" w:color="auto" w:sz="6" w:space="0"/>
            </w:tcBorders>
            <w:noWrap w:val="0"/>
            <w:vAlign w:val="center"/>
          </w:tcPr>
          <w:p w14:paraId="3D948099">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额定功率(kW)</w:t>
            </w:r>
          </w:p>
        </w:tc>
        <w:tc>
          <w:tcPr>
            <w:tcW w:w="1020" w:type="dxa"/>
            <w:tcBorders>
              <w:top w:val="single" w:color="auto" w:sz="12" w:space="0"/>
              <w:bottom w:val="double" w:color="auto" w:sz="6" w:space="0"/>
            </w:tcBorders>
            <w:noWrap w:val="0"/>
            <w:vAlign w:val="center"/>
          </w:tcPr>
          <w:p w14:paraId="58674079">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生产能力</w:t>
            </w:r>
          </w:p>
        </w:tc>
        <w:tc>
          <w:tcPr>
            <w:tcW w:w="921" w:type="dxa"/>
            <w:tcBorders>
              <w:top w:val="single" w:color="auto" w:sz="12" w:space="0"/>
              <w:bottom w:val="double" w:color="auto" w:sz="6" w:space="0"/>
            </w:tcBorders>
            <w:noWrap w:val="0"/>
            <w:vAlign w:val="center"/>
          </w:tcPr>
          <w:p w14:paraId="6FC3C4FD">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备注</w:t>
            </w:r>
          </w:p>
        </w:tc>
      </w:tr>
      <w:tr w14:paraId="2AB57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double" w:color="auto" w:sz="6" w:space="0"/>
              <w:bottom w:val="single" w:color="auto" w:sz="6" w:space="0"/>
            </w:tcBorders>
            <w:noWrap w:val="0"/>
            <w:vAlign w:val="center"/>
          </w:tcPr>
          <w:p w14:paraId="707B0656">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tcBorders>
              <w:top w:val="double" w:color="auto" w:sz="6" w:space="0"/>
              <w:bottom w:val="single" w:color="auto" w:sz="6" w:space="0"/>
            </w:tcBorders>
            <w:noWrap w:val="0"/>
            <w:vAlign w:val="center"/>
          </w:tcPr>
          <w:p w14:paraId="69F6B2D9">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double" w:color="auto" w:sz="6" w:space="0"/>
              <w:bottom w:val="single" w:color="auto" w:sz="6" w:space="0"/>
            </w:tcBorders>
            <w:noWrap w:val="0"/>
            <w:vAlign w:val="center"/>
          </w:tcPr>
          <w:p w14:paraId="6DF67B90">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58" w:type="dxa"/>
            <w:tcBorders>
              <w:top w:val="double" w:color="auto" w:sz="6" w:space="0"/>
              <w:bottom w:val="single" w:color="auto" w:sz="6" w:space="0"/>
            </w:tcBorders>
            <w:noWrap w:val="0"/>
            <w:vAlign w:val="center"/>
          </w:tcPr>
          <w:p w14:paraId="774DB4C0">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80" w:type="dxa"/>
            <w:tcBorders>
              <w:top w:val="double" w:color="auto" w:sz="6" w:space="0"/>
              <w:bottom w:val="single" w:color="auto" w:sz="6" w:space="0"/>
            </w:tcBorders>
            <w:noWrap w:val="0"/>
            <w:vAlign w:val="center"/>
          </w:tcPr>
          <w:p w14:paraId="26CF753D">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tcBorders>
              <w:top w:val="double" w:color="auto" w:sz="6" w:space="0"/>
              <w:bottom w:val="single" w:color="auto" w:sz="6" w:space="0"/>
            </w:tcBorders>
            <w:noWrap w:val="0"/>
            <w:vAlign w:val="center"/>
          </w:tcPr>
          <w:p w14:paraId="197ECB48">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80" w:type="dxa"/>
            <w:tcBorders>
              <w:top w:val="double" w:color="auto" w:sz="6" w:space="0"/>
              <w:bottom w:val="single" w:color="auto" w:sz="6" w:space="0"/>
            </w:tcBorders>
            <w:noWrap w:val="0"/>
            <w:vAlign w:val="center"/>
          </w:tcPr>
          <w:p w14:paraId="561F6966">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tcBorders>
              <w:top w:val="double" w:color="auto" w:sz="6" w:space="0"/>
              <w:bottom w:val="single" w:color="auto" w:sz="6" w:space="0"/>
            </w:tcBorders>
            <w:noWrap w:val="0"/>
            <w:vAlign w:val="center"/>
          </w:tcPr>
          <w:p w14:paraId="043D9984">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921" w:type="dxa"/>
            <w:tcBorders>
              <w:top w:val="double" w:color="auto" w:sz="6" w:space="0"/>
              <w:bottom w:val="single" w:color="auto" w:sz="6" w:space="0"/>
            </w:tcBorders>
            <w:noWrap w:val="0"/>
            <w:vAlign w:val="center"/>
          </w:tcPr>
          <w:p w14:paraId="45478E26">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r>
      <w:tr w14:paraId="4D7EF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nil"/>
            </w:tcBorders>
            <w:noWrap w:val="0"/>
            <w:vAlign w:val="center"/>
          </w:tcPr>
          <w:p w14:paraId="1FF712A2">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tcBorders>
              <w:top w:val="nil"/>
            </w:tcBorders>
            <w:noWrap w:val="0"/>
            <w:vAlign w:val="center"/>
          </w:tcPr>
          <w:p w14:paraId="3EEB0CC9">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tcBorders>
              <w:top w:val="nil"/>
            </w:tcBorders>
            <w:noWrap w:val="0"/>
            <w:vAlign w:val="center"/>
          </w:tcPr>
          <w:p w14:paraId="262CDF0F">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58" w:type="dxa"/>
            <w:tcBorders>
              <w:top w:val="nil"/>
            </w:tcBorders>
            <w:noWrap w:val="0"/>
            <w:vAlign w:val="center"/>
          </w:tcPr>
          <w:p w14:paraId="5E165B2B">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80" w:type="dxa"/>
            <w:tcBorders>
              <w:top w:val="nil"/>
            </w:tcBorders>
            <w:noWrap w:val="0"/>
            <w:vAlign w:val="center"/>
          </w:tcPr>
          <w:p w14:paraId="7CCA8033">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tcBorders>
              <w:top w:val="nil"/>
            </w:tcBorders>
            <w:noWrap w:val="0"/>
            <w:vAlign w:val="center"/>
          </w:tcPr>
          <w:p w14:paraId="74046F69">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80" w:type="dxa"/>
            <w:tcBorders>
              <w:top w:val="nil"/>
            </w:tcBorders>
            <w:noWrap w:val="0"/>
            <w:vAlign w:val="center"/>
          </w:tcPr>
          <w:p w14:paraId="644EA10F">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tcBorders>
              <w:top w:val="nil"/>
            </w:tcBorders>
            <w:noWrap w:val="0"/>
            <w:vAlign w:val="center"/>
          </w:tcPr>
          <w:p w14:paraId="7FF0AB83">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921" w:type="dxa"/>
            <w:tcBorders>
              <w:top w:val="nil"/>
            </w:tcBorders>
            <w:noWrap w:val="0"/>
            <w:vAlign w:val="center"/>
          </w:tcPr>
          <w:p w14:paraId="0AC9E337">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r>
      <w:tr w14:paraId="33AF8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center"/>
          </w:tcPr>
          <w:p w14:paraId="763BC889">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36FEE27A">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31ACA00D">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58" w:type="dxa"/>
            <w:noWrap w:val="0"/>
            <w:vAlign w:val="center"/>
          </w:tcPr>
          <w:p w14:paraId="322036FC">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80" w:type="dxa"/>
            <w:noWrap w:val="0"/>
            <w:vAlign w:val="center"/>
          </w:tcPr>
          <w:p w14:paraId="4D41A445">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1A58885B">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80" w:type="dxa"/>
            <w:noWrap w:val="0"/>
            <w:vAlign w:val="center"/>
          </w:tcPr>
          <w:p w14:paraId="5EDBDCBB">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7F2FAE78">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921" w:type="dxa"/>
            <w:noWrap w:val="0"/>
            <w:vAlign w:val="center"/>
          </w:tcPr>
          <w:p w14:paraId="351379B5">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r>
      <w:tr w14:paraId="31238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center"/>
          </w:tcPr>
          <w:p w14:paraId="2A36A7FE">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693ABB2E">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2BB9652C">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58" w:type="dxa"/>
            <w:noWrap w:val="0"/>
            <w:vAlign w:val="center"/>
          </w:tcPr>
          <w:p w14:paraId="23EEC08B">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80" w:type="dxa"/>
            <w:noWrap w:val="0"/>
            <w:vAlign w:val="center"/>
          </w:tcPr>
          <w:p w14:paraId="763B75F6">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7F822F71">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80" w:type="dxa"/>
            <w:noWrap w:val="0"/>
            <w:vAlign w:val="center"/>
          </w:tcPr>
          <w:p w14:paraId="3A3394EB">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20421258">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921" w:type="dxa"/>
            <w:noWrap w:val="0"/>
            <w:vAlign w:val="center"/>
          </w:tcPr>
          <w:p w14:paraId="6FE9F76B">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r>
      <w:tr w14:paraId="327A1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center"/>
          </w:tcPr>
          <w:p w14:paraId="2DF187AD">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4373B2F2">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157A0A08">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58" w:type="dxa"/>
            <w:noWrap w:val="0"/>
            <w:vAlign w:val="center"/>
          </w:tcPr>
          <w:p w14:paraId="03E25C01">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80" w:type="dxa"/>
            <w:noWrap w:val="0"/>
            <w:vAlign w:val="center"/>
          </w:tcPr>
          <w:p w14:paraId="116DEC0F">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6475F696">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80" w:type="dxa"/>
            <w:noWrap w:val="0"/>
            <w:vAlign w:val="center"/>
          </w:tcPr>
          <w:p w14:paraId="4A3D5D49">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70A87A18">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921" w:type="dxa"/>
            <w:noWrap w:val="0"/>
            <w:vAlign w:val="center"/>
          </w:tcPr>
          <w:p w14:paraId="10FEBA9E">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r>
      <w:tr w14:paraId="41679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center"/>
          </w:tcPr>
          <w:p w14:paraId="75D85592">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5CCDC083">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66B4F6A2">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58" w:type="dxa"/>
            <w:noWrap w:val="0"/>
            <w:vAlign w:val="center"/>
          </w:tcPr>
          <w:p w14:paraId="1E8BE359">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80" w:type="dxa"/>
            <w:noWrap w:val="0"/>
            <w:vAlign w:val="center"/>
          </w:tcPr>
          <w:p w14:paraId="38B6DB7E">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5E14A9C0">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80" w:type="dxa"/>
            <w:noWrap w:val="0"/>
            <w:vAlign w:val="center"/>
          </w:tcPr>
          <w:p w14:paraId="3279F0CA">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546320A8">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921" w:type="dxa"/>
            <w:noWrap w:val="0"/>
            <w:vAlign w:val="center"/>
          </w:tcPr>
          <w:p w14:paraId="45271EA3">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r>
      <w:tr w14:paraId="093FD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center"/>
          </w:tcPr>
          <w:p w14:paraId="4DB209F4">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25D59E83">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66117738">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58" w:type="dxa"/>
            <w:noWrap w:val="0"/>
            <w:vAlign w:val="center"/>
          </w:tcPr>
          <w:p w14:paraId="77052224">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80" w:type="dxa"/>
            <w:noWrap w:val="0"/>
            <w:vAlign w:val="center"/>
          </w:tcPr>
          <w:p w14:paraId="04D3E238">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17627E90">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80" w:type="dxa"/>
            <w:noWrap w:val="0"/>
            <w:vAlign w:val="center"/>
          </w:tcPr>
          <w:p w14:paraId="7A3ECA93">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5F4FDBD5">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921" w:type="dxa"/>
            <w:noWrap w:val="0"/>
            <w:vAlign w:val="center"/>
          </w:tcPr>
          <w:p w14:paraId="4CF77233">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r>
      <w:tr w14:paraId="0F188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center"/>
          </w:tcPr>
          <w:p w14:paraId="364DC581">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0670509F">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23D70320">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58" w:type="dxa"/>
            <w:noWrap w:val="0"/>
            <w:vAlign w:val="center"/>
          </w:tcPr>
          <w:p w14:paraId="2F4ED94F">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80" w:type="dxa"/>
            <w:noWrap w:val="0"/>
            <w:vAlign w:val="center"/>
          </w:tcPr>
          <w:p w14:paraId="4B68F35B">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7ED77ABA">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80" w:type="dxa"/>
            <w:noWrap w:val="0"/>
            <w:vAlign w:val="center"/>
          </w:tcPr>
          <w:p w14:paraId="62D5A248">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1B210D55">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921" w:type="dxa"/>
            <w:noWrap w:val="0"/>
            <w:vAlign w:val="center"/>
          </w:tcPr>
          <w:p w14:paraId="015D8ABD">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r>
      <w:tr w14:paraId="4466E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14:paraId="18FD7BF9">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18" w:type="dxa"/>
            <w:noWrap w:val="0"/>
            <w:vAlign w:val="top"/>
          </w:tcPr>
          <w:p w14:paraId="42C2D9D5">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50" w:type="dxa"/>
            <w:noWrap w:val="0"/>
            <w:vAlign w:val="top"/>
          </w:tcPr>
          <w:p w14:paraId="69767237">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58" w:type="dxa"/>
            <w:noWrap w:val="0"/>
            <w:vAlign w:val="top"/>
          </w:tcPr>
          <w:p w14:paraId="7C23C70F">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80" w:type="dxa"/>
            <w:noWrap w:val="0"/>
            <w:vAlign w:val="top"/>
          </w:tcPr>
          <w:p w14:paraId="7BC91664">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5481127A">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80" w:type="dxa"/>
            <w:noWrap w:val="0"/>
            <w:vAlign w:val="top"/>
          </w:tcPr>
          <w:p w14:paraId="10637367">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5CE6E7DC">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921" w:type="dxa"/>
            <w:noWrap w:val="0"/>
            <w:vAlign w:val="top"/>
          </w:tcPr>
          <w:p w14:paraId="4194BC3B">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r>
      <w:tr w14:paraId="0CD63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center"/>
          </w:tcPr>
          <w:p w14:paraId="77BE60DC">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1574040E">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50" w:type="dxa"/>
            <w:noWrap w:val="0"/>
            <w:vAlign w:val="center"/>
          </w:tcPr>
          <w:p w14:paraId="6094FB7D">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58" w:type="dxa"/>
            <w:noWrap w:val="0"/>
            <w:vAlign w:val="center"/>
          </w:tcPr>
          <w:p w14:paraId="3BE5CC0C">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880" w:type="dxa"/>
            <w:noWrap w:val="0"/>
            <w:vAlign w:val="center"/>
          </w:tcPr>
          <w:p w14:paraId="518BE5AE">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6AD5BDEC">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480" w:type="dxa"/>
            <w:noWrap w:val="0"/>
            <w:vAlign w:val="center"/>
          </w:tcPr>
          <w:p w14:paraId="4DD8988E">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1020" w:type="dxa"/>
            <w:noWrap w:val="0"/>
            <w:vAlign w:val="center"/>
          </w:tcPr>
          <w:p w14:paraId="1B1E30B6">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c>
          <w:tcPr>
            <w:tcW w:w="921" w:type="dxa"/>
            <w:noWrap w:val="0"/>
            <w:vAlign w:val="center"/>
          </w:tcPr>
          <w:p w14:paraId="06A2C21C">
            <w:pPr>
              <w:pStyle w:val="2"/>
              <w:keepNext/>
              <w:keepLines w:val="0"/>
              <w:pageBreakBefore w:val="0"/>
              <w:widowControl w:val="0"/>
              <w:kinsoku/>
              <w:wordWrap/>
              <w:overflowPunct/>
              <w:topLinePunct w:val="0"/>
              <w:autoSpaceDE/>
              <w:autoSpaceDN/>
              <w:bidi w:val="0"/>
              <w:adjustRightInd/>
              <w:snapToGrid/>
              <w:spacing w:after="0" w:line="300" w:lineRule="exact"/>
              <w:ind w:left="0" w:right="0"/>
              <w:jc w:val="center"/>
              <w:textAlignment w:val="auto"/>
              <w:rPr>
                <w:rFonts w:hint="eastAsia" w:ascii="宋体" w:hAnsi="宋体" w:eastAsia="宋体" w:cs="宋体"/>
                <w:color w:val="000000"/>
                <w:kern w:val="2"/>
                <w:sz w:val="21"/>
                <w:szCs w:val="21"/>
                <w:lang w:val="en-US" w:eastAsia="zh-CN"/>
              </w:rPr>
            </w:pPr>
          </w:p>
        </w:tc>
      </w:tr>
      <w:tr w14:paraId="21C19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14:paraId="258774B7">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18" w:type="dxa"/>
            <w:noWrap w:val="0"/>
            <w:vAlign w:val="top"/>
          </w:tcPr>
          <w:p w14:paraId="05D4B2A4">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50" w:type="dxa"/>
            <w:noWrap w:val="0"/>
            <w:vAlign w:val="top"/>
          </w:tcPr>
          <w:p w14:paraId="2CBDF0FB">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58" w:type="dxa"/>
            <w:noWrap w:val="0"/>
            <w:vAlign w:val="top"/>
          </w:tcPr>
          <w:p w14:paraId="3EF06E40">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80" w:type="dxa"/>
            <w:noWrap w:val="0"/>
            <w:vAlign w:val="top"/>
          </w:tcPr>
          <w:p w14:paraId="6E9AF0BF">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0FA6487B">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80" w:type="dxa"/>
            <w:noWrap w:val="0"/>
            <w:vAlign w:val="top"/>
          </w:tcPr>
          <w:p w14:paraId="1CC80B8A">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3E629A34">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921" w:type="dxa"/>
            <w:noWrap w:val="0"/>
            <w:vAlign w:val="top"/>
          </w:tcPr>
          <w:p w14:paraId="0CA0CB1C">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r>
      <w:tr w14:paraId="6EDFD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14:paraId="2BDDFB86">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18" w:type="dxa"/>
            <w:noWrap w:val="0"/>
            <w:vAlign w:val="top"/>
          </w:tcPr>
          <w:p w14:paraId="6FA3C1CF">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50" w:type="dxa"/>
            <w:noWrap w:val="0"/>
            <w:vAlign w:val="top"/>
          </w:tcPr>
          <w:p w14:paraId="19208FA6">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58" w:type="dxa"/>
            <w:noWrap w:val="0"/>
            <w:vAlign w:val="top"/>
          </w:tcPr>
          <w:p w14:paraId="10BA817E">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80" w:type="dxa"/>
            <w:noWrap w:val="0"/>
            <w:vAlign w:val="top"/>
          </w:tcPr>
          <w:p w14:paraId="359317B1">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512854FC">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80" w:type="dxa"/>
            <w:noWrap w:val="0"/>
            <w:vAlign w:val="top"/>
          </w:tcPr>
          <w:p w14:paraId="4A617BBF">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5DE5D86D">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921" w:type="dxa"/>
            <w:noWrap w:val="0"/>
            <w:vAlign w:val="top"/>
          </w:tcPr>
          <w:p w14:paraId="2C70C268">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r>
      <w:tr w14:paraId="7AC4C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14:paraId="55CE9FA9">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18" w:type="dxa"/>
            <w:noWrap w:val="0"/>
            <w:vAlign w:val="top"/>
          </w:tcPr>
          <w:p w14:paraId="590B8466">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50" w:type="dxa"/>
            <w:noWrap w:val="0"/>
            <w:vAlign w:val="top"/>
          </w:tcPr>
          <w:p w14:paraId="19D5244E">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58" w:type="dxa"/>
            <w:noWrap w:val="0"/>
            <w:vAlign w:val="top"/>
          </w:tcPr>
          <w:p w14:paraId="7C539DD8">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80" w:type="dxa"/>
            <w:noWrap w:val="0"/>
            <w:vAlign w:val="top"/>
          </w:tcPr>
          <w:p w14:paraId="44579C00">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026FAA0C">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80" w:type="dxa"/>
            <w:noWrap w:val="0"/>
            <w:vAlign w:val="top"/>
          </w:tcPr>
          <w:p w14:paraId="612FF784">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26C93301">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921" w:type="dxa"/>
            <w:noWrap w:val="0"/>
            <w:vAlign w:val="top"/>
          </w:tcPr>
          <w:p w14:paraId="715C0966">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r>
      <w:tr w14:paraId="2F866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14:paraId="414E5A8A">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18" w:type="dxa"/>
            <w:noWrap w:val="0"/>
            <w:vAlign w:val="top"/>
          </w:tcPr>
          <w:p w14:paraId="24573C92">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50" w:type="dxa"/>
            <w:noWrap w:val="0"/>
            <w:vAlign w:val="top"/>
          </w:tcPr>
          <w:p w14:paraId="67B25368">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58" w:type="dxa"/>
            <w:noWrap w:val="0"/>
            <w:vAlign w:val="top"/>
          </w:tcPr>
          <w:p w14:paraId="2F5ABE88">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80" w:type="dxa"/>
            <w:noWrap w:val="0"/>
            <w:vAlign w:val="top"/>
          </w:tcPr>
          <w:p w14:paraId="03C0241B">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27A37D99">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80" w:type="dxa"/>
            <w:noWrap w:val="0"/>
            <w:vAlign w:val="top"/>
          </w:tcPr>
          <w:p w14:paraId="39EACE5F">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2BC936DD">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921" w:type="dxa"/>
            <w:noWrap w:val="0"/>
            <w:vAlign w:val="top"/>
          </w:tcPr>
          <w:p w14:paraId="6678632E">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r>
      <w:tr w14:paraId="15691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14:paraId="5C182FE8">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18" w:type="dxa"/>
            <w:noWrap w:val="0"/>
            <w:vAlign w:val="top"/>
          </w:tcPr>
          <w:p w14:paraId="21B512EE">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50" w:type="dxa"/>
            <w:noWrap w:val="0"/>
            <w:vAlign w:val="top"/>
          </w:tcPr>
          <w:p w14:paraId="619ED588">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58" w:type="dxa"/>
            <w:noWrap w:val="0"/>
            <w:vAlign w:val="top"/>
          </w:tcPr>
          <w:p w14:paraId="7AD153E0">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80" w:type="dxa"/>
            <w:noWrap w:val="0"/>
            <w:vAlign w:val="top"/>
          </w:tcPr>
          <w:p w14:paraId="69229036">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6BD955F1">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80" w:type="dxa"/>
            <w:noWrap w:val="0"/>
            <w:vAlign w:val="top"/>
          </w:tcPr>
          <w:p w14:paraId="766204A5">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4B72568C">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921" w:type="dxa"/>
            <w:noWrap w:val="0"/>
            <w:vAlign w:val="top"/>
          </w:tcPr>
          <w:p w14:paraId="3B04910C">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r>
      <w:tr w14:paraId="54A6A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14:paraId="3780DB3D">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18" w:type="dxa"/>
            <w:noWrap w:val="0"/>
            <w:vAlign w:val="top"/>
          </w:tcPr>
          <w:p w14:paraId="76FC0795">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50" w:type="dxa"/>
            <w:noWrap w:val="0"/>
            <w:vAlign w:val="top"/>
          </w:tcPr>
          <w:p w14:paraId="4AA5B16B">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58" w:type="dxa"/>
            <w:noWrap w:val="0"/>
            <w:vAlign w:val="top"/>
          </w:tcPr>
          <w:p w14:paraId="5E1AF5DF">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80" w:type="dxa"/>
            <w:noWrap w:val="0"/>
            <w:vAlign w:val="top"/>
          </w:tcPr>
          <w:p w14:paraId="5BD90983">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7CC78930">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80" w:type="dxa"/>
            <w:noWrap w:val="0"/>
            <w:vAlign w:val="top"/>
          </w:tcPr>
          <w:p w14:paraId="251C83ED">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6D7A564E">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921" w:type="dxa"/>
            <w:noWrap w:val="0"/>
            <w:vAlign w:val="top"/>
          </w:tcPr>
          <w:p w14:paraId="31AC1ABD">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r>
      <w:tr w14:paraId="04CEE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14:paraId="6F70FE61">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18" w:type="dxa"/>
            <w:noWrap w:val="0"/>
            <w:vAlign w:val="top"/>
          </w:tcPr>
          <w:p w14:paraId="2EF3505A">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50" w:type="dxa"/>
            <w:noWrap w:val="0"/>
            <w:vAlign w:val="top"/>
          </w:tcPr>
          <w:p w14:paraId="4663289A">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58" w:type="dxa"/>
            <w:noWrap w:val="0"/>
            <w:vAlign w:val="top"/>
          </w:tcPr>
          <w:p w14:paraId="48534BCF">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80" w:type="dxa"/>
            <w:noWrap w:val="0"/>
            <w:vAlign w:val="top"/>
          </w:tcPr>
          <w:p w14:paraId="0BE9C29F">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60AB241D">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80" w:type="dxa"/>
            <w:noWrap w:val="0"/>
            <w:vAlign w:val="top"/>
          </w:tcPr>
          <w:p w14:paraId="49D499FE">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6778EB5C">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921" w:type="dxa"/>
            <w:noWrap w:val="0"/>
            <w:vAlign w:val="top"/>
          </w:tcPr>
          <w:p w14:paraId="2A6F4C5A">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r>
      <w:tr w14:paraId="3D489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14:paraId="50E6E422">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18" w:type="dxa"/>
            <w:noWrap w:val="0"/>
            <w:vAlign w:val="top"/>
          </w:tcPr>
          <w:p w14:paraId="063E0E44">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50" w:type="dxa"/>
            <w:noWrap w:val="0"/>
            <w:vAlign w:val="top"/>
          </w:tcPr>
          <w:p w14:paraId="44AD817E">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58" w:type="dxa"/>
            <w:noWrap w:val="0"/>
            <w:vAlign w:val="top"/>
          </w:tcPr>
          <w:p w14:paraId="4472A7E2">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80" w:type="dxa"/>
            <w:noWrap w:val="0"/>
            <w:vAlign w:val="top"/>
          </w:tcPr>
          <w:p w14:paraId="4F1FB3D8">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036A1985">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80" w:type="dxa"/>
            <w:noWrap w:val="0"/>
            <w:vAlign w:val="top"/>
          </w:tcPr>
          <w:p w14:paraId="414790FA">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26B63658">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921" w:type="dxa"/>
            <w:noWrap w:val="0"/>
            <w:vAlign w:val="top"/>
          </w:tcPr>
          <w:p w14:paraId="005F0E58">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r>
      <w:tr w14:paraId="69F23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noWrap w:val="0"/>
            <w:vAlign w:val="top"/>
          </w:tcPr>
          <w:p w14:paraId="5C273A8B">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18" w:type="dxa"/>
            <w:noWrap w:val="0"/>
            <w:vAlign w:val="top"/>
          </w:tcPr>
          <w:p w14:paraId="74FB4303">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50" w:type="dxa"/>
            <w:noWrap w:val="0"/>
            <w:vAlign w:val="top"/>
          </w:tcPr>
          <w:p w14:paraId="063D91C7">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58" w:type="dxa"/>
            <w:noWrap w:val="0"/>
            <w:vAlign w:val="top"/>
          </w:tcPr>
          <w:p w14:paraId="7D97B151">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880" w:type="dxa"/>
            <w:noWrap w:val="0"/>
            <w:vAlign w:val="top"/>
          </w:tcPr>
          <w:p w14:paraId="77C1D9E0">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03E7907E">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480" w:type="dxa"/>
            <w:noWrap w:val="0"/>
            <w:vAlign w:val="top"/>
          </w:tcPr>
          <w:p w14:paraId="40475AA8">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1020" w:type="dxa"/>
            <w:noWrap w:val="0"/>
            <w:vAlign w:val="top"/>
          </w:tcPr>
          <w:p w14:paraId="79BF95F8">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c>
          <w:tcPr>
            <w:tcW w:w="921" w:type="dxa"/>
            <w:noWrap w:val="0"/>
            <w:vAlign w:val="top"/>
          </w:tcPr>
          <w:p w14:paraId="32B5B09C">
            <w:pPr>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宋体" w:hAnsi="宋体" w:eastAsia="宋体" w:cs="宋体"/>
                <w:color w:val="000000"/>
                <w:sz w:val="21"/>
                <w:szCs w:val="21"/>
              </w:rPr>
            </w:pPr>
          </w:p>
        </w:tc>
      </w:tr>
    </w:tbl>
    <w:p w14:paraId="4E0B3631">
      <w:pP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01A45346">
      <w:pPr>
        <w:spacing w:line="4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附</w:t>
      </w:r>
      <w:bookmarkStart w:id="1913" w:name="_Toc296503228"/>
      <w:bookmarkStart w:id="1914" w:name="_Toc296891268"/>
      <w:bookmarkStart w:id="1915" w:name="_Toc296944567"/>
      <w:bookmarkStart w:id="1916" w:name="_Toc296347227"/>
      <w:bookmarkStart w:id="1917" w:name="_Toc267261699"/>
      <w:bookmarkStart w:id="1918" w:name="_Toc296346729"/>
      <w:bookmarkStart w:id="1919" w:name="_Toc296891056"/>
      <w:r>
        <w:rPr>
          <w:rFonts w:hint="eastAsia" w:ascii="宋体" w:hAnsi="宋体" w:eastAsia="宋体" w:cs="宋体"/>
          <w:color w:val="000000"/>
          <w:sz w:val="21"/>
          <w:szCs w:val="21"/>
        </w:rPr>
        <w:t>件6：</w:t>
      </w:r>
    </w:p>
    <w:bookmarkEnd w:id="1913"/>
    <w:bookmarkEnd w:id="1914"/>
    <w:bookmarkEnd w:id="1915"/>
    <w:bookmarkEnd w:id="1916"/>
    <w:bookmarkEnd w:id="1917"/>
    <w:bookmarkEnd w:id="1918"/>
    <w:bookmarkEnd w:id="1919"/>
    <w:p w14:paraId="4C68EFEB">
      <w:pPr>
        <w:spacing w:before="156" w:beforeLines="50" w:after="156" w:afterLines="50"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承包人主要施工管理人员表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1E7E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3E70A9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名    称</w:t>
            </w:r>
          </w:p>
        </w:tc>
        <w:tc>
          <w:tcPr>
            <w:tcW w:w="1418" w:type="dxa"/>
            <w:tcBorders>
              <w:top w:val="single" w:color="auto" w:sz="12" w:space="0"/>
              <w:bottom w:val="double" w:color="auto" w:sz="6" w:space="0"/>
            </w:tcBorders>
            <w:noWrap w:val="0"/>
            <w:vAlign w:val="center"/>
          </w:tcPr>
          <w:p w14:paraId="5B8E0EB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姓名</w:t>
            </w:r>
          </w:p>
        </w:tc>
        <w:tc>
          <w:tcPr>
            <w:tcW w:w="1134" w:type="dxa"/>
            <w:tcBorders>
              <w:top w:val="single" w:color="auto" w:sz="12" w:space="0"/>
              <w:bottom w:val="double" w:color="auto" w:sz="6" w:space="0"/>
            </w:tcBorders>
            <w:noWrap w:val="0"/>
            <w:vAlign w:val="center"/>
          </w:tcPr>
          <w:p w14:paraId="425D23F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职务</w:t>
            </w:r>
          </w:p>
        </w:tc>
        <w:tc>
          <w:tcPr>
            <w:tcW w:w="1134" w:type="dxa"/>
            <w:tcBorders>
              <w:top w:val="single" w:color="auto" w:sz="12" w:space="0"/>
              <w:bottom w:val="double" w:color="auto" w:sz="6" w:space="0"/>
            </w:tcBorders>
            <w:noWrap w:val="0"/>
            <w:vAlign w:val="center"/>
          </w:tcPr>
          <w:p w14:paraId="7A01D58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职称</w:t>
            </w:r>
          </w:p>
        </w:tc>
        <w:tc>
          <w:tcPr>
            <w:tcW w:w="4252" w:type="dxa"/>
            <w:tcBorders>
              <w:top w:val="single" w:color="auto" w:sz="12" w:space="0"/>
              <w:bottom w:val="double" w:color="auto" w:sz="6" w:space="0"/>
            </w:tcBorders>
            <w:noWrap w:val="0"/>
            <w:vAlign w:val="center"/>
          </w:tcPr>
          <w:p w14:paraId="07FFEC45">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主要资历、经验及承担过的项目</w:t>
            </w:r>
          </w:p>
        </w:tc>
      </w:tr>
      <w:tr w14:paraId="64812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174363F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一、总部人员</w:t>
            </w:r>
          </w:p>
        </w:tc>
      </w:tr>
      <w:tr w14:paraId="1DD21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360AC45">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项目主管</w:t>
            </w:r>
          </w:p>
        </w:tc>
        <w:tc>
          <w:tcPr>
            <w:tcW w:w="1418" w:type="dxa"/>
            <w:tcBorders>
              <w:top w:val="nil"/>
            </w:tcBorders>
            <w:noWrap w:val="0"/>
            <w:vAlign w:val="center"/>
          </w:tcPr>
          <w:p w14:paraId="30F97FE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top w:val="nil"/>
            </w:tcBorders>
            <w:noWrap w:val="0"/>
            <w:vAlign w:val="center"/>
          </w:tcPr>
          <w:p w14:paraId="38EE641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top w:val="nil"/>
            </w:tcBorders>
            <w:noWrap w:val="0"/>
            <w:vAlign w:val="center"/>
          </w:tcPr>
          <w:p w14:paraId="0F82642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tcBorders>
              <w:top w:val="nil"/>
            </w:tcBorders>
            <w:noWrap w:val="0"/>
            <w:vAlign w:val="center"/>
          </w:tcPr>
          <w:p w14:paraId="26AC241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425F7A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0756A77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7084394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0F1DA0F5">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77F5104">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73BF36C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24153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6FA9D7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其他人员</w:t>
            </w:r>
          </w:p>
        </w:tc>
        <w:tc>
          <w:tcPr>
            <w:tcW w:w="1418" w:type="dxa"/>
            <w:noWrap w:val="0"/>
            <w:vAlign w:val="center"/>
          </w:tcPr>
          <w:p w14:paraId="71E7B9A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1F7E688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34386E5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4305F9E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7CE44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AFBA8A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60D9D5D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2E31CDF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67FD91E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1184CF8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4C3D0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14ADB3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二、现场人员</w:t>
            </w:r>
          </w:p>
        </w:tc>
      </w:tr>
      <w:tr w14:paraId="7EBBB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0B983B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项目经理</w:t>
            </w:r>
          </w:p>
        </w:tc>
        <w:tc>
          <w:tcPr>
            <w:tcW w:w="1418" w:type="dxa"/>
            <w:noWrap w:val="0"/>
            <w:vAlign w:val="center"/>
          </w:tcPr>
          <w:p w14:paraId="04C8E13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0E74526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B0FACD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40EBD8E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090FF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399283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项目副经理</w:t>
            </w:r>
          </w:p>
        </w:tc>
        <w:tc>
          <w:tcPr>
            <w:tcW w:w="1418" w:type="dxa"/>
            <w:noWrap w:val="0"/>
            <w:vAlign w:val="center"/>
          </w:tcPr>
          <w:p w14:paraId="58E0788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736FBA8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56ADE4E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4EA6ED8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2945F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8CE1F6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技术负责人</w:t>
            </w:r>
          </w:p>
        </w:tc>
        <w:tc>
          <w:tcPr>
            <w:tcW w:w="1418" w:type="dxa"/>
            <w:noWrap w:val="0"/>
            <w:vAlign w:val="center"/>
          </w:tcPr>
          <w:p w14:paraId="6DA2517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7052B71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1E7BEB8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4103580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6DE98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459481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造价管理</w:t>
            </w:r>
          </w:p>
        </w:tc>
        <w:tc>
          <w:tcPr>
            <w:tcW w:w="1418" w:type="dxa"/>
            <w:noWrap w:val="0"/>
            <w:vAlign w:val="center"/>
          </w:tcPr>
          <w:p w14:paraId="6173ABB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2D3232C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4AEB0E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4647D56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534BE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E1900E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质量管理</w:t>
            </w:r>
          </w:p>
        </w:tc>
        <w:tc>
          <w:tcPr>
            <w:tcW w:w="1418" w:type="dxa"/>
            <w:noWrap w:val="0"/>
            <w:vAlign w:val="center"/>
          </w:tcPr>
          <w:p w14:paraId="72AA052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5EE2FCF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22F595F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6D2C228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2C62E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54683A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材料管理</w:t>
            </w:r>
          </w:p>
        </w:tc>
        <w:tc>
          <w:tcPr>
            <w:tcW w:w="1418" w:type="dxa"/>
            <w:noWrap w:val="0"/>
            <w:vAlign w:val="center"/>
          </w:tcPr>
          <w:p w14:paraId="2F2E99F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6219757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6B68FB9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5D76B90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417CE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5BCB33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计划管理</w:t>
            </w:r>
          </w:p>
        </w:tc>
        <w:tc>
          <w:tcPr>
            <w:tcW w:w="1418" w:type="dxa"/>
            <w:noWrap w:val="0"/>
            <w:vAlign w:val="center"/>
          </w:tcPr>
          <w:p w14:paraId="3071854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8AE3585">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3666C07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4C7F60C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26ECF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7B6F5D5">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安全管理</w:t>
            </w:r>
          </w:p>
        </w:tc>
        <w:tc>
          <w:tcPr>
            <w:tcW w:w="1418" w:type="dxa"/>
            <w:noWrap w:val="0"/>
            <w:vAlign w:val="center"/>
          </w:tcPr>
          <w:p w14:paraId="3FA4095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0DCB91D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05BF2E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7ACAFEA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2319F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E72207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其他人员</w:t>
            </w:r>
          </w:p>
        </w:tc>
        <w:tc>
          <w:tcPr>
            <w:tcW w:w="1418" w:type="dxa"/>
            <w:noWrap w:val="0"/>
            <w:vAlign w:val="center"/>
          </w:tcPr>
          <w:p w14:paraId="6133EA74">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20B1994">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1E3C4D45">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56DCA65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18D81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672FF2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tcBorders>
              <w:bottom w:val="nil"/>
            </w:tcBorders>
            <w:noWrap w:val="0"/>
            <w:vAlign w:val="center"/>
          </w:tcPr>
          <w:p w14:paraId="24921AF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bottom w:val="nil"/>
            </w:tcBorders>
            <w:noWrap w:val="0"/>
            <w:vAlign w:val="center"/>
          </w:tcPr>
          <w:p w14:paraId="4848EBA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bottom w:val="nil"/>
            </w:tcBorders>
            <w:noWrap w:val="0"/>
            <w:vAlign w:val="center"/>
          </w:tcPr>
          <w:p w14:paraId="0A8BA35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tcBorders>
              <w:bottom w:val="nil"/>
            </w:tcBorders>
            <w:noWrap w:val="0"/>
            <w:vAlign w:val="center"/>
          </w:tcPr>
          <w:p w14:paraId="44BA8C2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0F57F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3D9EF2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5B40418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7F027A4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3B7E8AF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36024FE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34666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0B6DB4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271295F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2DDC74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7C09C8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22199D3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73858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353196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34C7823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77D15E1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23D9B10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6886EEA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7750B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0CC0858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tcBorders>
              <w:bottom w:val="single" w:color="auto" w:sz="12" w:space="0"/>
            </w:tcBorders>
            <w:noWrap w:val="0"/>
            <w:vAlign w:val="center"/>
          </w:tcPr>
          <w:p w14:paraId="2F8C511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bottom w:val="single" w:color="auto" w:sz="12" w:space="0"/>
            </w:tcBorders>
            <w:noWrap w:val="0"/>
            <w:vAlign w:val="center"/>
          </w:tcPr>
          <w:p w14:paraId="797364B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bottom w:val="single" w:color="auto" w:sz="12" w:space="0"/>
            </w:tcBorders>
            <w:noWrap w:val="0"/>
            <w:vAlign w:val="center"/>
          </w:tcPr>
          <w:p w14:paraId="47000FF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tcBorders>
              <w:bottom w:val="single" w:color="auto" w:sz="12" w:space="0"/>
            </w:tcBorders>
            <w:noWrap w:val="0"/>
            <w:vAlign w:val="center"/>
          </w:tcPr>
          <w:p w14:paraId="5685261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bl>
    <w:p w14:paraId="6268A833">
      <w:pP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599D47BF">
      <w:pPr>
        <w:spacing w:line="4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附</w:t>
      </w:r>
      <w:bookmarkStart w:id="1920" w:name="_Toc296503229"/>
      <w:bookmarkStart w:id="1921" w:name="_Toc296891057"/>
      <w:bookmarkStart w:id="1922" w:name="_Toc296891269"/>
      <w:bookmarkStart w:id="1923" w:name="_Toc296346730"/>
      <w:bookmarkStart w:id="1924" w:name="_Toc296347228"/>
      <w:bookmarkStart w:id="1925" w:name="_Toc296944568"/>
      <w:r>
        <w:rPr>
          <w:rFonts w:hint="eastAsia" w:ascii="宋体" w:hAnsi="宋体" w:eastAsia="宋体" w:cs="宋体"/>
          <w:color w:val="000000"/>
          <w:sz w:val="21"/>
          <w:szCs w:val="21"/>
        </w:rPr>
        <w:t>件7：</w:t>
      </w:r>
    </w:p>
    <w:p w14:paraId="7DF1DBA7">
      <w:pPr>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分包人主要施工管理人员表</w:t>
      </w:r>
    </w:p>
    <w:bookmarkEnd w:id="1920"/>
    <w:bookmarkEnd w:id="1921"/>
    <w:bookmarkEnd w:id="1922"/>
    <w:bookmarkEnd w:id="1923"/>
    <w:bookmarkEnd w:id="1924"/>
    <w:bookmarkEnd w:id="1925"/>
    <w:tbl>
      <w:tblPr>
        <w:tblStyle w:val="45"/>
        <w:tblW w:w="980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50886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12" w:space="0"/>
              <w:bottom w:val="double" w:color="auto" w:sz="6" w:space="0"/>
            </w:tcBorders>
            <w:noWrap w:val="0"/>
            <w:vAlign w:val="center"/>
          </w:tcPr>
          <w:p w14:paraId="60AA3FB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bookmarkStart w:id="1926" w:name="_Toc267261701"/>
            <w:r>
              <w:rPr>
                <w:rFonts w:hint="eastAsia" w:ascii="宋体" w:hAnsi="宋体" w:eastAsia="宋体" w:cs="宋体"/>
                <w:color w:val="000000"/>
                <w:kern w:val="2"/>
                <w:sz w:val="21"/>
                <w:szCs w:val="21"/>
                <w:lang w:val="en-US" w:eastAsia="zh-CN"/>
              </w:rPr>
              <w:t>名    称</w:t>
            </w:r>
          </w:p>
        </w:tc>
        <w:tc>
          <w:tcPr>
            <w:tcW w:w="1418" w:type="dxa"/>
            <w:tcBorders>
              <w:top w:val="single" w:color="auto" w:sz="12" w:space="0"/>
              <w:bottom w:val="double" w:color="auto" w:sz="6" w:space="0"/>
            </w:tcBorders>
            <w:noWrap w:val="0"/>
            <w:vAlign w:val="center"/>
          </w:tcPr>
          <w:p w14:paraId="3E7943A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姓名</w:t>
            </w:r>
          </w:p>
        </w:tc>
        <w:tc>
          <w:tcPr>
            <w:tcW w:w="1134" w:type="dxa"/>
            <w:tcBorders>
              <w:top w:val="single" w:color="auto" w:sz="12" w:space="0"/>
              <w:bottom w:val="double" w:color="auto" w:sz="6" w:space="0"/>
            </w:tcBorders>
            <w:noWrap w:val="0"/>
            <w:vAlign w:val="center"/>
          </w:tcPr>
          <w:p w14:paraId="3D3066C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职务</w:t>
            </w:r>
          </w:p>
        </w:tc>
        <w:tc>
          <w:tcPr>
            <w:tcW w:w="1134" w:type="dxa"/>
            <w:tcBorders>
              <w:top w:val="single" w:color="auto" w:sz="12" w:space="0"/>
              <w:bottom w:val="double" w:color="auto" w:sz="6" w:space="0"/>
            </w:tcBorders>
            <w:noWrap w:val="0"/>
            <w:vAlign w:val="center"/>
          </w:tcPr>
          <w:p w14:paraId="51D5149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职称</w:t>
            </w:r>
          </w:p>
        </w:tc>
        <w:tc>
          <w:tcPr>
            <w:tcW w:w="4252" w:type="dxa"/>
            <w:tcBorders>
              <w:top w:val="single" w:color="auto" w:sz="12" w:space="0"/>
              <w:bottom w:val="double" w:color="auto" w:sz="6" w:space="0"/>
            </w:tcBorders>
            <w:noWrap w:val="0"/>
            <w:vAlign w:val="center"/>
          </w:tcPr>
          <w:p w14:paraId="67389FD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主要资历、经验及承担过的项目</w:t>
            </w:r>
          </w:p>
        </w:tc>
      </w:tr>
      <w:tr w14:paraId="11C34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double" w:color="auto" w:sz="6" w:space="0"/>
              <w:bottom w:val="single" w:color="auto" w:sz="6" w:space="0"/>
            </w:tcBorders>
            <w:noWrap w:val="0"/>
            <w:vAlign w:val="center"/>
          </w:tcPr>
          <w:p w14:paraId="0047D784">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一、总部人员</w:t>
            </w:r>
          </w:p>
        </w:tc>
      </w:tr>
      <w:tr w14:paraId="2E3FF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bottom w:val="nil"/>
            </w:tcBorders>
            <w:noWrap w:val="0"/>
            <w:vAlign w:val="center"/>
          </w:tcPr>
          <w:p w14:paraId="688399F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项目主管</w:t>
            </w:r>
          </w:p>
        </w:tc>
        <w:tc>
          <w:tcPr>
            <w:tcW w:w="1418" w:type="dxa"/>
            <w:tcBorders>
              <w:top w:val="nil"/>
            </w:tcBorders>
            <w:noWrap w:val="0"/>
            <w:vAlign w:val="center"/>
          </w:tcPr>
          <w:p w14:paraId="2441A6C5">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top w:val="nil"/>
            </w:tcBorders>
            <w:noWrap w:val="0"/>
            <w:vAlign w:val="center"/>
          </w:tcPr>
          <w:p w14:paraId="5AF0333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top w:val="nil"/>
            </w:tcBorders>
            <w:noWrap w:val="0"/>
            <w:vAlign w:val="center"/>
          </w:tcPr>
          <w:p w14:paraId="52F0728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tcBorders>
              <w:top w:val="nil"/>
            </w:tcBorders>
            <w:noWrap w:val="0"/>
            <w:vAlign w:val="center"/>
          </w:tcPr>
          <w:p w14:paraId="39E8D16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7F846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nil"/>
            </w:tcBorders>
            <w:noWrap w:val="0"/>
            <w:vAlign w:val="center"/>
          </w:tcPr>
          <w:p w14:paraId="79CC8BF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6E26797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6F8B400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7C1E2355">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28F1C21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0C991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bottom w:val="nil"/>
            </w:tcBorders>
            <w:noWrap w:val="0"/>
            <w:vAlign w:val="center"/>
          </w:tcPr>
          <w:p w14:paraId="12D0F86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其他人员</w:t>
            </w:r>
          </w:p>
        </w:tc>
        <w:tc>
          <w:tcPr>
            <w:tcW w:w="1418" w:type="dxa"/>
            <w:noWrap w:val="0"/>
            <w:vAlign w:val="center"/>
          </w:tcPr>
          <w:p w14:paraId="1E79865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1F14560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26D1224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2AF6D0B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6B9E6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bottom w:val="nil"/>
            </w:tcBorders>
            <w:noWrap w:val="0"/>
            <w:vAlign w:val="center"/>
          </w:tcPr>
          <w:p w14:paraId="38FF7DB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67BB2ED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0E2B9375">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6A2AC73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061CBE1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63FA5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single" w:color="auto" w:sz="6" w:space="0"/>
              <w:bottom w:val="single" w:color="auto" w:sz="6" w:space="0"/>
            </w:tcBorders>
            <w:noWrap w:val="0"/>
            <w:vAlign w:val="center"/>
          </w:tcPr>
          <w:p w14:paraId="39A3EE1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二、现场人员</w:t>
            </w:r>
          </w:p>
        </w:tc>
      </w:tr>
      <w:tr w14:paraId="44A58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190EEDA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项目经理</w:t>
            </w:r>
          </w:p>
        </w:tc>
        <w:tc>
          <w:tcPr>
            <w:tcW w:w="1418" w:type="dxa"/>
            <w:noWrap w:val="0"/>
            <w:vAlign w:val="center"/>
          </w:tcPr>
          <w:p w14:paraId="2786F80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3FBAE24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6417720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1730424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3B402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480AAF3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项目副经理</w:t>
            </w:r>
          </w:p>
        </w:tc>
        <w:tc>
          <w:tcPr>
            <w:tcW w:w="1418" w:type="dxa"/>
            <w:noWrap w:val="0"/>
            <w:vAlign w:val="center"/>
          </w:tcPr>
          <w:p w14:paraId="03F4D9C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326560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A67BB8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74B1F1B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39E6F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52E96EA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技术负责人</w:t>
            </w:r>
          </w:p>
        </w:tc>
        <w:tc>
          <w:tcPr>
            <w:tcW w:w="1418" w:type="dxa"/>
            <w:noWrap w:val="0"/>
            <w:vAlign w:val="center"/>
          </w:tcPr>
          <w:p w14:paraId="67CF1CA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0F7033E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211394A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10623A2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4BB63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1548D32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造价管理</w:t>
            </w:r>
          </w:p>
        </w:tc>
        <w:tc>
          <w:tcPr>
            <w:tcW w:w="1418" w:type="dxa"/>
            <w:noWrap w:val="0"/>
            <w:vAlign w:val="center"/>
          </w:tcPr>
          <w:p w14:paraId="720528E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0C503DD5">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2982DFA4">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7A40AA94">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20CAA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43CE827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质量管理</w:t>
            </w:r>
          </w:p>
        </w:tc>
        <w:tc>
          <w:tcPr>
            <w:tcW w:w="1418" w:type="dxa"/>
            <w:noWrap w:val="0"/>
            <w:vAlign w:val="center"/>
          </w:tcPr>
          <w:p w14:paraId="59567E7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34D1B09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33BAB195">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363EE39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22E2B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17C47F2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材料管理</w:t>
            </w:r>
          </w:p>
        </w:tc>
        <w:tc>
          <w:tcPr>
            <w:tcW w:w="1418" w:type="dxa"/>
            <w:noWrap w:val="0"/>
            <w:vAlign w:val="center"/>
          </w:tcPr>
          <w:p w14:paraId="0E4778E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34E69305">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04C0DBA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0E803B5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4B637F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0661D568">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计划管理</w:t>
            </w:r>
          </w:p>
        </w:tc>
        <w:tc>
          <w:tcPr>
            <w:tcW w:w="1418" w:type="dxa"/>
            <w:noWrap w:val="0"/>
            <w:vAlign w:val="center"/>
          </w:tcPr>
          <w:p w14:paraId="1251812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6312C39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7E7CB0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4F6FF6A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0864F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0C9FCD6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安全管理</w:t>
            </w:r>
          </w:p>
        </w:tc>
        <w:tc>
          <w:tcPr>
            <w:tcW w:w="1418" w:type="dxa"/>
            <w:noWrap w:val="0"/>
            <w:vAlign w:val="center"/>
          </w:tcPr>
          <w:p w14:paraId="489F5E1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57AA955C">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2A6C9AD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695517D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2EA3C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restart"/>
            <w:tcBorders>
              <w:top w:val="single" w:color="auto" w:sz="6" w:space="0"/>
            </w:tcBorders>
            <w:noWrap w:val="0"/>
            <w:vAlign w:val="center"/>
          </w:tcPr>
          <w:p w14:paraId="2136090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其他人员</w:t>
            </w:r>
          </w:p>
        </w:tc>
        <w:tc>
          <w:tcPr>
            <w:tcW w:w="1418" w:type="dxa"/>
            <w:noWrap w:val="0"/>
            <w:vAlign w:val="center"/>
          </w:tcPr>
          <w:p w14:paraId="54AC8D2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53077054">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5D757B5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289BFE7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5E152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noWrap w:val="0"/>
            <w:vAlign w:val="center"/>
          </w:tcPr>
          <w:p w14:paraId="135FA57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tcBorders>
              <w:bottom w:val="nil"/>
            </w:tcBorders>
            <w:noWrap w:val="0"/>
            <w:vAlign w:val="center"/>
          </w:tcPr>
          <w:p w14:paraId="6789D99E">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bottom w:val="nil"/>
            </w:tcBorders>
            <w:noWrap w:val="0"/>
            <w:vAlign w:val="center"/>
          </w:tcPr>
          <w:p w14:paraId="073AE18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bottom w:val="nil"/>
            </w:tcBorders>
            <w:noWrap w:val="0"/>
            <w:vAlign w:val="center"/>
          </w:tcPr>
          <w:p w14:paraId="44ACBD7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tcBorders>
              <w:bottom w:val="nil"/>
            </w:tcBorders>
            <w:noWrap w:val="0"/>
            <w:vAlign w:val="center"/>
          </w:tcPr>
          <w:p w14:paraId="73752312">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4E2C1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noWrap w:val="0"/>
            <w:vAlign w:val="center"/>
          </w:tcPr>
          <w:p w14:paraId="08B19225">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515E0B14">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63C5350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6430916B">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74AD72C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15AFF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noWrap w:val="0"/>
            <w:vAlign w:val="center"/>
          </w:tcPr>
          <w:p w14:paraId="062A6F4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45846F6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7E8AEE4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2A08753A">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2B32382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47CE6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noWrap w:val="0"/>
            <w:vAlign w:val="center"/>
          </w:tcPr>
          <w:p w14:paraId="24317B93">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noWrap w:val="0"/>
            <w:vAlign w:val="center"/>
          </w:tcPr>
          <w:p w14:paraId="3D488830">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40594C56">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noWrap w:val="0"/>
            <w:vAlign w:val="center"/>
          </w:tcPr>
          <w:p w14:paraId="7E60FFB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noWrap w:val="0"/>
            <w:vAlign w:val="center"/>
          </w:tcPr>
          <w:p w14:paraId="6F5A53C1">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r w14:paraId="7AEBB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tcBorders>
              <w:bottom w:val="single" w:color="auto" w:sz="12" w:space="0"/>
            </w:tcBorders>
            <w:noWrap w:val="0"/>
            <w:vAlign w:val="center"/>
          </w:tcPr>
          <w:p w14:paraId="57A2ADDF">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418" w:type="dxa"/>
            <w:tcBorders>
              <w:bottom w:val="single" w:color="auto" w:sz="12" w:space="0"/>
            </w:tcBorders>
            <w:noWrap w:val="0"/>
            <w:vAlign w:val="center"/>
          </w:tcPr>
          <w:p w14:paraId="210B8815">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bottom w:val="single" w:color="auto" w:sz="12" w:space="0"/>
            </w:tcBorders>
            <w:noWrap w:val="0"/>
            <w:vAlign w:val="center"/>
          </w:tcPr>
          <w:p w14:paraId="14AF26F9">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1134" w:type="dxa"/>
            <w:tcBorders>
              <w:bottom w:val="single" w:color="auto" w:sz="12" w:space="0"/>
            </w:tcBorders>
            <w:noWrap w:val="0"/>
            <w:vAlign w:val="center"/>
          </w:tcPr>
          <w:p w14:paraId="4B4F7CB7">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c>
          <w:tcPr>
            <w:tcW w:w="4252" w:type="dxa"/>
            <w:tcBorders>
              <w:bottom w:val="single" w:color="auto" w:sz="12" w:space="0"/>
            </w:tcBorders>
            <w:noWrap w:val="0"/>
            <w:vAlign w:val="center"/>
          </w:tcPr>
          <w:p w14:paraId="1E55593D">
            <w:pPr>
              <w:pStyle w:val="2"/>
              <w:keepNext/>
              <w:keepLines w:val="0"/>
              <w:pageBreakBefore w:val="0"/>
              <w:widowControl w:val="0"/>
              <w:kinsoku/>
              <w:wordWrap/>
              <w:overflowPunct/>
              <w:topLinePunct w:val="0"/>
              <w:autoSpaceDE/>
              <w:autoSpaceDN/>
              <w:bidi w:val="0"/>
              <w:adjustRightInd/>
              <w:snapToGrid/>
              <w:spacing w:after="0" w:line="400" w:lineRule="exact"/>
              <w:ind w:left="0" w:right="0"/>
              <w:jc w:val="center"/>
              <w:textAlignment w:val="auto"/>
              <w:rPr>
                <w:rFonts w:hint="eastAsia" w:ascii="宋体" w:hAnsi="宋体" w:eastAsia="宋体" w:cs="宋体"/>
                <w:color w:val="000000"/>
                <w:kern w:val="2"/>
                <w:sz w:val="21"/>
                <w:szCs w:val="21"/>
                <w:lang w:val="en-US" w:eastAsia="zh-CN"/>
              </w:rPr>
            </w:pPr>
          </w:p>
        </w:tc>
      </w:tr>
    </w:tbl>
    <w:p w14:paraId="71C900C5">
      <w:pP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1DDDBEA6">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附</w:t>
      </w:r>
      <w:bookmarkStart w:id="1927" w:name="_Toc296891271"/>
      <w:bookmarkStart w:id="1928" w:name="_Toc296891059"/>
      <w:bookmarkStart w:id="1929" w:name="_Toc296346732"/>
      <w:bookmarkStart w:id="1930" w:name="_Toc296944570"/>
      <w:bookmarkStart w:id="1931" w:name="_Toc296503231"/>
      <w:bookmarkStart w:id="1932" w:name="_Toc296347230"/>
      <w:r>
        <w:rPr>
          <w:rFonts w:hint="eastAsia" w:ascii="宋体" w:hAnsi="宋体" w:eastAsia="宋体" w:cs="宋体"/>
          <w:color w:val="000000"/>
          <w:sz w:val="21"/>
          <w:szCs w:val="21"/>
        </w:rPr>
        <w:t>件8：</w:t>
      </w:r>
    </w:p>
    <w:bookmarkEnd w:id="1926"/>
    <w:bookmarkEnd w:id="1927"/>
    <w:bookmarkEnd w:id="1928"/>
    <w:bookmarkEnd w:id="1929"/>
    <w:bookmarkEnd w:id="1930"/>
    <w:bookmarkEnd w:id="1931"/>
    <w:bookmarkEnd w:id="1932"/>
    <w:p w14:paraId="37C0888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履约担保</w:t>
      </w:r>
    </w:p>
    <w:p w14:paraId="2B89FB5D">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rPr>
        <w:t>（发包人名称）：</w:t>
      </w:r>
    </w:p>
    <w:p w14:paraId="698ED4B9">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p>
    <w:p w14:paraId="63CFE0F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鉴于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（发包人名称，以下简称“发包人”）与</w:t>
      </w:r>
    </w:p>
    <w:p w14:paraId="2F1A5063">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（承包人名称）（以下称“承包人”）于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（工程名称）施工及有关事项协商一致共同签订《建设工程施工合同》。我方愿意无条件地、不可撤销地就承包人履行与你方签订的合同，向你方提供连带责任担保。</w:t>
      </w:r>
    </w:p>
    <w:p w14:paraId="47D23F28">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 担保金额人民币（大写）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49D12C5C">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 担保有效期自你方与承包人签订的合同生效之日起至你方签发或应签发工程接收证书之日止。</w:t>
      </w:r>
    </w:p>
    <w:p w14:paraId="0EE0FF3C">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 在本担保有效期内，因承包人违反合同约定的义务给你方造成经济损失时，我方在收到你方以书面形式提出的在担保金额内的赔偿要求后，在7天内无条件支付。</w:t>
      </w:r>
    </w:p>
    <w:p w14:paraId="6F426FD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 你方和承包人按合同约定变更合同时，我方承担本担保规定的义务不变。</w:t>
      </w:r>
    </w:p>
    <w:p w14:paraId="58E81E41">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 因本保函发生的纠纷，可由双方协商解决，协商不成的，任何一方均可提请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仲裁委员会仲裁。</w:t>
      </w:r>
    </w:p>
    <w:p w14:paraId="7CAA5886">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 本保函自我方法定代表人（或其授权代理人）</w:t>
      </w:r>
      <w:r>
        <w:rPr>
          <w:rFonts w:hint="eastAsia" w:ascii="宋体" w:hAnsi="宋体" w:eastAsia="宋体" w:cs="宋体"/>
          <w:color w:val="000000"/>
          <w:sz w:val="21"/>
          <w:szCs w:val="21"/>
          <w:lang w:eastAsia="zh-CN"/>
        </w:rPr>
        <w:t>签名</w:t>
      </w:r>
      <w:r>
        <w:rPr>
          <w:rFonts w:hint="eastAsia" w:ascii="宋体" w:hAnsi="宋体" w:eastAsia="宋体" w:cs="宋体"/>
          <w:color w:val="000000"/>
          <w:sz w:val="21"/>
          <w:szCs w:val="21"/>
        </w:rPr>
        <w:t>并加盖公章之日起生效。</w:t>
      </w:r>
    </w:p>
    <w:p w14:paraId="64F210BD">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p>
    <w:p w14:paraId="027A6563">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担 保 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（盖单位章）</w:t>
      </w:r>
    </w:p>
    <w:p w14:paraId="31D79DC6">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法定代表人或其委托代理人：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签名</w:t>
      </w:r>
      <w:r>
        <w:rPr>
          <w:rFonts w:hint="eastAsia" w:ascii="宋体" w:hAnsi="宋体" w:eastAsia="宋体" w:cs="宋体"/>
          <w:color w:val="000000"/>
          <w:sz w:val="21"/>
          <w:szCs w:val="21"/>
        </w:rPr>
        <w:t>）</w:t>
      </w:r>
    </w:p>
    <w:p w14:paraId="39CB3675">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 xml:space="preserve">                                      </w:t>
      </w:r>
    </w:p>
    <w:p w14:paraId="609C303A">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 xml:space="preserve">                                      </w:t>
      </w:r>
    </w:p>
    <w:p w14:paraId="4BFBE2D1">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 xml:space="preserve">                                      </w:t>
      </w:r>
    </w:p>
    <w:p w14:paraId="5170EC2C">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p>
    <w:p w14:paraId="55FFB110">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000000"/>
          <w:sz w:val="21"/>
          <w:szCs w:val="21"/>
          <w:u w:val="single"/>
        </w:rPr>
      </w:pPr>
    </w:p>
    <w:p w14:paraId="085C7AF2">
      <w:pPr>
        <w:keepNext w:val="0"/>
        <w:keepLines w:val="0"/>
        <w:pageBreakBefore w:val="0"/>
        <w:widowControl w:val="0"/>
        <w:kinsoku/>
        <w:wordWrap/>
        <w:overflowPunct/>
        <w:topLinePunct w:val="0"/>
        <w:autoSpaceDE/>
        <w:autoSpaceDN/>
        <w:bidi w:val="0"/>
        <w:adjustRightInd/>
        <w:snapToGrid/>
        <w:spacing w:line="360" w:lineRule="auto"/>
        <w:ind w:left="0" w:right="0" w:hanging="1329" w:hangingChars="63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14:paraId="2809480D">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p>
    <w:p w14:paraId="47EB45F3">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3F63985A">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附</w:t>
      </w:r>
      <w:bookmarkStart w:id="1933" w:name="_Toc267261702"/>
      <w:bookmarkStart w:id="1934" w:name="_Toc296891272"/>
      <w:bookmarkStart w:id="1935" w:name="_Toc296347231"/>
      <w:bookmarkStart w:id="1936" w:name="_Toc296891060"/>
      <w:bookmarkStart w:id="1937" w:name="_Toc296503232"/>
      <w:bookmarkStart w:id="1938" w:name="_Toc296346733"/>
      <w:bookmarkStart w:id="1939" w:name="_Toc296944571"/>
      <w:r>
        <w:rPr>
          <w:rFonts w:hint="eastAsia" w:ascii="宋体" w:hAnsi="宋体" w:eastAsia="宋体" w:cs="宋体"/>
          <w:color w:val="000000"/>
          <w:sz w:val="21"/>
          <w:szCs w:val="21"/>
        </w:rPr>
        <w:t>件9：</w:t>
      </w:r>
    </w:p>
    <w:bookmarkEnd w:id="1933"/>
    <w:bookmarkEnd w:id="1934"/>
    <w:bookmarkEnd w:id="1935"/>
    <w:bookmarkEnd w:id="1936"/>
    <w:bookmarkEnd w:id="1937"/>
    <w:bookmarkEnd w:id="1938"/>
    <w:bookmarkEnd w:id="1939"/>
    <w:p w14:paraId="3C9A0B69">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预付款担保</w:t>
      </w:r>
    </w:p>
    <w:p w14:paraId="6AA85E45">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（发包人名称）：</w:t>
      </w:r>
    </w:p>
    <w:p w14:paraId="0A272DBA">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p>
    <w:p w14:paraId="20283DCE">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根据</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（承包人名称）（以下称“承包人”）与</w:t>
      </w:r>
    </w:p>
    <w:p w14:paraId="41A0512A">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（发包人名称）（以下简称“发包人”）</w:t>
      </w:r>
    </w:p>
    <w:p w14:paraId="0910BB58">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日签订的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（工程名称）《建设工程施工合同》，承包人按约定的金额向你方提交一份预付款担保，即有权得到你方支付相等金额的预付款。我方愿意就你方提供给承包人的预付款为承包人提供连带责任担保。</w:t>
      </w:r>
    </w:p>
    <w:p w14:paraId="3439745E">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 担保金额人民币（大写）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F4B1EE4">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 担保有效期自预付款支付给承包人起生效，至你方签发的进度款支付证书说明已完全扣清止。</w:t>
      </w:r>
    </w:p>
    <w:p w14:paraId="1A4BEAF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07E97C2">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 你方和承包人按合同约定变更合同时，我方承担本保函规定的义务不变。</w:t>
      </w:r>
    </w:p>
    <w:p w14:paraId="42B7CC7F">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 因本保函发生的纠纷，可由双方协商解决，协商不成的，任何一方均可提请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仲裁委员会仲裁。</w:t>
      </w:r>
    </w:p>
    <w:p w14:paraId="2E8DB588">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 本保函自我方法定代表人（或其授权代理人）</w:t>
      </w:r>
      <w:r>
        <w:rPr>
          <w:rFonts w:hint="eastAsia" w:ascii="宋体" w:hAnsi="宋体" w:eastAsia="宋体" w:cs="宋体"/>
          <w:color w:val="000000"/>
          <w:sz w:val="21"/>
          <w:szCs w:val="21"/>
          <w:lang w:eastAsia="zh-CN"/>
        </w:rPr>
        <w:t>签名</w:t>
      </w:r>
      <w:r>
        <w:rPr>
          <w:rFonts w:hint="eastAsia" w:ascii="宋体" w:hAnsi="宋体" w:eastAsia="宋体" w:cs="宋体"/>
          <w:color w:val="000000"/>
          <w:sz w:val="21"/>
          <w:szCs w:val="21"/>
        </w:rPr>
        <w:t>并加盖公章之日起生效。</w:t>
      </w:r>
    </w:p>
    <w:p w14:paraId="5102F56B">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p>
    <w:p w14:paraId="6A544FF5">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p>
    <w:p w14:paraId="64B50561">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担保人：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（盖单位章）</w:t>
      </w:r>
    </w:p>
    <w:p w14:paraId="6D39D0A3">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法定代表人或其委托代理人：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签名</w:t>
      </w:r>
      <w:r>
        <w:rPr>
          <w:rFonts w:hint="eastAsia" w:ascii="宋体" w:hAnsi="宋体" w:eastAsia="宋体" w:cs="宋体"/>
          <w:color w:val="000000"/>
          <w:sz w:val="21"/>
          <w:szCs w:val="21"/>
        </w:rPr>
        <w:t>）</w:t>
      </w:r>
    </w:p>
    <w:p w14:paraId="34212155">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14:paraId="0A133EC4">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14:paraId="14F0D94E">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14:paraId="582C22D0">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14:paraId="376A0866">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14:paraId="3E0027D0">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u w:val="single"/>
        </w:rPr>
      </w:pPr>
    </w:p>
    <w:p w14:paraId="56344967">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14:paraId="07B107F9">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4990A8C0">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附</w:t>
      </w:r>
      <w:bookmarkStart w:id="1940" w:name="_Toc296891061"/>
      <w:bookmarkStart w:id="1941" w:name="_Toc296891273"/>
      <w:bookmarkStart w:id="1942" w:name="_Toc296503233"/>
      <w:bookmarkStart w:id="1943" w:name="_Toc296944572"/>
      <w:bookmarkStart w:id="1944" w:name="_Toc296346734"/>
      <w:bookmarkStart w:id="1945" w:name="_Toc296347232"/>
      <w:r>
        <w:rPr>
          <w:rFonts w:hint="eastAsia" w:ascii="宋体" w:hAnsi="宋体" w:eastAsia="宋体" w:cs="宋体"/>
          <w:color w:val="000000"/>
          <w:sz w:val="21"/>
          <w:szCs w:val="21"/>
        </w:rPr>
        <w:t>件10</w:t>
      </w:r>
    </w:p>
    <w:bookmarkEnd w:id="1940"/>
    <w:bookmarkEnd w:id="1941"/>
    <w:bookmarkEnd w:id="1942"/>
    <w:bookmarkEnd w:id="1943"/>
    <w:bookmarkEnd w:id="1944"/>
    <w:bookmarkEnd w:id="1945"/>
    <w:p w14:paraId="6D104E91">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支付担保</w:t>
      </w:r>
    </w:p>
    <w:p w14:paraId="1BD1DC12">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（承包人）：</w:t>
      </w:r>
    </w:p>
    <w:p w14:paraId="50134B98">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000000"/>
          <w:sz w:val="21"/>
          <w:szCs w:val="21"/>
        </w:rPr>
      </w:pPr>
    </w:p>
    <w:p w14:paraId="0E11B3E3">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鉴于你方作为承包人已经与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（发包人名称）（以下称“发包人”）于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日签订了</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（工程名称）《建设工程施工合同》（以下称“主合同”），应发包人的申请，我方愿就发包人履行主合同约定的工程款支付义务以保证的方式向你方提供如下担保：</w:t>
      </w:r>
    </w:p>
    <w:p w14:paraId="2E66A6D5">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一、保证的范围及保证金额</w:t>
      </w:r>
    </w:p>
    <w:p w14:paraId="4B425F2C">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 我方的保证范围是主合同约定的工程款。</w:t>
      </w:r>
    </w:p>
    <w:p w14:paraId="76F03A84">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 本保函所称主合同约定的工程款是指主合同约定的除工程质量保证金以外的合同价款。</w:t>
      </w:r>
    </w:p>
    <w:p w14:paraId="520DC515">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 我方保证的金额是主合同约定的工程款的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%，数额最高不超过人民币元（大写：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3B0AB72E">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二、保证的方式及保证期间</w:t>
      </w:r>
    </w:p>
    <w:p w14:paraId="2E97115B">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 我方保证的方式为：连带责任保证。</w:t>
      </w:r>
    </w:p>
    <w:p w14:paraId="1CE2CC0B">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 我方保证的期间为：自本合同生效之日起至主合同约定的工程款支付完毕之日后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日内。</w:t>
      </w:r>
    </w:p>
    <w:p w14:paraId="7F0B8070">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 你方与发包人协议变更工程款支付日期的，经我方书面同意后，保证期间按照变更后的支付日期做相应调整。</w:t>
      </w:r>
    </w:p>
    <w:p w14:paraId="02E1BD23">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三、承担保证责任的形式</w:t>
      </w:r>
    </w:p>
    <w:p w14:paraId="46E4317C">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我方承担保证责任的形式是代为支付。发包人未按主合同约定向你方支付工程款的，由我方在保证金额内代为支付。</w:t>
      </w:r>
    </w:p>
    <w:p w14:paraId="60E1E2AE">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四、代偿的安排</w:t>
      </w:r>
    </w:p>
    <w:p w14:paraId="34F677B8">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 你方要求我方承担保证责任的，应向我方发出书面索赔通知及发包人未支付主合同约定工程款的证明材料。索赔通知应写明要求索赔的金额，支付款项应到达的账号。</w:t>
      </w:r>
    </w:p>
    <w:p w14:paraId="166DD9AF">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 在出现你方与发包人因工程质量发生争议，发包人拒绝向你方支付工程款的情形时，你方要求我方履行保证责任代为支付的，需提供符合相应条件要求的工程质量检测机构出具的质量说明材料。</w:t>
      </w:r>
    </w:p>
    <w:p w14:paraId="1B833610">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 我方收到你方的书面索赔通知及相应的证明材料后７天内无条件支付。</w:t>
      </w:r>
    </w:p>
    <w:p w14:paraId="725A7A9F">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五、保证责任的解除</w:t>
      </w:r>
    </w:p>
    <w:p w14:paraId="539F2908">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 在本保函承诺的保证期间内，你方未书面向我方主张保证责任的，自保证期间届满次日起，我方保证责任解除。</w:t>
      </w:r>
    </w:p>
    <w:p w14:paraId="05710A6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 发包人按主合同约定履行了工程款的全部支付义务的，自本保函承诺的保证期间届满次日起，我方保证责任解除。</w:t>
      </w:r>
    </w:p>
    <w:p w14:paraId="7374D43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 我方按照本保函向你方履行保证责任所支付金额达到本保函保证金额时，自我方向你方支付（支付款项从我方账户划出）之日起，保证责任即解除。</w:t>
      </w:r>
    </w:p>
    <w:p w14:paraId="0E78BFBD">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 按照法律法规的规定或出现应解除我方保证责任的其他情形的，我方在本保函项下的保证责任亦解除。</w:t>
      </w:r>
    </w:p>
    <w:p w14:paraId="69195550">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000000"/>
          <w:sz w:val="21"/>
          <w:szCs w:val="21"/>
        </w:rPr>
      </w:pPr>
    </w:p>
    <w:p w14:paraId="475F9F74">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 我方解除保证责任后，你方应自我方保证责任解除之日起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个工作日内，将本保函原件返还我方。</w:t>
      </w:r>
    </w:p>
    <w:p w14:paraId="617FD9E4">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六、免责条款</w:t>
      </w:r>
    </w:p>
    <w:p w14:paraId="340EAD5B">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 因你方违约致使发包人不能履行义务的，我方不承担保证责任。</w:t>
      </w:r>
    </w:p>
    <w:p w14:paraId="0BAB281E">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 依照法律法规的规定或你方与发包人的另行约定，免除发包人部分或全部义务的，我方亦免除其相应的保证责任。</w:t>
      </w:r>
    </w:p>
    <w:p w14:paraId="27394AC0">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14:paraId="4F31DB26">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 因不可抗力造成发包人不能履行义务的，我方不承担保证责任。</w:t>
      </w:r>
    </w:p>
    <w:p w14:paraId="047479DF">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七、争议解决</w:t>
      </w:r>
    </w:p>
    <w:p w14:paraId="09375D88">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因本保函或本保函相关事项发生的纠纷，可由双方协商解决，协商不成的，按下列第</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种方式解决：</w:t>
      </w:r>
    </w:p>
    <w:p w14:paraId="7CA2105E">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（1）向</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仲裁委员会申请仲裁；</w:t>
      </w:r>
    </w:p>
    <w:p w14:paraId="60663C45">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（2）向</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人民法院起诉。</w:t>
      </w:r>
    </w:p>
    <w:p w14:paraId="58602D11">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rPr>
        <w:t>八、保函的生效</w:t>
      </w:r>
    </w:p>
    <w:p w14:paraId="751A22D6">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本保函自我方法定代表人（或其授权代理人）</w:t>
      </w:r>
      <w:r>
        <w:rPr>
          <w:rFonts w:hint="eastAsia" w:ascii="宋体" w:hAnsi="宋体" w:eastAsia="宋体" w:cs="宋体"/>
          <w:color w:val="000000"/>
          <w:sz w:val="21"/>
          <w:szCs w:val="21"/>
          <w:lang w:eastAsia="zh-CN"/>
        </w:rPr>
        <w:t>签名</w:t>
      </w:r>
      <w:r>
        <w:rPr>
          <w:rFonts w:hint="eastAsia" w:ascii="宋体" w:hAnsi="宋体" w:eastAsia="宋体" w:cs="宋体"/>
          <w:color w:val="000000"/>
          <w:sz w:val="21"/>
          <w:szCs w:val="21"/>
        </w:rPr>
        <w:t>并加盖公章之日起生效。</w:t>
      </w:r>
    </w:p>
    <w:p w14:paraId="1389287A">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p>
    <w:p w14:paraId="6C673AC5">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000000"/>
          <w:sz w:val="21"/>
          <w:szCs w:val="21"/>
        </w:rPr>
      </w:pPr>
    </w:p>
    <w:p w14:paraId="766B2C07">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担保人：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（盖章）</w:t>
      </w:r>
    </w:p>
    <w:p w14:paraId="251BE5C5">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法定代表人或委托代理人：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签名</w:t>
      </w:r>
      <w:r>
        <w:rPr>
          <w:rFonts w:hint="eastAsia" w:ascii="宋体" w:hAnsi="宋体" w:eastAsia="宋体" w:cs="宋体"/>
          <w:color w:val="000000"/>
          <w:sz w:val="21"/>
          <w:szCs w:val="21"/>
        </w:rPr>
        <w:t>）</w:t>
      </w:r>
    </w:p>
    <w:p w14:paraId="60F30D07">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 xml:space="preserve">                                        </w:t>
      </w:r>
    </w:p>
    <w:p w14:paraId="70148DEF">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 xml:space="preserve">                                        </w:t>
      </w:r>
    </w:p>
    <w:p w14:paraId="433FCAF8">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p>
    <w:p w14:paraId="16AB76F5">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u w:val="single"/>
        </w:rPr>
      </w:pPr>
    </w:p>
    <w:p w14:paraId="40CCDF0C">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14:paraId="0CA56750">
      <w:pPr>
        <w:spacing w:line="440" w:lineRule="exact"/>
        <w:rPr>
          <w:rFonts w:hint="eastAsia" w:ascii="宋体" w:hAnsi="宋体" w:eastAsia="宋体" w:cs="宋体"/>
          <w:color w:val="000000"/>
          <w:sz w:val="21"/>
          <w:szCs w:val="21"/>
        </w:rPr>
      </w:pPr>
      <w:r>
        <w:rPr>
          <w:rFonts w:hint="eastAsia" w:ascii="宋体" w:hAnsi="宋体" w:eastAsia="宋体" w:cs="宋体"/>
          <w:color w:val="000000"/>
          <w:sz w:val="21"/>
          <w:szCs w:val="21"/>
        </w:rPr>
        <w:br w:type="page"/>
      </w:r>
      <w:r>
        <w:rPr>
          <w:rFonts w:hint="eastAsia" w:ascii="宋体" w:hAnsi="宋体" w:eastAsia="宋体" w:cs="宋体"/>
          <w:color w:val="000000"/>
          <w:sz w:val="21"/>
          <w:szCs w:val="21"/>
        </w:rPr>
        <w:t>附件11：</w:t>
      </w:r>
    </w:p>
    <w:p w14:paraId="4EB37329">
      <w:pPr>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11-1：材料暂估价表</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0C0D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56DA6B5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序号</w:t>
            </w:r>
          </w:p>
        </w:tc>
        <w:tc>
          <w:tcPr>
            <w:tcW w:w="1984" w:type="dxa"/>
            <w:tcBorders>
              <w:top w:val="single" w:color="auto" w:sz="12" w:space="0"/>
              <w:bottom w:val="double" w:color="auto" w:sz="6" w:space="0"/>
            </w:tcBorders>
            <w:noWrap w:val="0"/>
            <w:vAlign w:val="top"/>
          </w:tcPr>
          <w:p w14:paraId="5BEDA07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名称</w:t>
            </w:r>
          </w:p>
        </w:tc>
        <w:tc>
          <w:tcPr>
            <w:tcW w:w="851" w:type="dxa"/>
            <w:tcBorders>
              <w:top w:val="single" w:color="auto" w:sz="12" w:space="0"/>
              <w:bottom w:val="double" w:color="auto" w:sz="6" w:space="0"/>
            </w:tcBorders>
            <w:noWrap w:val="0"/>
            <w:vAlign w:val="top"/>
          </w:tcPr>
          <w:p w14:paraId="2C5D179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单位</w:t>
            </w:r>
          </w:p>
        </w:tc>
        <w:tc>
          <w:tcPr>
            <w:tcW w:w="774" w:type="dxa"/>
            <w:tcBorders>
              <w:top w:val="single" w:color="auto" w:sz="12" w:space="0"/>
              <w:bottom w:val="double" w:color="auto" w:sz="6" w:space="0"/>
            </w:tcBorders>
            <w:noWrap w:val="0"/>
            <w:vAlign w:val="top"/>
          </w:tcPr>
          <w:p w14:paraId="64C4AB9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数量</w:t>
            </w:r>
          </w:p>
        </w:tc>
        <w:tc>
          <w:tcPr>
            <w:tcW w:w="1352" w:type="dxa"/>
            <w:tcBorders>
              <w:top w:val="single" w:color="auto" w:sz="12" w:space="0"/>
              <w:bottom w:val="double" w:color="auto" w:sz="6" w:space="0"/>
            </w:tcBorders>
            <w:noWrap w:val="0"/>
            <w:vAlign w:val="top"/>
          </w:tcPr>
          <w:p w14:paraId="1BB6769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单价（元）</w:t>
            </w:r>
          </w:p>
        </w:tc>
        <w:tc>
          <w:tcPr>
            <w:tcW w:w="1418" w:type="dxa"/>
            <w:tcBorders>
              <w:top w:val="single" w:color="auto" w:sz="12" w:space="0"/>
              <w:bottom w:val="double" w:color="auto" w:sz="6" w:space="0"/>
            </w:tcBorders>
            <w:noWrap w:val="0"/>
            <w:vAlign w:val="top"/>
          </w:tcPr>
          <w:p w14:paraId="42C48E0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合价（元）</w:t>
            </w:r>
          </w:p>
        </w:tc>
        <w:tc>
          <w:tcPr>
            <w:tcW w:w="1701" w:type="dxa"/>
            <w:tcBorders>
              <w:top w:val="single" w:color="auto" w:sz="12" w:space="0"/>
              <w:bottom w:val="double" w:color="auto" w:sz="6" w:space="0"/>
            </w:tcBorders>
            <w:noWrap w:val="0"/>
            <w:vAlign w:val="top"/>
          </w:tcPr>
          <w:p w14:paraId="353AD73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备注</w:t>
            </w:r>
          </w:p>
        </w:tc>
      </w:tr>
      <w:tr w14:paraId="498BB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5B4753C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tcBorders>
              <w:top w:val="double" w:color="auto" w:sz="6" w:space="0"/>
              <w:bottom w:val="single" w:color="auto" w:sz="6" w:space="0"/>
            </w:tcBorders>
            <w:noWrap w:val="0"/>
            <w:vAlign w:val="top"/>
          </w:tcPr>
          <w:p w14:paraId="128848F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tcBorders>
              <w:top w:val="double" w:color="auto" w:sz="6" w:space="0"/>
              <w:bottom w:val="single" w:color="auto" w:sz="6" w:space="0"/>
            </w:tcBorders>
            <w:noWrap w:val="0"/>
            <w:vAlign w:val="top"/>
          </w:tcPr>
          <w:p w14:paraId="14C491E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tcBorders>
              <w:top w:val="double" w:color="auto" w:sz="6" w:space="0"/>
              <w:bottom w:val="single" w:color="auto" w:sz="6" w:space="0"/>
            </w:tcBorders>
            <w:noWrap w:val="0"/>
            <w:vAlign w:val="top"/>
          </w:tcPr>
          <w:p w14:paraId="2999CC97">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tcBorders>
              <w:top w:val="double" w:color="auto" w:sz="6" w:space="0"/>
              <w:bottom w:val="single" w:color="auto" w:sz="6" w:space="0"/>
            </w:tcBorders>
            <w:noWrap w:val="0"/>
            <w:vAlign w:val="top"/>
          </w:tcPr>
          <w:p w14:paraId="7D6994D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tcBorders>
              <w:top w:val="double" w:color="auto" w:sz="6" w:space="0"/>
              <w:bottom w:val="single" w:color="auto" w:sz="6" w:space="0"/>
            </w:tcBorders>
            <w:noWrap w:val="0"/>
            <w:vAlign w:val="top"/>
          </w:tcPr>
          <w:p w14:paraId="7C2AB2A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tcBorders>
              <w:top w:val="double" w:color="auto" w:sz="6" w:space="0"/>
              <w:bottom w:val="single" w:color="auto" w:sz="6" w:space="0"/>
            </w:tcBorders>
            <w:noWrap w:val="0"/>
            <w:vAlign w:val="top"/>
          </w:tcPr>
          <w:p w14:paraId="25D2711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06056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58EAD50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tcBorders>
              <w:top w:val="nil"/>
            </w:tcBorders>
            <w:noWrap w:val="0"/>
            <w:vAlign w:val="top"/>
          </w:tcPr>
          <w:p w14:paraId="0979FA5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tcBorders>
              <w:top w:val="nil"/>
            </w:tcBorders>
            <w:noWrap w:val="0"/>
            <w:vAlign w:val="top"/>
          </w:tcPr>
          <w:p w14:paraId="2760E4C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tcBorders>
              <w:top w:val="nil"/>
            </w:tcBorders>
            <w:noWrap w:val="0"/>
            <w:vAlign w:val="top"/>
          </w:tcPr>
          <w:p w14:paraId="15391E4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tcBorders>
              <w:top w:val="nil"/>
            </w:tcBorders>
            <w:noWrap w:val="0"/>
            <w:vAlign w:val="top"/>
          </w:tcPr>
          <w:p w14:paraId="28212BE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tcBorders>
              <w:top w:val="nil"/>
            </w:tcBorders>
            <w:noWrap w:val="0"/>
            <w:vAlign w:val="top"/>
          </w:tcPr>
          <w:p w14:paraId="293CC19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tcBorders>
              <w:top w:val="nil"/>
            </w:tcBorders>
            <w:noWrap w:val="0"/>
            <w:vAlign w:val="top"/>
          </w:tcPr>
          <w:p w14:paraId="67562A6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68871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9ACB3E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60F1006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3AA648D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640FF10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1013E81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1EFC6FA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062F50B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01F76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DE0C55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24005C4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106B25A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17F3B1C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7681829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53A93D9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F34641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5B8F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94B80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4220A62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544BA17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62A97AA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3D70CBB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0C02EB7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440D3D4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7F388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CF4E15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1C990C1A">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75EC876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61C6404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6006B34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0BF8BD7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5790EE7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09644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1311FE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0D52C3C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5DE713D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2B1E9457">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212EBF8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23CAA56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429996E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B68B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3111ED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5762301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527A8D7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1E1E2C9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0870121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4A34E22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18DBDF1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DA85D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771FE17">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799D49A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3427BE4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66F1DC5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1B5CB59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4113232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8E52AC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73BBB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14F9A2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0D68B6D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4EA924E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4512E29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3EB0B1F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03DA196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5A5F2DE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41B6E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8AA4E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5E6AF04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6D49DFB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70C9511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49833F7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1DE64B7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092DC2C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3E1F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9939E2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7BD7010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187FFEB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7B9D0C9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2C77E63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6C9AA14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7322CF0A">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8970B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B869D5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5C02D1F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4B4EDF2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6842CB1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111F0B8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74E786C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5DBB8ED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619EB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D668A8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741EF87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5E5E81D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23000C0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6F6DEC1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15C40BAA">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21AACCA">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69D3E3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736FB4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6A885B4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6D6A960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3BCD02B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32D3516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54BF337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4298B39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4B21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6D3975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20565F3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47B30CF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5A60FE1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60E0907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2322C1A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6E91DADA">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9DE4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D208E0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5776664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7998998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6C60707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15BC72B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1D125BD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496621F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28583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19BE16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4DFD8D1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390C097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144146B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1367962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1AEEAC4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69E5D17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71AC8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59CC4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6692DDA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3C34A7F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01195E9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33258B4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6FE526D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152E77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2ECA3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99702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26BBDDB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32D5D10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223D33B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39D819A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202860B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26BA46C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68FA3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C42D70A">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2B8796F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348373A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4D70CCA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386FDF9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7BD179C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09447B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192A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59F5E0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1C5A583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7A14296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28975EB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1EDD4EE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2742F70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4DD0042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1FC1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D7888A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75EA00E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5A3DEFC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5F5E6A1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2061907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1E61399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7D89CE17">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3CBF0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C1013F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6BD0646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432F082A">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51F050C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65F702D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71FEBC9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1EDB7DF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EB75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3B5101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4F9A5F4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4B3D31C7">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0BEFDA4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066B528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1C3EF18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7907EF6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bl>
    <w:p w14:paraId="35283D84">
      <w:pP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268A8EA1">
      <w:pPr>
        <w:pStyle w:val="2"/>
        <w:rPr>
          <w:rFonts w:hint="eastAsia"/>
        </w:rPr>
      </w:pPr>
    </w:p>
    <w:p w14:paraId="530B2718">
      <w:pPr>
        <w:spacing w:before="156" w:beforeLines="50" w:after="156" w:afterLines="50"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11-2：工程设备暂估价表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9860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CC2AA3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序号</w:t>
            </w:r>
          </w:p>
        </w:tc>
        <w:tc>
          <w:tcPr>
            <w:tcW w:w="1984" w:type="dxa"/>
            <w:tcBorders>
              <w:top w:val="single" w:color="auto" w:sz="12" w:space="0"/>
              <w:bottom w:val="double" w:color="auto" w:sz="6" w:space="0"/>
            </w:tcBorders>
            <w:noWrap w:val="0"/>
            <w:vAlign w:val="top"/>
          </w:tcPr>
          <w:p w14:paraId="31F051F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名称</w:t>
            </w:r>
          </w:p>
        </w:tc>
        <w:tc>
          <w:tcPr>
            <w:tcW w:w="851" w:type="dxa"/>
            <w:tcBorders>
              <w:top w:val="single" w:color="auto" w:sz="12" w:space="0"/>
              <w:bottom w:val="double" w:color="auto" w:sz="6" w:space="0"/>
            </w:tcBorders>
            <w:noWrap w:val="0"/>
            <w:vAlign w:val="top"/>
          </w:tcPr>
          <w:p w14:paraId="05D54E7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单位</w:t>
            </w:r>
          </w:p>
        </w:tc>
        <w:tc>
          <w:tcPr>
            <w:tcW w:w="774" w:type="dxa"/>
            <w:tcBorders>
              <w:top w:val="single" w:color="auto" w:sz="12" w:space="0"/>
              <w:bottom w:val="double" w:color="auto" w:sz="6" w:space="0"/>
            </w:tcBorders>
            <w:noWrap w:val="0"/>
            <w:vAlign w:val="top"/>
          </w:tcPr>
          <w:p w14:paraId="40871EF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数量</w:t>
            </w:r>
          </w:p>
        </w:tc>
        <w:tc>
          <w:tcPr>
            <w:tcW w:w="1352" w:type="dxa"/>
            <w:tcBorders>
              <w:top w:val="single" w:color="auto" w:sz="12" w:space="0"/>
              <w:bottom w:val="double" w:color="auto" w:sz="6" w:space="0"/>
            </w:tcBorders>
            <w:noWrap w:val="0"/>
            <w:vAlign w:val="top"/>
          </w:tcPr>
          <w:p w14:paraId="712715C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单价（元）</w:t>
            </w:r>
          </w:p>
        </w:tc>
        <w:tc>
          <w:tcPr>
            <w:tcW w:w="1418" w:type="dxa"/>
            <w:tcBorders>
              <w:top w:val="single" w:color="auto" w:sz="12" w:space="0"/>
              <w:bottom w:val="double" w:color="auto" w:sz="6" w:space="0"/>
            </w:tcBorders>
            <w:noWrap w:val="0"/>
            <w:vAlign w:val="top"/>
          </w:tcPr>
          <w:p w14:paraId="797BBBB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合价（元）</w:t>
            </w:r>
          </w:p>
        </w:tc>
        <w:tc>
          <w:tcPr>
            <w:tcW w:w="1701" w:type="dxa"/>
            <w:tcBorders>
              <w:top w:val="single" w:color="auto" w:sz="12" w:space="0"/>
              <w:bottom w:val="double" w:color="auto" w:sz="6" w:space="0"/>
            </w:tcBorders>
            <w:noWrap w:val="0"/>
            <w:vAlign w:val="top"/>
          </w:tcPr>
          <w:p w14:paraId="1E40CA2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备注</w:t>
            </w:r>
          </w:p>
        </w:tc>
      </w:tr>
      <w:tr w14:paraId="0F407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33F7673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tcBorders>
              <w:top w:val="double" w:color="auto" w:sz="6" w:space="0"/>
              <w:bottom w:val="single" w:color="auto" w:sz="6" w:space="0"/>
            </w:tcBorders>
            <w:noWrap w:val="0"/>
            <w:vAlign w:val="top"/>
          </w:tcPr>
          <w:p w14:paraId="23F9760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tcBorders>
              <w:top w:val="double" w:color="auto" w:sz="6" w:space="0"/>
              <w:bottom w:val="single" w:color="auto" w:sz="6" w:space="0"/>
            </w:tcBorders>
            <w:noWrap w:val="0"/>
            <w:vAlign w:val="top"/>
          </w:tcPr>
          <w:p w14:paraId="5F03175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tcBorders>
              <w:top w:val="double" w:color="auto" w:sz="6" w:space="0"/>
              <w:bottom w:val="single" w:color="auto" w:sz="6" w:space="0"/>
            </w:tcBorders>
            <w:noWrap w:val="0"/>
            <w:vAlign w:val="top"/>
          </w:tcPr>
          <w:p w14:paraId="08AB065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tcBorders>
              <w:top w:val="double" w:color="auto" w:sz="6" w:space="0"/>
              <w:bottom w:val="single" w:color="auto" w:sz="6" w:space="0"/>
            </w:tcBorders>
            <w:noWrap w:val="0"/>
            <w:vAlign w:val="top"/>
          </w:tcPr>
          <w:p w14:paraId="63A6E7B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tcBorders>
              <w:top w:val="double" w:color="auto" w:sz="6" w:space="0"/>
              <w:bottom w:val="single" w:color="auto" w:sz="6" w:space="0"/>
            </w:tcBorders>
            <w:noWrap w:val="0"/>
            <w:vAlign w:val="top"/>
          </w:tcPr>
          <w:p w14:paraId="76BA3AC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tcBorders>
              <w:top w:val="double" w:color="auto" w:sz="6" w:space="0"/>
              <w:bottom w:val="single" w:color="auto" w:sz="6" w:space="0"/>
            </w:tcBorders>
            <w:noWrap w:val="0"/>
            <w:vAlign w:val="top"/>
          </w:tcPr>
          <w:p w14:paraId="1F49F1F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8B7F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183ADBFA">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tcBorders>
              <w:top w:val="nil"/>
            </w:tcBorders>
            <w:noWrap w:val="0"/>
            <w:vAlign w:val="top"/>
          </w:tcPr>
          <w:p w14:paraId="30AAE48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tcBorders>
              <w:top w:val="nil"/>
            </w:tcBorders>
            <w:noWrap w:val="0"/>
            <w:vAlign w:val="top"/>
          </w:tcPr>
          <w:p w14:paraId="54456D2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tcBorders>
              <w:top w:val="nil"/>
            </w:tcBorders>
            <w:noWrap w:val="0"/>
            <w:vAlign w:val="top"/>
          </w:tcPr>
          <w:p w14:paraId="01FC38C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tcBorders>
              <w:top w:val="nil"/>
            </w:tcBorders>
            <w:noWrap w:val="0"/>
            <w:vAlign w:val="top"/>
          </w:tcPr>
          <w:p w14:paraId="63175F9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tcBorders>
              <w:top w:val="nil"/>
            </w:tcBorders>
            <w:noWrap w:val="0"/>
            <w:vAlign w:val="top"/>
          </w:tcPr>
          <w:p w14:paraId="6D71486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tcBorders>
              <w:top w:val="nil"/>
            </w:tcBorders>
            <w:noWrap w:val="0"/>
            <w:vAlign w:val="top"/>
          </w:tcPr>
          <w:p w14:paraId="5FD50F3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8930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A502B7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53FB819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25A633A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32E1326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7F55DE5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136F376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6CAD5B4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70CDC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F1C3777">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07DB815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5554D63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6A9A6AB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4CFF9E47">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4D6E61CA">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471B214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7364C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F5823A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6176CD6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207D684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3B7DB8C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72BB889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59BA31D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7CE9D01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2E4A0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E25F0E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5CF2F3F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6A3B7B0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7B9B5EF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69A35377">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6928175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685C6D9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65A28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57A746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3A84C31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51B3CAB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241FF57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5AB9024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645374B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CD708A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7F402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F08B89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6B3C1F2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6C4DB8A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43CC985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3E5A6F8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37083B1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0C8A08A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C6F0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31A7B37">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0927E9A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5A2BAF3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6660356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7FA9470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767F8E8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183D21D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3135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9F0268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478E0A2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70909FB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6EF97E7A">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4E9FC4F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6D0F119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F00A73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6696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59CCC6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184699B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520683F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3B1159E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24D9611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0DC7878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200DBA1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437C2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56BBFE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3C9FA61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67ADEE3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76D16C1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2170961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36C1DDB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785211D7">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212B2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FE38B7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6729A5C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4DFCABD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0256DD1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1214E5A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1C5E91C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577775C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34937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ED3C9A">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70483AB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55C120F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1DED51E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01C4D02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72B5D87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B66029A">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058A5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D900EF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2DD72FE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0447D34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33F8970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2761F87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66DCD5CA">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3E6C86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3296C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650CE4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244703E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4C0B797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51A59D2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5F284077">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11BCC98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FDAECF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40EEB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5F23BE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256ABB0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475B75D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24C458B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19B28E2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79EC705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623327C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4E790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81BCFA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40A4CB4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6E2565C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2460C36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4AC4DE2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6690735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7567016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8E30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12AD1E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36387F1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43BD037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212AB96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3974041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21500F9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20B584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485D9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7D310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39CA026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11CED0AA">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14D5B2D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1687976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2A74B5F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5230852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01B88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BE51B7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33B18EC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34EC316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444C555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190CFDF7">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32B7673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65CF38E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DD2B1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5015C2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358223B7">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479F3EA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46BAD1EA">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780AE5E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3042E5B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1F9C7A8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649F6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995F2E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3AC063E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26809E3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30935C2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241FB06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19B43E3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0BD5E98A">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32485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B498FB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218DF5C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7E22849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1367D48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7581762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7A4265F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37E2545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6FCA3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A400A9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3F37BB8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851" w:type="dxa"/>
            <w:noWrap w:val="0"/>
            <w:vAlign w:val="top"/>
          </w:tcPr>
          <w:p w14:paraId="229933C7">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774" w:type="dxa"/>
            <w:noWrap w:val="0"/>
            <w:vAlign w:val="top"/>
          </w:tcPr>
          <w:p w14:paraId="4BE2E77A">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352" w:type="dxa"/>
            <w:noWrap w:val="0"/>
            <w:vAlign w:val="top"/>
          </w:tcPr>
          <w:p w14:paraId="2A925EF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418" w:type="dxa"/>
            <w:noWrap w:val="0"/>
            <w:vAlign w:val="top"/>
          </w:tcPr>
          <w:p w14:paraId="5E96CFB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701" w:type="dxa"/>
            <w:noWrap w:val="0"/>
            <w:vAlign w:val="top"/>
          </w:tcPr>
          <w:p w14:paraId="45A0761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bl>
    <w:p w14:paraId="686A98EE">
      <w:pPr>
        <w:spacing w:before="156" w:beforeLines="50" w:after="156" w:afterLines="50" w:line="440" w:lineRule="exact"/>
        <w:jc w:val="both"/>
        <w:rPr>
          <w:rFonts w:hint="eastAsia" w:ascii="宋体" w:hAnsi="宋体" w:eastAsia="宋体" w:cs="宋体"/>
          <w:color w:val="000000"/>
          <w:sz w:val="21"/>
          <w:szCs w:val="21"/>
        </w:rPr>
      </w:pPr>
    </w:p>
    <w:p w14:paraId="258AFB54">
      <w:pP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p>
    <w:p w14:paraId="77037034">
      <w:pPr>
        <w:spacing w:before="156" w:beforeLines="50" w:after="156" w:afterLines="50"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11-3：专业工程暂估价表</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1DB1A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454A255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序号</w:t>
            </w:r>
          </w:p>
        </w:tc>
        <w:tc>
          <w:tcPr>
            <w:tcW w:w="1984" w:type="dxa"/>
            <w:tcBorders>
              <w:top w:val="single" w:color="auto" w:sz="12" w:space="0"/>
              <w:bottom w:val="double" w:color="auto" w:sz="6" w:space="0"/>
            </w:tcBorders>
            <w:noWrap w:val="0"/>
            <w:vAlign w:val="top"/>
          </w:tcPr>
          <w:p w14:paraId="1AE6A0A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专业工程名称</w:t>
            </w:r>
          </w:p>
        </w:tc>
        <w:tc>
          <w:tcPr>
            <w:tcW w:w="4678" w:type="dxa"/>
            <w:tcBorders>
              <w:top w:val="single" w:color="auto" w:sz="12" w:space="0"/>
              <w:bottom w:val="double" w:color="auto" w:sz="6" w:space="0"/>
            </w:tcBorders>
            <w:noWrap w:val="0"/>
            <w:vAlign w:val="top"/>
          </w:tcPr>
          <w:p w14:paraId="2DC3258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工程内容</w:t>
            </w:r>
          </w:p>
        </w:tc>
        <w:tc>
          <w:tcPr>
            <w:tcW w:w="1276" w:type="dxa"/>
            <w:tcBorders>
              <w:top w:val="single" w:color="auto" w:sz="12" w:space="0"/>
              <w:bottom w:val="double" w:color="auto" w:sz="6" w:space="0"/>
            </w:tcBorders>
            <w:noWrap w:val="0"/>
            <w:vAlign w:val="top"/>
          </w:tcPr>
          <w:p w14:paraId="7F52767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金额</w:t>
            </w:r>
          </w:p>
        </w:tc>
      </w:tr>
      <w:tr w14:paraId="2E803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18F0E5B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tcBorders>
              <w:top w:val="double" w:color="auto" w:sz="6" w:space="0"/>
              <w:bottom w:val="single" w:color="auto" w:sz="6" w:space="0"/>
            </w:tcBorders>
            <w:noWrap w:val="0"/>
            <w:vAlign w:val="top"/>
          </w:tcPr>
          <w:p w14:paraId="5F9D33D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tcBorders>
              <w:top w:val="double" w:color="auto" w:sz="6" w:space="0"/>
              <w:bottom w:val="single" w:color="auto" w:sz="6" w:space="0"/>
            </w:tcBorders>
            <w:noWrap w:val="0"/>
            <w:vAlign w:val="top"/>
          </w:tcPr>
          <w:p w14:paraId="3B6CC09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tcBorders>
              <w:top w:val="double" w:color="auto" w:sz="6" w:space="0"/>
              <w:bottom w:val="single" w:color="auto" w:sz="6" w:space="0"/>
            </w:tcBorders>
            <w:noWrap w:val="0"/>
            <w:vAlign w:val="top"/>
          </w:tcPr>
          <w:p w14:paraId="104097C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61A8B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564575A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tcBorders>
              <w:top w:val="nil"/>
            </w:tcBorders>
            <w:noWrap w:val="0"/>
            <w:vAlign w:val="top"/>
          </w:tcPr>
          <w:p w14:paraId="586A5D4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tcBorders>
              <w:top w:val="nil"/>
            </w:tcBorders>
            <w:noWrap w:val="0"/>
            <w:vAlign w:val="top"/>
          </w:tcPr>
          <w:p w14:paraId="0EFA225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tcBorders>
              <w:top w:val="nil"/>
            </w:tcBorders>
            <w:noWrap w:val="0"/>
            <w:vAlign w:val="top"/>
          </w:tcPr>
          <w:p w14:paraId="529304D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007F1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1C96EEA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tcBorders>
              <w:top w:val="nil"/>
            </w:tcBorders>
            <w:noWrap w:val="0"/>
            <w:vAlign w:val="top"/>
          </w:tcPr>
          <w:p w14:paraId="45F047F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tcBorders>
              <w:top w:val="nil"/>
            </w:tcBorders>
            <w:noWrap w:val="0"/>
            <w:vAlign w:val="top"/>
          </w:tcPr>
          <w:p w14:paraId="41442C7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tcBorders>
              <w:top w:val="nil"/>
            </w:tcBorders>
            <w:noWrap w:val="0"/>
            <w:vAlign w:val="top"/>
          </w:tcPr>
          <w:p w14:paraId="46C4368A">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F8A4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CCB390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50D97C6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574D0C0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5766EBD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09F15A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A3EB8D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5BD98EB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60BBDFD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632B31A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25D1C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381A62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03FA89B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5B016ED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468C5EC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10CD9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68C77E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7C76D67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6A77D46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1A1AFEAA">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6CE2F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4652FE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388CE47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433C119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6BAF910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013DF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CFD96C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29EFD84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4FC65B5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5439216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402E2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606969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61A5BF5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27FB88F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7989E02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29750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675E27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60265727">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26DC877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6684EC3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2F62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26A939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5C08BB6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298C1977">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42FFDA2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1CBC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2312DF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6131165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36DD577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2E8EDCB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801B2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2AA3E3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1221BC47">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1DEE92E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51450A0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E1D2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81D0B6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1CED2589">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05F51F0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66EFFE5A">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6066D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F438F8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1B81C85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1302251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6D503EC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226BD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C58323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5A45172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2E6B7E8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2F46CFB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325FB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D8E5D2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0E97D11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2F3DE83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3368235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061C0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2982117">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7D6ECCF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31FD2FF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2414BDC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4E782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E59095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7E1D4137">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7DEBEE8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7111146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26F5B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6FD8D1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18EEC10F">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4418A1A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27272CF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29352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263A0F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6CDF06F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5CEAE015">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7E299331">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257EC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6874B9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449A33B8">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193379C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27540732">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4BE50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5C24A7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1FE9079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0734E144">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754904B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50770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603271B">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7057A2DD">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0F453F7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56D029F0">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60875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860AC5E">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984" w:type="dxa"/>
            <w:noWrap w:val="0"/>
            <w:vAlign w:val="top"/>
          </w:tcPr>
          <w:p w14:paraId="0919D79C">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4678" w:type="dxa"/>
            <w:noWrap w:val="0"/>
            <w:vAlign w:val="top"/>
          </w:tcPr>
          <w:p w14:paraId="681308D3">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c>
          <w:tcPr>
            <w:tcW w:w="1276" w:type="dxa"/>
            <w:noWrap w:val="0"/>
            <w:vAlign w:val="top"/>
          </w:tcPr>
          <w:p w14:paraId="32610196">
            <w:pPr>
              <w:pStyle w:val="2"/>
              <w:keepNext/>
              <w:spacing w:after="0" w:line="440" w:lineRule="exact"/>
              <w:ind w:left="63" w:right="63"/>
              <w:jc w:val="center"/>
              <w:rPr>
                <w:rFonts w:hint="eastAsia" w:ascii="宋体" w:hAnsi="宋体" w:eastAsia="宋体" w:cs="宋体"/>
                <w:color w:val="000000"/>
                <w:kern w:val="2"/>
                <w:sz w:val="21"/>
                <w:szCs w:val="21"/>
                <w:lang w:val="en-US" w:eastAsia="zh-CN"/>
              </w:rPr>
            </w:pPr>
          </w:p>
        </w:tc>
      </w:tr>
      <w:tr w14:paraId="3895E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00E56B45">
            <w:pPr>
              <w:pStyle w:val="2"/>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小计：</w:t>
            </w:r>
          </w:p>
        </w:tc>
      </w:tr>
    </w:tbl>
    <w:p w14:paraId="1CFE3982">
      <w:pPr>
        <w:spacing w:line="240" w:lineRule="exact"/>
      </w:pPr>
    </w:p>
    <w:p w14:paraId="2252DFB3">
      <w:pPr>
        <w:spacing w:line="240" w:lineRule="exact"/>
        <w:ind w:firstLine="420" w:firstLineChars="200"/>
        <w:rPr>
          <w:rFonts w:ascii="宋体" w:hAnsi="宋体"/>
          <w:szCs w:val="20"/>
        </w:rPr>
      </w:pPr>
    </w:p>
    <w:p w14:paraId="110BDCB3">
      <w:pPr>
        <w:pStyle w:val="3"/>
        <w:spacing w:before="0" w:after="0" w:line="360" w:lineRule="auto"/>
        <w:jc w:val="center"/>
        <w:rPr>
          <w:rFonts w:ascii="宋体" w:hAnsi="宋体"/>
        </w:rPr>
      </w:pPr>
      <w:bookmarkStart w:id="1946" w:name="_Toc17058"/>
      <w:bookmarkStart w:id="1947" w:name="_Toc509218843"/>
      <w:bookmarkStart w:id="1948" w:name="_Toc287607855"/>
      <w:bookmarkStart w:id="1949" w:name="_Toc287620797"/>
      <w:bookmarkStart w:id="1950" w:name="_Toc534185822"/>
      <w:bookmarkStart w:id="1951" w:name="_Toc28687"/>
      <w:bookmarkStart w:id="1952" w:name="_Toc430530513"/>
      <w:r>
        <w:rPr>
          <w:rFonts w:hint="eastAsia" w:ascii="宋体" w:hAnsi="宋体"/>
        </w:rPr>
        <w:t>第五章  工程量清单</w:t>
      </w:r>
      <w:bookmarkEnd w:id="1946"/>
      <w:bookmarkEnd w:id="1947"/>
      <w:bookmarkEnd w:id="1948"/>
      <w:bookmarkEnd w:id="1949"/>
      <w:bookmarkEnd w:id="1950"/>
      <w:bookmarkEnd w:id="1951"/>
      <w:bookmarkEnd w:id="1952"/>
      <w:bookmarkStart w:id="1953" w:name="招标文件05章工程量清单01"/>
      <w:bookmarkEnd w:id="1953"/>
      <w:bookmarkStart w:id="1954" w:name="_Toc277082638"/>
      <w:bookmarkStart w:id="1955" w:name="_Toc224103477"/>
      <w:bookmarkStart w:id="1956" w:name="_Toc430530514"/>
      <w:bookmarkStart w:id="1957" w:name="_Toc287607856"/>
      <w:bookmarkStart w:id="1958" w:name="_Toc287620798"/>
    </w:p>
    <w:bookmarkEnd w:id="1954"/>
    <w:bookmarkEnd w:id="1955"/>
    <w:bookmarkEnd w:id="1956"/>
    <w:bookmarkEnd w:id="1957"/>
    <w:bookmarkEnd w:id="1958"/>
    <w:p w14:paraId="128D497E">
      <w:pPr>
        <w:snapToGrid w:val="0"/>
        <w:spacing w:line="360" w:lineRule="auto"/>
        <w:jc w:val="center"/>
        <w:rPr>
          <w:rFonts w:ascii="宋体" w:hAnsi="宋体"/>
          <w:sz w:val="24"/>
        </w:rPr>
      </w:pPr>
    </w:p>
    <w:p w14:paraId="5F88451D">
      <w:pPr>
        <w:snapToGrid w:val="0"/>
        <w:spacing w:line="360" w:lineRule="auto"/>
        <w:jc w:val="center"/>
        <w:rPr>
          <w:rFonts w:ascii="宋体" w:hAnsi="宋体"/>
          <w:szCs w:val="21"/>
        </w:rPr>
      </w:pPr>
      <w:r>
        <w:rPr>
          <w:rFonts w:hint="eastAsia" w:ascii="宋体" w:hAnsi="宋体"/>
          <w:szCs w:val="20"/>
        </w:rPr>
        <w:t>在</w:t>
      </w:r>
      <w:r>
        <w:rPr>
          <w:rFonts w:hint="eastAsia" w:ascii="宋体" w:hAnsi="宋体"/>
          <w:szCs w:val="20"/>
          <w:u w:val="single"/>
          <w:lang w:eastAsia="zh-CN"/>
        </w:rPr>
        <w:t xml:space="preserve"> 重庆市公共资源交易网（大足区）（www.cqggzy.com/dazuweb/） </w:t>
      </w:r>
      <w:r>
        <w:rPr>
          <w:rFonts w:hint="eastAsia" w:ascii="宋体" w:hAnsi="宋体"/>
          <w:szCs w:val="20"/>
        </w:rPr>
        <w:t>下载。</w:t>
      </w:r>
    </w:p>
    <w:p w14:paraId="16CDC8E4">
      <w:pPr>
        <w:ind w:right="561"/>
        <w:rPr>
          <w:rFonts w:ascii="宋体" w:hAnsi="宋体"/>
          <w:szCs w:val="21"/>
        </w:rPr>
      </w:pPr>
      <w:r>
        <w:rPr>
          <w:rFonts w:ascii="宋体" w:hAnsi="宋体"/>
          <w:sz w:val="24"/>
        </w:rPr>
        <w:br w:type="page"/>
      </w:r>
    </w:p>
    <w:p w14:paraId="2C84966B">
      <w:pPr>
        <w:pStyle w:val="3"/>
        <w:spacing w:before="0" w:after="0" w:line="360" w:lineRule="auto"/>
        <w:jc w:val="center"/>
        <w:rPr>
          <w:rFonts w:ascii="宋体" w:hAnsi="宋体"/>
          <w:sz w:val="52"/>
          <w:szCs w:val="52"/>
        </w:rPr>
      </w:pPr>
      <w:bookmarkStart w:id="1959" w:name="_Toc27833"/>
      <w:bookmarkStart w:id="1960" w:name="_Toc509218844"/>
      <w:bookmarkStart w:id="1961" w:name="_Toc534185823"/>
      <w:bookmarkStart w:id="1962" w:name="_Toc14382"/>
      <w:r>
        <w:rPr>
          <w:rFonts w:ascii="宋体" w:hAnsi="宋体"/>
          <w:sz w:val="52"/>
          <w:szCs w:val="52"/>
        </w:rPr>
        <w:t>第 二 卷</w:t>
      </w:r>
      <w:bookmarkEnd w:id="1959"/>
      <w:bookmarkEnd w:id="1960"/>
      <w:bookmarkEnd w:id="1961"/>
      <w:bookmarkEnd w:id="1962"/>
    </w:p>
    <w:p w14:paraId="7B5E4B69">
      <w:pPr>
        <w:spacing w:line="360" w:lineRule="auto"/>
        <w:rPr>
          <w:rFonts w:ascii="宋体" w:hAnsi="宋体"/>
          <w:szCs w:val="20"/>
        </w:rPr>
      </w:pPr>
      <w:r>
        <w:rPr>
          <w:rFonts w:ascii="宋体" w:hAnsi="宋体"/>
          <w:szCs w:val="20"/>
        </w:rPr>
        <w:br w:type="page"/>
      </w:r>
    </w:p>
    <w:p w14:paraId="012CE751">
      <w:pPr>
        <w:pStyle w:val="3"/>
        <w:spacing w:line="360" w:lineRule="auto"/>
        <w:jc w:val="center"/>
        <w:rPr>
          <w:rFonts w:ascii="宋体" w:hAnsi="宋体"/>
        </w:rPr>
      </w:pPr>
      <w:bookmarkStart w:id="1963" w:name="招标文件06章图纸"/>
      <w:bookmarkEnd w:id="1963"/>
      <w:bookmarkStart w:id="1964" w:name="_Toc27908"/>
      <w:bookmarkStart w:id="1965" w:name="_Toc287620803"/>
      <w:bookmarkStart w:id="1966" w:name="_Toc534185825"/>
      <w:bookmarkStart w:id="1967" w:name="_Toc430530519"/>
      <w:bookmarkStart w:id="1968" w:name="_Toc509218846"/>
      <w:bookmarkStart w:id="1969" w:name="_Toc287607861"/>
      <w:bookmarkStart w:id="1970" w:name="_Toc10093"/>
      <w:r>
        <w:rPr>
          <w:rFonts w:hint="eastAsia" w:ascii="宋体" w:hAnsi="宋体"/>
        </w:rPr>
        <w:t>第六章  图纸</w:t>
      </w:r>
      <w:bookmarkEnd w:id="1964"/>
      <w:bookmarkEnd w:id="1965"/>
      <w:bookmarkEnd w:id="1966"/>
      <w:bookmarkEnd w:id="1967"/>
      <w:bookmarkEnd w:id="1968"/>
      <w:bookmarkEnd w:id="1969"/>
      <w:bookmarkEnd w:id="1970"/>
    </w:p>
    <w:p w14:paraId="17311E45">
      <w:pPr>
        <w:spacing w:line="360" w:lineRule="auto"/>
        <w:jc w:val="center"/>
        <w:rPr>
          <w:rFonts w:ascii="宋体" w:hAnsi="宋体"/>
          <w:szCs w:val="20"/>
        </w:rPr>
      </w:pPr>
      <w:r>
        <w:rPr>
          <w:rFonts w:hint="eastAsia" w:ascii="宋体" w:hAnsi="宋体"/>
          <w:szCs w:val="20"/>
        </w:rPr>
        <w:t>在</w:t>
      </w:r>
      <w:r>
        <w:rPr>
          <w:rFonts w:hint="eastAsia" w:ascii="宋体" w:hAnsi="宋体"/>
          <w:szCs w:val="20"/>
          <w:u w:val="single"/>
          <w:lang w:eastAsia="zh-CN"/>
        </w:rPr>
        <w:t xml:space="preserve"> 重庆市公共资源交易网（大足区）（www.cqggzy.com/dazuweb/） </w:t>
      </w:r>
      <w:r>
        <w:rPr>
          <w:rFonts w:hint="eastAsia" w:ascii="宋体" w:hAnsi="宋体"/>
          <w:szCs w:val="20"/>
        </w:rPr>
        <w:t>下载。</w:t>
      </w:r>
    </w:p>
    <w:p w14:paraId="55125E59">
      <w:pPr>
        <w:spacing w:line="360" w:lineRule="auto"/>
        <w:rPr>
          <w:rFonts w:ascii="宋体" w:hAnsi="宋体"/>
          <w:szCs w:val="20"/>
        </w:rPr>
      </w:pPr>
      <w:bookmarkStart w:id="1971" w:name="招标文件06章图纸01"/>
      <w:bookmarkEnd w:id="1971"/>
      <w:bookmarkStart w:id="1972" w:name="_Toc430530520"/>
      <w:bookmarkStart w:id="1973" w:name="_Toc287620804"/>
    </w:p>
    <w:bookmarkEnd w:id="1972"/>
    <w:bookmarkEnd w:id="1973"/>
    <w:p w14:paraId="79CCB8E8">
      <w:pPr>
        <w:spacing w:line="360" w:lineRule="auto"/>
        <w:rPr>
          <w:rFonts w:ascii="宋体" w:hAnsi="宋体"/>
        </w:rPr>
      </w:pPr>
      <w:r>
        <w:rPr>
          <w:rFonts w:ascii="宋体" w:hAnsi="宋体"/>
          <w:szCs w:val="20"/>
        </w:rPr>
        <w:br w:type="page"/>
      </w:r>
    </w:p>
    <w:p w14:paraId="72B8132B">
      <w:pPr>
        <w:pStyle w:val="3"/>
        <w:spacing w:before="0" w:after="0" w:line="360" w:lineRule="auto"/>
        <w:jc w:val="center"/>
        <w:rPr>
          <w:rFonts w:ascii="宋体" w:hAnsi="宋体"/>
          <w:sz w:val="52"/>
          <w:szCs w:val="52"/>
        </w:rPr>
      </w:pPr>
      <w:bookmarkStart w:id="1974" w:name="_Toc14951"/>
      <w:bookmarkStart w:id="1975" w:name="_Toc7492"/>
      <w:r>
        <w:rPr>
          <w:rFonts w:hint="eastAsia" w:ascii="宋体" w:hAnsi="宋体"/>
          <w:sz w:val="52"/>
          <w:szCs w:val="52"/>
        </w:rPr>
        <w:t>第 三 卷</w:t>
      </w:r>
      <w:bookmarkEnd w:id="1974"/>
      <w:bookmarkEnd w:id="1975"/>
      <w:bookmarkStart w:id="1976" w:name="_Toc509218847"/>
      <w:bookmarkStart w:id="1977" w:name="_Toc536797255"/>
      <w:bookmarkStart w:id="1978" w:name="_Toc13210772"/>
      <w:bookmarkStart w:id="1979" w:name="_Toc536628344"/>
      <w:bookmarkStart w:id="1980" w:name="_Toc536797390"/>
      <w:bookmarkStart w:id="1981" w:name="_Toc536621880"/>
      <w:bookmarkStart w:id="1982" w:name="_Toc536796986"/>
      <w:bookmarkStart w:id="1983" w:name="_Toc534185826"/>
      <w:bookmarkStart w:id="1984" w:name="_Toc536796850"/>
      <w:bookmarkStart w:id="1985" w:name="_Toc536619968"/>
      <w:bookmarkStart w:id="1986" w:name="_Toc13211206"/>
      <w:bookmarkStart w:id="1987" w:name="_Toc13211764"/>
      <w:bookmarkStart w:id="1988" w:name="_Toc536620100"/>
      <w:bookmarkStart w:id="1989" w:name="_Toc536797121"/>
    </w:p>
    <w:bookmarkEnd w:id="1976"/>
    <w:p w14:paraId="516AB5DE">
      <w:r>
        <w:br w:type="page"/>
      </w:r>
      <w:bookmarkEnd w:id="1977"/>
      <w:bookmarkEnd w:id="1978"/>
      <w:bookmarkEnd w:id="1979"/>
      <w:bookmarkEnd w:id="1980"/>
      <w:bookmarkEnd w:id="1981"/>
      <w:bookmarkEnd w:id="1982"/>
      <w:bookmarkEnd w:id="1983"/>
      <w:bookmarkEnd w:id="1984"/>
      <w:bookmarkEnd w:id="1985"/>
      <w:bookmarkEnd w:id="1986"/>
      <w:bookmarkEnd w:id="1987"/>
      <w:bookmarkEnd w:id="1988"/>
      <w:bookmarkEnd w:id="1989"/>
    </w:p>
    <w:p w14:paraId="404B3FCA">
      <w:pPr>
        <w:pStyle w:val="3"/>
        <w:spacing w:line="360" w:lineRule="auto"/>
        <w:jc w:val="center"/>
        <w:rPr>
          <w:rFonts w:ascii="宋体" w:hAnsi="宋体"/>
        </w:rPr>
      </w:pPr>
      <w:bookmarkStart w:id="1990" w:name="招标文件07章技术标准和要求"/>
      <w:bookmarkEnd w:id="1990"/>
      <w:bookmarkStart w:id="1991" w:name="_Toc30888"/>
      <w:bookmarkStart w:id="1992" w:name="_Toc12972"/>
      <w:r>
        <w:rPr>
          <w:rFonts w:ascii="宋体" w:hAnsi="宋体"/>
        </w:rPr>
        <w:t>第七章</w:t>
      </w:r>
      <w:r>
        <w:rPr>
          <w:rFonts w:hint="eastAsia" w:ascii="宋体" w:hAnsi="宋体"/>
        </w:rPr>
        <w:t xml:space="preserve">  </w:t>
      </w:r>
      <w:r>
        <w:rPr>
          <w:rFonts w:ascii="宋体" w:hAnsi="宋体"/>
        </w:rPr>
        <w:t>技术标准和要求</w:t>
      </w:r>
      <w:bookmarkEnd w:id="1991"/>
      <w:bookmarkEnd w:id="1992"/>
      <w:bookmarkStart w:id="1993" w:name="招标文件07章技术标准和要求01"/>
      <w:bookmarkEnd w:id="1993"/>
      <w:bookmarkStart w:id="1994" w:name="_Toc430530524"/>
      <w:bookmarkStart w:id="1995" w:name="_Toc287620808"/>
    </w:p>
    <w:bookmarkEnd w:id="1994"/>
    <w:bookmarkEnd w:id="1995"/>
    <w:p w14:paraId="7625EA83">
      <w:pPr>
        <w:spacing w:line="360" w:lineRule="auto"/>
        <w:jc w:val="center"/>
        <w:rPr>
          <w:rStyle w:val="54"/>
        </w:rPr>
      </w:pPr>
      <w:r>
        <w:rPr>
          <w:rFonts w:ascii="宋体" w:hAnsi="宋体"/>
          <w:szCs w:val="21"/>
        </w:rPr>
        <w:t>由招标人根据招标项目的实际情况编写</w:t>
      </w:r>
      <w:r>
        <w:rPr>
          <w:rFonts w:hint="eastAsia" w:ascii="宋体" w:hAnsi="宋体"/>
          <w:szCs w:val="21"/>
        </w:rPr>
        <w:t>（如有）。</w:t>
      </w:r>
    </w:p>
    <w:p w14:paraId="6718345B">
      <w:pPr>
        <w:spacing w:line="360" w:lineRule="auto"/>
        <w:rPr>
          <w:rFonts w:ascii="宋体" w:hAnsi="宋体"/>
        </w:rPr>
      </w:pPr>
      <w:r>
        <w:rPr>
          <w:rFonts w:ascii="宋体" w:hAnsi="宋体"/>
        </w:rPr>
        <w:br w:type="page"/>
      </w:r>
    </w:p>
    <w:p w14:paraId="3D17F037">
      <w:pPr>
        <w:pStyle w:val="3"/>
        <w:spacing w:before="0" w:after="0" w:line="360" w:lineRule="auto"/>
        <w:jc w:val="center"/>
        <w:rPr>
          <w:rFonts w:ascii="宋体" w:hAnsi="宋体"/>
          <w:sz w:val="52"/>
          <w:szCs w:val="52"/>
        </w:rPr>
      </w:pPr>
      <w:bookmarkStart w:id="1996" w:name="_Toc509218849"/>
      <w:bookmarkStart w:id="1997" w:name="_Toc2213"/>
      <w:bookmarkStart w:id="1998" w:name="_Toc534185827"/>
      <w:bookmarkStart w:id="1999" w:name="_Toc22278"/>
      <w:r>
        <w:rPr>
          <w:rFonts w:ascii="宋体" w:hAnsi="宋体"/>
          <w:sz w:val="52"/>
          <w:szCs w:val="52"/>
        </w:rPr>
        <w:t>第 四 卷</w:t>
      </w:r>
      <w:bookmarkEnd w:id="1996"/>
      <w:bookmarkEnd w:id="1997"/>
      <w:bookmarkEnd w:id="1998"/>
      <w:bookmarkEnd w:id="1999"/>
      <w:bookmarkStart w:id="2000" w:name="_Toc536621883"/>
      <w:bookmarkStart w:id="2001" w:name="_Toc536797258"/>
      <w:bookmarkStart w:id="2002" w:name="_Toc13210775"/>
      <w:bookmarkStart w:id="2003" w:name="_Toc536796989"/>
      <w:bookmarkStart w:id="2004" w:name="_Toc536619970"/>
      <w:bookmarkStart w:id="2005" w:name="_Toc536796853"/>
      <w:bookmarkStart w:id="2006" w:name="_Toc13211767"/>
      <w:bookmarkStart w:id="2007" w:name="_Toc536797393"/>
      <w:bookmarkStart w:id="2008" w:name="_Toc13211209"/>
      <w:bookmarkStart w:id="2009" w:name="_Toc536628347"/>
      <w:bookmarkStart w:id="2010" w:name="_Toc536620102"/>
      <w:bookmarkStart w:id="2011" w:name="_Toc536797124"/>
      <w:bookmarkStart w:id="2012" w:name="_Toc509218850"/>
      <w:bookmarkStart w:id="2013" w:name="_Toc534185828"/>
    </w:p>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p w14:paraId="3D943041">
      <w:r>
        <w:br w:type="page"/>
      </w:r>
      <w:bookmarkStart w:id="2014" w:name="招标文件08章投标文件格式"/>
      <w:bookmarkEnd w:id="2014"/>
      <w:bookmarkStart w:id="2015" w:name="_Toc287620812"/>
      <w:bookmarkStart w:id="2016" w:name="_Toc287607865"/>
    </w:p>
    <w:p w14:paraId="28006E72">
      <w:pPr>
        <w:pStyle w:val="3"/>
        <w:spacing w:line="360" w:lineRule="auto"/>
        <w:jc w:val="center"/>
        <w:rPr>
          <w:rFonts w:ascii="宋体" w:hAnsi="宋体"/>
        </w:rPr>
      </w:pPr>
      <w:bookmarkStart w:id="2017" w:name="_Toc430530528"/>
      <w:bookmarkStart w:id="2018" w:name="_Toc13437"/>
      <w:bookmarkStart w:id="2019" w:name="_Toc534185829"/>
      <w:bookmarkStart w:id="2020" w:name="_Toc27161"/>
      <w:bookmarkStart w:id="2021" w:name="_Toc509218852"/>
      <w:r>
        <w:rPr>
          <w:rFonts w:hint="eastAsia" w:ascii="宋体" w:hAnsi="宋体"/>
        </w:rPr>
        <w:t>第八章  投标文件格式</w:t>
      </w:r>
      <w:bookmarkEnd w:id="2015"/>
      <w:bookmarkEnd w:id="2016"/>
      <w:bookmarkEnd w:id="2017"/>
      <w:bookmarkEnd w:id="2018"/>
      <w:bookmarkEnd w:id="2019"/>
      <w:bookmarkEnd w:id="2020"/>
      <w:bookmarkEnd w:id="2021"/>
    </w:p>
    <w:p w14:paraId="31449EDA">
      <w:pPr>
        <w:spacing w:line="360" w:lineRule="auto"/>
        <w:rPr>
          <w:rFonts w:ascii="宋体" w:hAnsi="宋体"/>
          <w:sz w:val="32"/>
          <w:szCs w:val="32"/>
        </w:rPr>
      </w:pPr>
    </w:p>
    <w:p w14:paraId="689D878D">
      <w:pPr>
        <w:spacing w:line="360" w:lineRule="auto"/>
        <w:jc w:val="center"/>
        <w:rPr>
          <w:rFonts w:ascii="宋体" w:hAnsi="宋体"/>
          <w:sz w:val="36"/>
          <w:szCs w:val="36"/>
        </w:rPr>
      </w:pPr>
      <w:r>
        <w:rPr>
          <w:rFonts w:ascii="宋体" w:hAnsi="宋体"/>
          <w:szCs w:val="20"/>
        </w:rPr>
        <w:br w:type="page"/>
      </w:r>
      <w:bookmarkStart w:id="2022" w:name="_Toc224103493"/>
      <w:r>
        <w:rPr>
          <w:rFonts w:hint="eastAsia" w:ascii="宋体" w:hAnsi="宋体"/>
          <w:sz w:val="36"/>
          <w:szCs w:val="36"/>
        </w:rPr>
        <w:t>目  录</w:t>
      </w:r>
      <w:bookmarkEnd w:id="2022"/>
    </w:p>
    <w:p w14:paraId="1720CF8E">
      <w:pPr>
        <w:spacing w:line="360" w:lineRule="auto"/>
        <w:jc w:val="center"/>
        <w:rPr>
          <w:rFonts w:ascii="宋体" w:hAnsi="宋体"/>
          <w:szCs w:val="20"/>
        </w:rPr>
      </w:pPr>
    </w:p>
    <w:p w14:paraId="3273CB4A">
      <w:pPr>
        <w:spacing w:line="360" w:lineRule="auto"/>
        <w:rPr>
          <w:rFonts w:ascii="宋体" w:hAnsi="宋体"/>
          <w:b/>
        </w:rPr>
      </w:pPr>
      <w:r>
        <w:rPr>
          <w:rFonts w:hint="eastAsia" w:ascii="宋体" w:hAnsi="宋体"/>
          <w:b/>
        </w:rPr>
        <w:t>一</w:t>
      </w:r>
      <w:r>
        <w:rPr>
          <w:rFonts w:ascii="宋体" w:hAnsi="宋体"/>
          <w:b/>
        </w:rPr>
        <w:t>、投标函部分</w:t>
      </w:r>
    </w:p>
    <w:p w14:paraId="0195A4E5">
      <w:pPr>
        <w:spacing w:line="360" w:lineRule="auto"/>
        <w:ind w:firstLine="420" w:firstLineChars="200"/>
        <w:rPr>
          <w:rFonts w:ascii="宋体" w:hAnsi="宋体"/>
        </w:rPr>
      </w:pPr>
      <w:r>
        <w:rPr>
          <w:rFonts w:ascii="宋体" w:hAnsi="宋体"/>
        </w:rPr>
        <w:t>（一）投标函</w:t>
      </w:r>
    </w:p>
    <w:p w14:paraId="244E617C">
      <w:pPr>
        <w:spacing w:line="360" w:lineRule="auto"/>
        <w:ind w:firstLine="420" w:firstLineChars="200"/>
        <w:rPr>
          <w:rFonts w:ascii="宋体" w:hAnsi="宋体"/>
        </w:rPr>
      </w:pPr>
      <w:r>
        <w:rPr>
          <w:rFonts w:ascii="宋体" w:hAnsi="宋体"/>
        </w:rPr>
        <w:t>（二）投标函附录</w:t>
      </w:r>
    </w:p>
    <w:p w14:paraId="474A7241">
      <w:pPr>
        <w:spacing w:line="360" w:lineRule="auto"/>
        <w:ind w:firstLine="420" w:firstLineChars="200"/>
        <w:rPr>
          <w:rFonts w:ascii="宋体" w:hAnsi="宋体"/>
        </w:rPr>
      </w:pPr>
      <w:r>
        <w:rPr>
          <w:rFonts w:ascii="宋体" w:hAnsi="宋体"/>
        </w:rPr>
        <w:t>（</w:t>
      </w:r>
      <w:r>
        <w:rPr>
          <w:rFonts w:hint="eastAsia" w:ascii="宋体" w:hAnsi="宋体"/>
          <w:lang w:val="en-US" w:eastAsia="zh-CN"/>
        </w:rPr>
        <w:t>三</w:t>
      </w:r>
      <w:r>
        <w:rPr>
          <w:rFonts w:ascii="宋体" w:hAnsi="宋体"/>
        </w:rPr>
        <w:t>）</w:t>
      </w:r>
      <w:r>
        <w:rPr>
          <w:rFonts w:hint="eastAsia" w:ascii="宋体" w:hAnsi="宋体"/>
          <w:lang w:val="en-US" w:eastAsia="zh-CN"/>
        </w:rPr>
        <w:t>投标报价合理性说明</w:t>
      </w:r>
      <w:r>
        <w:rPr>
          <w:rFonts w:hint="eastAsia" w:ascii="宋体" w:hAnsi="宋体"/>
        </w:rPr>
        <w:t>（如有）</w:t>
      </w:r>
    </w:p>
    <w:p w14:paraId="57D1D2FB">
      <w:pPr>
        <w:spacing w:line="360" w:lineRule="auto"/>
        <w:ind w:firstLine="420" w:firstLineChars="200"/>
        <w:rPr>
          <w:rFonts w:ascii="宋体" w:hAnsi="宋体"/>
        </w:rPr>
      </w:pPr>
      <w:r>
        <w:rPr>
          <w:rFonts w:ascii="宋体" w:hAnsi="宋体"/>
        </w:rPr>
        <w:t>（</w:t>
      </w:r>
      <w:r>
        <w:rPr>
          <w:rFonts w:hint="eastAsia" w:ascii="宋体" w:hAnsi="宋体"/>
          <w:lang w:val="en-US" w:eastAsia="zh-CN"/>
        </w:rPr>
        <w:t>四</w:t>
      </w:r>
      <w:r>
        <w:rPr>
          <w:rFonts w:ascii="宋体" w:hAnsi="宋体"/>
        </w:rPr>
        <w:t>）</w:t>
      </w:r>
      <w:r>
        <w:rPr>
          <w:rFonts w:hint="eastAsia" w:ascii="宋体" w:hAnsi="宋体"/>
        </w:rPr>
        <w:t>法定代表人身份证明或授权委托书</w:t>
      </w:r>
    </w:p>
    <w:p w14:paraId="2BCB0637">
      <w:pPr>
        <w:spacing w:line="360" w:lineRule="auto"/>
        <w:rPr>
          <w:rFonts w:ascii="宋体" w:hAnsi="宋体"/>
          <w:b/>
        </w:rPr>
      </w:pPr>
      <w:r>
        <w:rPr>
          <w:rFonts w:hint="eastAsia" w:ascii="宋体" w:hAnsi="宋体"/>
          <w:b/>
        </w:rPr>
        <w:t>二</w:t>
      </w:r>
      <w:r>
        <w:rPr>
          <w:rFonts w:ascii="宋体" w:hAnsi="宋体"/>
          <w:b/>
        </w:rPr>
        <w:t>、</w:t>
      </w:r>
      <w:r>
        <w:rPr>
          <w:rFonts w:hint="eastAsia" w:ascii="宋体" w:hAnsi="宋体"/>
          <w:b/>
          <w:lang w:val="en-US" w:eastAsia="zh-CN"/>
        </w:rPr>
        <w:t>报价</w:t>
      </w:r>
      <w:r>
        <w:rPr>
          <w:rFonts w:ascii="宋体" w:hAnsi="宋体"/>
          <w:b/>
        </w:rPr>
        <w:t>部分</w:t>
      </w:r>
    </w:p>
    <w:p w14:paraId="0EBCE826">
      <w:pPr>
        <w:spacing w:line="360" w:lineRule="auto"/>
        <w:ind w:firstLine="420" w:firstLineChars="200"/>
        <w:rPr>
          <w:rFonts w:ascii="宋体" w:hAnsi="宋体"/>
        </w:rPr>
      </w:pPr>
      <w:r>
        <w:rPr>
          <w:rFonts w:ascii="宋体" w:hAnsi="宋体"/>
        </w:rPr>
        <w:t>已标价工程量清单</w:t>
      </w:r>
    </w:p>
    <w:p w14:paraId="48D94A64">
      <w:pPr>
        <w:spacing w:line="360" w:lineRule="auto"/>
        <w:rPr>
          <w:rFonts w:ascii="宋体" w:hAnsi="宋体"/>
          <w:b/>
        </w:rPr>
      </w:pPr>
      <w:r>
        <w:rPr>
          <w:rFonts w:hint="eastAsia" w:ascii="宋体" w:hAnsi="宋体"/>
          <w:b/>
          <w:lang w:val="en-US" w:eastAsia="zh-CN"/>
        </w:rPr>
        <w:t>三</w:t>
      </w:r>
      <w:r>
        <w:rPr>
          <w:rFonts w:ascii="宋体" w:hAnsi="宋体"/>
          <w:b/>
        </w:rPr>
        <w:t>、</w:t>
      </w:r>
      <w:r>
        <w:rPr>
          <w:rFonts w:hint="eastAsia" w:ascii="宋体" w:hAnsi="宋体"/>
          <w:b/>
          <w:lang w:val="en-US" w:eastAsia="zh-CN"/>
        </w:rPr>
        <w:t>商务</w:t>
      </w:r>
      <w:r>
        <w:rPr>
          <w:rFonts w:ascii="宋体" w:hAnsi="宋体"/>
          <w:b/>
        </w:rPr>
        <w:t>部分（</w:t>
      </w:r>
      <w:r>
        <w:rPr>
          <w:rFonts w:hint="eastAsia" w:ascii="宋体" w:hAnsi="宋体"/>
          <w:b/>
          <w:lang w:val="en-US" w:eastAsia="zh-CN"/>
        </w:rPr>
        <w:t>如有</w:t>
      </w:r>
      <w:r>
        <w:rPr>
          <w:rFonts w:ascii="宋体" w:hAnsi="宋体"/>
          <w:b/>
        </w:rPr>
        <w:t>）</w:t>
      </w:r>
    </w:p>
    <w:p w14:paraId="54C3C389">
      <w:pPr>
        <w:spacing w:line="360" w:lineRule="auto"/>
        <w:rPr>
          <w:rFonts w:ascii="宋体" w:hAnsi="宋体"/>
          <w:b/>
        </w:rPr>
      </w:pPr>
      <w:r>
        <w:rPr>
          <w:rFonts w:hint="eastAsia" w:ascii="宋体" w:hAnsi="宋体"/>
          <w:b/>
          <w:lang w:val="en-US" w:eastAsia="zh-CN"/>
        </w:rPr>
        <w:t>四</w:t>
      </w:r>
      <w:r>
        <w:rPr>
          <w:rFonts w:ascii="宋体" w:hAnsi="宋体"/>
          <w:b/>
        </w:rPr>
        <w:t>、技术部分（</w:t>
      </w:r>
      <w:r>
        <w:rPr>
          <w:rFonts w:hint="eastAsia" w:ascii="宋体" w:hAnsi="宋体"/>
          <w:b/>
          <w:lang w:val="en-US" w:eastAsia="zh-CN"/>
        </w:rPr>
        <w:t>如有</w:t>
      </w:r>
      <w:r>
        <w:rPr>
          <w:rFonts w:ascii="宋体" w:hAnsi="宋体"/>
          <w:b/>
        </w:rPr>
        <w:t>）</w:t>
      </w:r>
    </w:p>
    <w:p w14:paraId="51F6BCA5">
      <w:pPr>
        <w:spacing w:line="360" w:lineRule="auto"/>
        <w:rPr>
          <w:rFonts w:ascii="宋体" w:hAnsi="宋体"/>
          <w:b/>
        </w:rPr>
      </w:pPr>
      <w:r>
        <w:rPr>
          <w:rFonts w:hint="eastAsia" w:ascii="宋体" w:hAnsi="宋体"/>
          <w:b/>
          <w:lang w:val="en-US" w:eastAsia="zh-CN"/>
        </w:rPr>
        <w:t>五</w:t>
      </w:r>
      <w:r>
        <w:rPr>
          <w:rFonts w:ascii="宋体" w:hAnsi="宋体"/>
          <w:b/>
        </w:rPr>
        <w:t>、</w:t>
      </w:r>
      <w:r>
        <w:rPr>
          <w:rFonts w:hint="eastAsia" w:ascii="宋体" w:hAnsi="宋体"/>
          <w:b/>
        </w:rPr>
        <w:t>资格审查部分</w:t>
      </w:r>
    </w:p>
    <w:p w14:paraId="0B961FB3">
      <w:pPr>
        <w:spacing w:line="360" w:lineRule="auto"/>
        <w:ind w:firstLine="420" w:firstLineChars="200"/>
        <w:rPr>
          <w:rFonts w:ascii="宋体" w:hAnsi="宋体"/>
        </w:rPr>
      </w:pPr>
      <w:r>
        <w:rPr>
          <w:rFonts w:ascii="宋体" w:hAnsi="宋体"/>
        </w:rPr>
        <w:t>（一）</w:t>
      </w:r>
      <w:r>
        <w:rPr>
          <w:rFonts w:hint="eastAsia" w:ascii="宋体" w:hAnsi="宋体"/>
        </w:rPr>
        <w:t>法定代表人身份证明或授权委托书</w:t>
      </w:r>
    </w:p>
    <w:p w14:paraId="701D910B">
      <w:pPr>
        <w:spacing w:line="360" w:lineRule="auto"/>
        <w:ind w:firstLine="420" w:firstLineChars="200"/>
        <w:rPr>
          <w:rFonts w:ascii="宋体" w:hAnsi="宋体"/>
        </w:rPr>
      </w:pPr>
      <w:r>
        <w:rPr>
          <w:rFonts w:ascii="宋体" w:hAnsi="宋体"/>
        </w:rPr>
        <w:t>（二）</w:t>
      </w:r>
      <w:r>
        <w:rPr>
          <w:rFonts w:hint="eastAsia" w:ascii="宋体" w:hAnsi="宋体"/>
          <w:lang w:val="en-US" w:eastAsia="zh-CN"/>
        </w:rPr>
        <w:t>共同投标协议</w:t>
      </w:r>
      <w:r>
        <w:rPr>
          <w:rFonts w:hint="eastAsia" w:ascii="宋体" w:hAnsi="宋体"/>
        </w:rPr>
        <w:t>（如有）</w:t>
      </w:r>
    </w:p>
    <w:p w14:paraId="4B9AC893">
      <w:pPr>
        <w:spacing w:line="360" w:lineRule="auto"/>
        <w:ind w:firstLine="420" w:firstLineChars="200"/>
        <w:rPr>
          <w:rFonts w:ascii="宋体" w:hAnsi="宋体"/>
        </w:rPr>
      </w:pPr>
      <w:r>
        <w:rPr>
          <w:rFonts w:ascii="宋体" w:hAnsi="宋体"/>
        </w:rPr>
        <w:t>（三）</w:t>
      </w:r>
      <w:r>
        <w:rPr>
          <w:rFonts w:hint="eastAsia" w:ascii="宋体" w:hAnsi="宋体"/>
        </w:rPr>
        <w:t>承诺</w:t>
      </w:r>
    </w:p>
    <w:p w14:paraId="36C33B7F">
      <w:pPr>
        <w:spacing w:line="360" w:lineRule="auto"/>
        <w:ind w:firstLine="420" w:firstLineChars="200"/>
        <w:rPr>
          <w:rFonts w:ascii="宋体" w:hAnsi="宋体"/>
        </w:rPr>
      </w:pPr>
      <w:r>
        <w:rPr>
          <w:rFonts w:ascii="宋体" w:hAnsi="宋体"/>
        </w:rPr>
        <w:t>（</w:t>
      </w:r>
      <w:r>
        <w:rPr>
          <w:rFonts w:hint="eastAsia" w:ascii="宋体" w:hAnsi="宋体"/>
          <w:lang w:val="en-US" w:eastAsia="zh-CN"/>
        </w:rPr>
        <w:t>四</w:t>
      </w:r>
      <w:r>
        <w:rPr>
          <w:rFonts w:ascii="宋体" w:hAnsi="宋体"/>
        </w:rPr>
        <w:t>）其他资料</w:t>
      </w:r>
    </w:p>
    <w:p w14:paraId="1F282F71">
      <w:pPr>
        <w:autoSpaceDE w:val="0"/>
        <w:autoSpaceDN w:val="0"/>
        <w:adjustRightInd w:val="0"/>
        <w:spacing w:line="276" w:lineRule="auto"/>
        <w:ind w:right="-23"/>
        <w:jc w:val="left"/>
        <w:rPr>
          <w:rFonts w:ascii="宋体" w:hAnsi="宋体"/>
          <w:kern w:val="0"/>
          <w:szCs w:val="21"/>
          <w:u w:val="single"/>
        </w:rPr>
      </w:pPr>
      <w:r>
        <w:rPr>
          <w:rFonts w:ascii="宋体" w:hAnsi="宋体"/>
          <w:b/>
          <w:kern w:val="0"/>
          <w:sz w:val="24"/>
        </w:rPr>
        <w:br w:type="page"/>
      </w:r>
      <w:bookmarkStart w:id="2023" w:name="_Toc224103494"/>
      <w:bookmarkStart w:id="2024" w:name="_Toc277082642"/>
      <w:bookmarkStart w:id="2025" w:name="_Toc430530529"/>
      <w:bookmarkStart w:id="2026" w:name="_Toc287607866"/>
      <w:bookmarkStart w:id="2027" w:name="_Toc287620813"/>
    </w:p>
    <w:p w14:paraId="03118814">
      <w:pPr>
        <w:pStyle w:val="4"/>
        <w:spacing w:line="360" w:lineRule="auto"/>
        <w:jc w:val="center"/>
        <w:rPr>
          <w:rFonts w:ascii="宋体" w:hAnsi="宋体"/>
          <w:b w:val="0"/>
          <w:bCs w:val="0"/>
          <w:sz w:val="44"/>
          <w:szCs w:val="44"/>
        </w:rPr>
      </w:pPr>
      <w:bookmarkStart w:id="2028" w:name="_Toc9881"/>
      <w:bookmarkStart w:id="2029" w:name="_Toc27093"/>
      <w:r>
        <w:rPr>
          <w:rFonts w:hint="eastAsia" w:ascii="宋体" w:hAnsi="宋体"/>
          <w:b w:val="0"/>
          <w:bCs w:val="0"/>
          <w:sz w:val="44"/>
          <w:szCs w:val="44"/>
        </w:rPr>
        <w:t>一、投标函部分</w:t>
      </w:r>
      <w:bookmarkEnd w:id="2023"/>
      <w:bookmarkEnd w:id="2024"/>
      <w:bookmarkEnd w:id="2025"/>
      <w:bookmarkEnd w:id="2026"/>
      <w:bookmarkEnd w:id="2027"/>
      <w:bookmarkEnd w:id="2028"/>
      <w:bookmarkEnd w:id="2029"/>
    </w:p>
    <w:p w14:paraId="6D471DF3">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14:paraId="59227FA0">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14:paraId="2FA4F976">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7145D98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DED64ED">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6547E2E">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3F53399">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6EBCDC8">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34CE86DE">
      <w:pPr>
        <w:autoSpaceDE w:val="0"/>
        <w:autoSpaceDN w:val="0"/>
        <w:adjustRightInd w:val="0"/>
        <w:snapToGrid w:val="0"/>
        <w:spacing w:line="360" w:lineRule="auto"/>
        <w:jc w:val="left"/>
        <w:rPr>
          <w:rFonts w:ascii="宋体" w:hAnsi="宋体"/>
          <w:kern w:val="0"/>
          <w:sz w:val="16"/>
          <w:szCs w:val="16"/>
        </w:rPr>
      </w:pPr>
    </w:p>
    <w:p w14:paraId="553860BD">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14:paraId="21CF78E1">
      <w:pPr>
        <w:autoSpaceDE w:val="0"/>
        <w:autoSpaceDN w:val="0"/>
        <w:adjustRightInd w:val="0"/>
        <w:snapToGrid w:val="0"/>
        <w:spacing w:line="360" w:lineRule="auto"/>
        <w:jc w:val="left"/>
        <w:rPr>
          <w:rFonts w:ascii="宋体" w:hAnsi="宋体"/>
          <w:b/>
          <w:kern w:val="0"/>
          <w:sz w:val="20"/>
          <w:szCs w:val="20"/>
        </w:rPr>
      </w:pPr>
    </w:p>
    <w:p w14:paraId="2E500286">
      <w:pPr>
        <w:autoSpaceDE w:val="0"/>
        <w:autoSpaceDN w:val="0"/>
        <w:adjustRightInd w:val="0"/>
        <w:snapToGrid w:val="0"/>
        <w:spacing w:line="360" w:lineRule="auto"/>
        <w:jc w:val="left"/>
        <w:rPr>
          <w:rFonts w:ascii="宋体" w:hAnsi="宋体"/>
          <w:b/>
          <w:kern w:val="0"/>
          <w:sz w:val="20"/>
          <w:szCs w:val="20"/>
        </w:rPr>
      </w:pPr>
    </w:p>
    <w:p w14:paraId="13E8952A">
      <w:pPr>
        <w:autoSpaceDE w:val="0"/>
        <w:autoSpaceDN w:val="0"/>
        <w:adjustRightInd w:val="0"/>
        <w:snapToGrid w:val="0"/>
        <w:spacing w:line="360" w:lineRule="auto"/>
        <w:jc w:val="left"/>
        <w:rPr>
          <w:rFonts w:ascii="宋体" w:hAnsi="宋体"/>
          <w:b/>
          <w:kern w:val="0"/>
          <w:sz w:val="20"/>
          <w:szCs w:val="20"/>
        </w:rPr>
      </w:pPr>
    </w:p>
    <w:p w14:paraId="2029B72A">
      <w:pPr>
        <w:autoSpaceDE w:val="0"/>
        <w:autoSpaceDN w:val="0"/>
        <w:adjustRightInd w:val="0"/>
        <w:snapToGrid w:val="0"/>
        <w:spacing w:line="360" w:lineRule="auto"/>
        <w:jc w:val="left"/>
        <w:rPr>
          <w:rFonts w:ascii="宋体" w:hAnsi="宋体"/>
          <w:b/>
          <w:kern w:val="0"/>
          <w:sz w:val="20"/>
          <w:szCs w:val="20"/>
        </w:rPr>
      </w:pPr>
    </w:p>
    <w:p w14:paraId="0342CD9E">
      <w:pPr>
        <w:autoSpaceDE w:val="0"/>
        <w:autoSpaceDN w:val="0"/>
        <w:adjustRightInd w:val="0"/>
        <w:snapToGrid w:val="0"/>
        <w:spacing w:line="360" w:lineRule="auto"/>
        <w:jc w:val="left"/>
        <w:rPr>
          <w:rFonts w:ascii="宋体" w:hAnsi="宋体"/>
          <w:b/>
          <w:kern w:val="0"/>
          <w:sz w:val="20"/>
          <w:szCs w:val="20"/>
        </w:rPr>
      </w:pPr>
    </w:p>
    <w:p w14:paraId="3207DE27">
      <w:pPr>
        <w:autoSpaceDE w:val="0"/>
        <w:autoSpaceDN w:val="0"/>
        <w:adjustRightInd w:val="0"/>
        <w:snapToGrid w:val="0"/>
        <w:spacing w:line="360" w:lineRule="auto"/>
        <w:jc w:val="left"/>
        <w:rPr>
          <w:rFonts w:ascii="宋体" w:hAnsi="宋体"/>
          <w:b/>
          <w:kern w:val="0"/>
          <w:sz w:val="20"/>
          <w:szCs w:val="20"/>
        </w:rPr>
      </w:pPr>
    </w:p>
    <w:p w14:paraId="6377BFFF">
      <w:pPr>
        <w:autoSpaceDE w:val="0"/>
        <w:autoSpaceDN w:val="0"/>
        <w:adjustRightInd w:val="0"/>
        <w:snapToGrid w:val="0"/>
        <w:spacing w:line="360" w:lineRule="auto"/>
        <w:jc w:val="left"/>
        <w:rPr>
          <w:rFonts w:ascii="宋体" w:hAnsi="宋体"/>
          <w:b/>
          <w:kern w:val="0"/>
          <w:sz w:val="20"/>
          <w:szCs w:val="20"/>
        </w:rPr>
      </w:pPr>
    </w:p>
    <w:p w14:paraId="291BBDBE">
      <w:pPr>
        <w:autoSpaceDE w:val="0"/>
        <w:autoSpaceDN w:val="0"/>
        <w:adjustRightInd w:val="0"/>
        <w:snapToGrid w:val="0"/>
        <w:spacing w:line="360" w:lineRule="auto"/>
        <w:jc w:val="left"/>
        <w:rPr>
          <w:rFonts w:ascii="宋体" w:hAnsi="宋体"/>
          <w:b/>
          <w:kern w:val="0"/>
          <w:sz w:val="20"/>
          <w:szCs w:val="20"/>
        </w:rPr>
      </w:pPr>
    </w:p>
    <w:p w14:paraId="0EA92A7F">
      <w:pPr>
        <w:autoSpaceDE w:val="0"/>
        <w:autoSpaceDN w:val="0"/>
        <w:adjustRightInd w:val="0"/>
        <w:snapToGrid w:val="0"/>
        <w:spacing w:line="360" w:lineRule="auto"/>
        <w:jc w:val="left"/>
        <w:rPr>
          <w:rFonts w:ascii="宋体" w:hAnsi="宋体"/>
          <w:b/>
          <w:kern w:val="0"/>
          <w:sz w:val="20"/>
          <w:szCs w:val="20"/>
        </w:rPr>
      </w:pPr>
    </w:p>
    <w:p w14:paraId="795AF609">
      <w:pPr>
        <w:autoSpaceDE w:val="0"/>
        <w:autoSpaceDN w:val="0"/>
        <w:adjustRightInd w:val="0"/>
        <w:snapToGrid w:val="0"/>
        <w:spacing w:line="360" w:lineRule="auto"/>
        <w:jc w:val="left"/>
        <w:rPr>
          <w:rFonts w:ascii="宋体" w:hAnsi="宋体"/>
          <w:b/>
          <w:kern w:val="0"/>
          <w:sz w:val="20"/>
          <w:szCs w:val="20"/>
        </w:rPr>
      </w:pPr>
    </w:p>
    <w:p w14:paraId="13FC54D9">
      <w:pPr>
        <w:autoSpaceDE w:val="0"/>
        <w:autoSpaceDN w:val="0"/>
        <w:adjustRightInd w:val="0"/>
        <w:snapToGrid w:val="0"/>
        <w:spacing w:line="360" w:lineRule="auto"/>
        <w:jc w:val="left"/>
        <w:rPr>
          <w:rFonts w:ascii="宋体" w:hAnsi="宋体"/>
          <w:b/>
          <w:kern w:val="0"/>
          <w:sz w:val="20"/>
          <w:szCs w:val="20"/>
        </w:rPr>
      </w:pPr>
    </w:p>
    <w:p w14:paraId="33320E41">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3C156E28">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0C51FB3C">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14:paraId="65429497">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14:paraId="349F0970">
      <w:pPr>
        <w:autoSpaceDE w:val="0"/>
        <w:autoSpaceDN w:val="0"/>
        <w:adjustRightInd w:val="0"/>
        <w:snapToGrid w:val="0"/>
        <w:spacing w:line="360" w:lineRule="auto"/>
        <w:jc w:val="left"/>
        <w:rPr>
          <w:rFonts w:ascii="宋体" w:hAnsi="宋体"/>
          <w:kern w:val="0"/>
          <w:sz w:val="24"/>
          <w:szCs w:val="21"/>
        </w:rPr>
      </w:pPr>
    </w:p>
    <w:p w14:paraId="679F4A8F">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（一）投标函</w:t>
      </w:r>
    </w:p>
    <w:p w14:paraId="6A74FA50">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（二）投标函附录</w:t>
      </w:r>
    </w:p>
    <w:p w14:paraId="3F9ACF00">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w:t>
      </w:r>
      <w:r>
        <w:rPr>
          <w:rFonts w:hint="eastAsia" w:ascii="宋体" w:hAnsi="宋体"/>
          <w:kern w:val="0"/>
          <w:sz w:val="24"/>
          <w:lang w:val="en-US" w:eastAsia="zh-CN"/>
        </w:rPr>
        <w:t>三</w:t>
      </w:r>
      <w:r>
        <w:rPr>
          <w:rFonts w:ascii="宋体" w:hAnsi="宋体"/>
          <w:kern w:val="0"/>
          <w:sz w:val="24"/>
        </w:rPr>
        <w:t>）</w:t>
      </w:r>
      <w:r>
        <w:rPr>
          <w:rFonts w:hint="eastAsia" w:ascii="宋体" w:hAnsi="宋体"/>
          <w:kern w:val="0"/>
          <w:sz w:val="24"/>
        </w:rPr>
        <w:t>投标报价合理性说明（如有）</w:t>
      </w:r>
    </w:p>
    <w:p w14:paraId="22CC028E">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w:t>
      </w:r>
      <w:r>
        <w:rPr>
          <w:rFonts w:hint="eastAsia" w:ascii="宋体" w:hAnsi="宋体"/>
          <w:kern w:val="0"/>
          <w:sz w:val="24"/>
          <w:lang w:val="en-US" w:eastAsia="zh-CN"/>
        </w:rPr>
        <w:t>四</w:t>
      </w:r>
      <w:r>
        <w:rPr>
          <w:rFonts w:ascii="宋体" w:hAnsi="宋体"/>
          <w:kern w:val="0"/>
          <w:sz w:val="24"/>
        </w:rPr>
        <w:t>）</w:t>
      </w:r>
      <w:r>
        <w:rPr>
          <w:rFonts w:hint="eastAsia" w:ascii="宋体" w:hAnsi="宋体"/>
          <w:kern w:val="0"/>
          <w:sz w:val="24"/>
        </w:rPr>
        <w:t>法定代表人身份证明或授权委托书</w:t>
      </w:r>
    </w:p>
    <w:p w14:paraId="321F63D6">
      <w:pPr>
        <w:pStyle w:val="5"/>
        <w:spacing w:before="0" w:after="0" w:line="240" w:lineRule="auto"/>
        <w:jc w:val="center"/>
        <w:rPr>
          <w:rFonts w:ascii="宋体" w:hAnsi="宋体"/>
          <w:b w:val="0"/>
        </w:rPr>
      </w:pPr>
      <w:bookmarkStart w:id="2030" w:name="_Toc224103495"/>
      <w:bookmarkStart w:id="2031" w:name="_Toc430530530"/>
      <w:bookmarkStart w:id="2032" w:name="_Toc287620814"/>
      <w:bookmarkStart w:id="2033" w:name="_Toc534185831"/>
      <w:bookmarkStart w:id="2034" w:name="_Toc509218854"/>
      <w:bookmarkStart w:id="2035" w:name="_Toc277082643"/>
      <w:bookmarkStart w:id="2036" w:name="_Toc287607867"/>
      <w:r>
        <w:rPr>
          <w:rFonts w:ascii="宋体" w:hAnsi="宋体"/>
        </w:rPr>
        <w:br w:type="page"/>
      </w:r>
      <w:bookmarkStart w:id="2037" w:name="_Toc5165"/>
      <w:bookmarkStart w:id="2038" w:name="_Toc21453"/>
      <w:r>
        <w:rPr>
          <w:rFonts w:hint="eastAsia" w:ascii="宋体" w:hAnsi="宋体"/>
          <w:b w:val="0"/>
          <w:bCs w:val="0"/>
        </w:rPr>
        <w:t>（一）投标函</w:t>
      </w:r>
      <w:bookmarkEnd w:id="2030"/>
      <w:bookmarkEnd w:id="2031"/>
      <w:bookmarkEnd w:id="2032"/>
      <w:bookmarkEnd w:id="2033"/>
      <w:bookmarkEnd w:id="2034"/>
      <w:bookmarkEnd w:id="2035"/>
      <w:bookmarkEnd w:id="2036"/>
      <w:bookmarkEnd w:id="2037"/>
      <w:bookmarkEnd w:id="2038"/>
    </w:p>
    <w:p w14:paraId="03F96545">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（招标人名称）</w:t>
      </w:r>
      <w:r>
        <w:rPr>
          <w:rFonts w:ascii="宋体" w:hAnsi="宋体"/>
          <w:snapToGrid w:val="0"/>
          <w:kern w:val="0"/>
          <w:szCs w:val="21"/>
        </w:rPr>
        <w:t>：</w:t>
      </w:r>
    </w:p>
    <w:p w14:paraId="446637DF">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招标文件的全部内容，愿意以人民币（大写）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ascii="宋体" w:hAnsi="宋体"/>
          <w:snapToGrid w:val="0"/>
          <w:kern w:val="0"/>
          <w:szCs w:val="21"/>
        </w:rPr>
        <w:t>。工期</w:t>
      </w:r>
      <w:r>
        <w:rPr>
          <w:rFonts w:hint="eastAsia" w:ascii="宋体" w:hAnsi="宋体"/>
          <w:snapToGrid w:val="0"/>
          <w:kern w:val="0"/>
          <w:szCs w:val="21"/>
          <w:u w:val="single"/>
        </w:rPr>
        <w:t>达到招标文件的要求</w:t>
      </w:r>
      <w:r>
        <w:rPr>
          <w:rFonts w:ascii="宋体" w:hAnsi="宋体"/>
          <w:snapToGrid w:val="0"/>
          <w:kern w:val="0"/>
          <w:szCs w:val="21"/>
        </w:rPr>
        <w:t>，</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 xml:space="preserve"> 按合同约定实施和完成承包工程，修补工程中的任何缺陷，工程质量</w:t>
      </w:r>
      <w:r>
        <w:rPr>
          <w:rFonts w:hint="eastAsia" w:ascii="宋体" w:hAnsi="宋体"/>
          <w:snapToGrid w:val="0"/>
          <w:kern w:val="0"/>
          <w:szCs w:val="21"/>
          <w:u w:val="single"/>
        </w:rPr>
        <w:t>达到招标文件的要求</w:t>
      </w:r>
      <w:r>
        <w:rPr>
          <w:rFonts w:ascii="宋体" w:hAnsi="宋体"/>
          <w:snapToGrid w:val="0"/>
          <w:kern w:val="0"/>
          <w:szCs w:val="21"/>
        </w:rPr>
        <w:t>。</w:t>
      </w:r>
    </w:p>
    <w:p w14:paraId="51C7644D">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响应招标文件规定的投标有效期，</w:t>
      </w:r>
      <w:r>
        <w:rPr>
          <w:rFonts w:ascii="宋体" w:hAnsi="宋体"/>
          <w:snapToGrid w:val="0"/>
          <w:kern w:val="0"/>
          <w:szCs w:val="21"/>
        </w:rPr>
        <w:t>在投标有效期内不修改、撤销投标文件。</w:t>
      </w:r>
    </w:p>
    <w:p w14:paraId="59EA8CC1">
      <w:pPr>
        <w:tabs>
          <w:tab w:val="left" w:pos="2730"/>
          <w:tab w:val="left" w:pos="7980"/>
        </w:tabs>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投标保证金有效期</w:t>
      </w:r>
      <w:r>
        <w:rPr>
          <w:rFonts w:ascii="宋体" w:hAnsi="宋体"/>
          <w:snapToGrid w:val="0"/>
          <w:kern w:val="0"/>
          <w:szCs w:val="21"/>
        </w:rPr>
        <w:t>与</w:t>
      </w:r>
      <w:r>
        <w:rPr>
          <w:rFonts w:hint="eastAsia" w:ascii="宋体" w:hAnsi="宋体"/>
          <w:snapToGrid w:val="0"/>
          <w:kern w:val="0"/>
          <w:szCs w:val="21"/>
        </w:rPr>
        <w:t>投标有效期</w:t>
      </w:r>
      <w:r>
        <w:rPr>
          <w:rFonts w:ascii="宋体" w:hAnsi="宋体"/>
          <w:snapToGrid w:val="0"/>
          <w:kern w:val="0"/>
          <w:szCs w:val="21"/>
        </w:rPr>
        <w:t>一致，在此期间，若我方违反招投标有关法律、法规及本招标文件的相关规定，投标保证金的受益人为招标人。</w:t>
      </w:r>
    </w:p>
    <w:p w14:paraId="7A391A31">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如我方中标：</w:t>
      </w:r>
    </w:p>
    <w:p w14:paraId="2842AF82">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14:paraId="6C20136C">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14:paraId="0F6F0999">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（3）我方承诺按照招标文件规定向你方递交履约担保。</w:t>
      </w:r>
    </w:p>
    <w:p w14:paraId="3E7F6075">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（4）我方承诺在合同约定的期限内完成并移交全部合同工程。</w:t>
      </w:r>
    </w:p>
    <w:p w14:paraId="3BBCD6D5">
      <w:pPr>
        <w:autoSpaceDE w:val="0"/>
        <w:autoSpaceDN w:val="0"/>
        <w:adjustRightInd w:val="0"/>
        <w:spacing w:line="400" w:lineRule="exact"/>
        <w:ind w:firstLine="420" w:firstLineChars="200"/>
        <w:rPr>
          <w:rFonts w:ascii="宋体" w:hAnsi="宋体"/>
          <w:snapToGrid w:val="0"/>
          <w:kern w:val="0"/>
          <w:sz w:val="10"/>
          <w:szCs w:val="10"/>
        </w:rPr>
      </w:pPr>
      <w:r>
        <w:rPr>
          <w:rFonts w:hint="eastAsia" w:ascii="宋体" w:hAnsi="宋体"/>
          <w:snapToGrid w:val="0"/>
          <w:kern w:val="0"/>
          <w:szCs w:val="21"/>
        </w:rPr>
        <w:t>（5）我方承诺以不低于招标文件第七章 技术标准和要求中所列的技术指标和参数要求完成全部合同工程。</w:t>
      </w:r>
    </w:p>
    <w:p w14:paraId="4B681D57">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w:t>
      </w:r>
      <w:r>
        <w:rPr>
          <w:rFonts w:ascii="宋体" w:hAnsi="宋体"/>
          <w:snapToGrid w:val="0"/>
          <w:kern w:val="0"/>
          <w:szCs w:val="21"/>
        </w:rPr>
        <w:t>同时我方承诺接受招标文件及附件、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14:paraId="3424FE27">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14:paraId="335F512F">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2DFDE756">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76AEBD03">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001C3EF8">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711FBB6D">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3798D115">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1D0A2818">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04C7C240">
      <w:pPr>
        <w:tabs>
          <w:tab w:val="left" w:pos="8300"/>
        </w:tabs>
        <w:autoSpaceDE w:val="0"/>
        <w:autoSpaceDN w:val="0"/>
        <w:adjustRightInd w:val="0"/>
        <w:spacing w:line="400" w:lineRule="exact"/>
        <w:ind w:firstLine="400" w:firstLineChars="200"/>
        <w:rPr>
          <w:rFonts w:ascii="宋体" w:hAnsi="宋体"/>
          <w:snapToGrid w:val="0"/>
          <w:kern w:val="0"/>
          <w:sz w:val="20"/>
          <w:szCs w:val="20"/>
        </w:rPr>
      </w:pPr>
    </w:p>
    <w:p w14:paraId="46AA647B">
      <w:pPr>
        <w:tabs>
          <w:tab w:val="left" w:pos="8300"/>
        </w:tabs>
        <w:autoSpaceDE w:val="0"/>
        <w:autoSpaceDN w:val="0"/>
        <w:adjustRightInd w:val="0"/>
        <w:spacing w:line="40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079515E3">
      <w:pPr>
        <w:tabs>
          <w:tab w:val="left" w:pos="8300"/>
        </w:tabs>
        <w:autoSpaceDE w:val="0"/>
        <w:autoSpaceDN w:val="0"/>
        <w:adjustRightInd w:val="0"/>
        <w:spacing w:line="400" w:lineRule="exact"/>
        <w:ind w:firstLine="420" w:firstLineChars="200"/>
        <w:jc w:val="right"/>
        <w:rPr>
          <w:rFonts w:ascii="宋体" w:hAnsi="宋体"/>
          <w:kern w:val="0"/>
          <w:szCs w:val="21"/>
        </w:rPr>
      </w:pPr>
    </w:p>
    <w:p w14:paraId="31FF9423">
      <w:pPr>
        <w:pStyle w:val="5"/>
        <w:spacing w:before="0" w:after="0" w:line="240" w:lineRule="auto"/>
        <w:jc w:val="center"/>
        <w:rPr>
          <w:rFonts w:ascii="宋体" w:hAnsi="宋体"/>
          <w:snapToGrid w:val="0"/>
          <w:kern w:val="0"/>
          <w:szCs w:val="21"/>
        </w:rPr>
      </w:pPr>
      <w:bookmarkStart w:id="2039" w:name="_Toc224103496"/>
      <w:bookmarkStart w:id="2040" w:name="_Toc430530531"/>
      <w:bookmarkStart w:id="2041" w:name="_Toc277082644"/>
      <w:bookmarkStart w:id="2042" w:name="_Toc287620815"/>
      <w:bookmarkStart w:id="2043" w:name="_Toc287607868"/>
      <w:r>
        <w:rPr>
          <w:rFonts w:ascii="宋体" w:hAnsi="宋体"/>
          <w:sz w:val="28"/>
        </w:rPr>
        <w:br w:type="page"/>
      </w:r>
      <w:bookmarkStart w:id="2044" w:name="_Toc534185832"/>
      <w:bookmarkStart w:id="2045" w:name="_Toc5477"/>
      <w:bookmarkStart w:id="2046" w:name="_Toc509218855"/>
      <w:bookmarkStart w:id="2047" w:name="_Toc6673"/>
      <w:r>
        <w:rPr>
          <w:rFonts w:ascii="宋体" w:hAnsi="宋体"/>
          <w:b w:val="0"/>
          <w:bCs w:val="0"/>
        </w:rPr>
        <w:t>（二）投标函附录</w:t>
      </w:r>
      <w:bookmarkEnd w:id="2039"/>
      <w:bookmarkEnd w:id="2040"/>
      <w:bookmarkEnd w:id="2041"/>
      <w:bookmarkEnd w:id="2042"/>
      <w:bookmarkEnd w:id="2043"/>
      <w:bookmarkEnd w:id="2044"/>
      <w:bookmarkEnd w:id="2045"/>
      <w:bookmarkEnd w:id="2046"/>
      <w:bookmarkEnd w:id="2047"/>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167228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4E9EA7C1">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582" w:type="dxa"/>
            <w:vAlign w:val="center"/>
          </w:tcPr>
          <w:p w14:paraId="79FD54E8">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14:paraId="0AC56A0E">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14:paraId="7265699D">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792" w:type="dxa"/>
            <w:vAlign w:val="center"/>
          </w:tcPr>
          <w:p w14:paraId="110396FC">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14:paraId="143462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D92BFFA">
            <w:pPr>
              <w:autoSpaceDE w:val="0"/>
              <w:autoSpaceDN w:val="0"/>
              <w:adjustRightInd w:val="0"/>
              <w:jc w:val="center"/>
              <w:rPr>
                <w:rFonts w:ascii="宋体" w:hAnsi="宋体"/>
                <w:snapToGrid w:val="0"/>
                <w:kern w:val="0"/>
                <w:szCs w:val="21"/>
              </w:rPr>
            </w:pPr>
            <w:r>
              <w:rPr>
                <w:rFonts w:hint="eastAsia" w:ascii="宋体" w:hAnsi="宋体"/>
                <w:snapToGrid w:val="0"/>
                <w:kern w:val="0"/>
                <w:szCs w:val="21"/>
              </w:rPr>
              <w:t>1</w:t>
            </w:r>
          </w:p>
        </w:tc>
        <w:tc>
          <w:tcPr>
            <w:tcW w:w="2582" w:type="dxa"/>
            <w:vAlign w:val="center"/>
          </w:tcPr>
          <w:p w14:paraId="6B4A0CEE">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14:paraId="14CF9838">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14:paraId="70E4D5CF">
            <w:pPr>
              <w:tabs>
                <w:tab w:val="left" w:pos="1560"/>
              </w:tabs>
              <w:autoSpaceDE w:val="0"/>
              <w:autoSpaceDN w:val="0"/>
              <w:adjustRightInd w:val="0"/>
              <w:jc w:val="center"/>
              <w:rPr>
                <w:rFonts w:ascii="宋体" w:hAnsi="宋体"/>
                <w:snapToGrid w:val="0"/>
                <w:kern w:val="0"/>
                <w:szCs w:val="21"/>
              </w:rPr>
            </w:pPr>
          </w:p>
        </w:tc>
        <w:tc>
          <w:tcPr>
            <w:tcW w:w="792" w:type="dxa"/>
            <w:vAlign w:val="center"/>
          </w:tcPr>
          <w:p w14:paraId="10E574A2">
            <w:pPr>
              <w:autoSpaceDE w:val="0"/>
              <w:autoSpaceDN w:val="0"/>
              <w:adjustRightInd w:val="0"/>
              <w:jc w:val="center"/>
              <w:rPr>
                <w:rFonts w:ascii="宋体" w:hAnsi="宋体"/>
                <w:snapToGrid w:val="0"/>
                <w:kern w:val="0"/>
                <w:szCs w:val="21"/>
              </w:rPr>
            </w:pPr>
          </w:p>
        </w:tc>
      </w:tr>
      <w:tr w14:paraId="15E565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3B1D02A">
            <w:pPr>
              <w:autoSpaceDE w:val="0"/>
              <w:autoSpaceDN w:val="0"/>
              <w:adjustRightInd w:val="0"/>
              <w:jc w:val="center"/>
              <w:rPr>
                <w:rFonts w:ascii="宋体" w:hAnsi="宋体"/>
                <w:snapToGrid w:val="0"/>
                <w:kern w:val="0"/>
                <w:szCs w:val="21"/>
              </w:rPr>
            </w:pPr>
            <w:r>
              <w:rPr>
                <w:rFonts w:hint="eastAsia" w:ascii="宋体" w:hAnsi="宋体"/>
                <w:snapToGrid w:val="0"/>
                <w:kern w:val="0"/>
                <w:szCs w:val="21"/>
              </w:rPr>
              <w:t>2</w:t>
            </w:r>
          </w:p>
        </w:tc>
        <w:tc>
          <w:tcPr>
            <w:tcW w:w="2582" w:type="dxa"/>
            <w:vAlign w:val="center"/>
          </w:tcPr>
          <w:p w14:paraId="217A5D11">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14:paraId="713299BF">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14:paraId="746C99CB">
            <w:pPr>
              <w:autoSpaceDE w:val="0"/>
              <w:autoSpaceDN w:val="0"/>
              <w:adjustRightInd w:val="0"/>
              <w:jc w:val="center"/>
              <w:rPr>
                <w:rFonts w:ascii="宋体" w:hAnsi="宋体"/>
                <w:snapToGrid w:val="0"/>
                <w:kern w:val="0"/>
                <w:szCs w:val="21"/>
              </w:rPr>
            </w:pPr>
          </w:p>
        </w:tc>
        <w:tc>
          <w:tcPr>
            <w:tcW w:w="792" w:type="dxa"/>
            <w:vAlign w:val="center"/>
          </w:tcPr>
          <w:p w14:paraId="5E3819E7">
            <w:pPr>
              <w:autoSpaceDE w:val="0"/>
              <w:autoSpaceDN w:val="0"/>
              <w:adjustRightInd w:val="0"/>
              <w:jc w:val="center"/>
              <w:rPr>
                <w:rFonts w:ascii="宋体" w:hAnsi="宋体"/>
                <w:snapToGrid w:val="0"/>
                <w:kern w:val="0"/>
                <w:szCs w:val="21"/>
              </w:rPr>
            </w:pPr>
          </w:p>
        </w:tc>
      </w:tr>
      <w:tr w14:paraId="017265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C0DDC58">
            <w:pPr>
              <w:autoSpaceDE w:val="0"/>
              <w:autoSpaceDN w:val="0"/>
              <w:adjustRightInd w:val="0"/>
              <w:jc w:val="center"/>
              <w:rPr>
                <w:rFonts w:ascii="宋体" w:hAnsi="宋体"/>
                <w:snapToGrid w:val="0"/>
                <w:kern w:val="0"/>
                <w:szCs w:val="21"/>
              </w:rPr>
            </w:pPr>
            <w:r>
              <w:rPr>
                <w:rFonts w:hint="eastAsia" w:ascii="宋体" w:hAnsi="宋体"/>
                <w:snapToGrid w:val="0"/>
                <w:kern w:val="0"/>
                <w:szCs w:val="21"/>
              </w:rPr>
              <w:t>3</w:t>
            </w:r>
          </w:p>
        </w:tc>
        <w:tc>
          <w:tcPr>
            <w:tcW w:w="2582" w:type="dxa"/>
            <w:vAlign w:val="center"/>
          </w:tcPr>
          <w:p w14:paraId="3B247CF7">
            <w:pPr>
              <w:autoSpaceDE w:val="0"/>
              <w:autoSpaceDN w:val="0"/>
              <w:adjustRightInd w:val="0"/>
              <w:jc w:val="center"/>
              <w:rPr>
                <w:rFonts w:ascii="宋体" w:hAnsi="宋体"/>
                <w:snapToGrid w:val="0"/>
                <w:kern w:val="0"/>
                <w:szCs w:val="21"/>
              </w:rPr>
            </w:pPr>
            <w:r>
              <w:rPr>
                <w:rFonts w:hint="eastAsia" w:ascii="宋体" w:hAnsi="宋体"/>
                <w:snapToGrid w:val="0"/>
                <w:kern w:val="0"/>
                <w:szCs w:val="21"/>
              </w:rPr>
              <w:t>工程质量</w:t>
            </w:r>
          </w:p>
        </w:tc>
        <w:tc>
          <w:tcPr>
            <w:tcW w:w="2388" w:type="dxa"/>
            <w:vAlign w:val="center"/>
          </w:tcPr>
          <w:p w14:paraId="4BF61C17">
            <w:pPr>
              <w:tabs>
                <w:tab w:val="left" w:pos="2051"/>
              </w:tabs>
              <w:autoSpaceDE w:val="0"/>
              <w:autoSpaceDN w:val="0"/>
              <w:adjustRightInd w:val="0"/>
              <w:jc w:val="center"/>
              <w:rPr>
                <w:rFonts w:ascii="宋体" w:hAnsi="宋体"/>
                <w:snapToGrid w:val="0"/>
                <w:kern w:val="0"/>
                <w:szCs w:val="21"/>
              </w:rPr>
            </w:pPr>
            <w:r>
              <w:rPr>
                <w:rFonts w:hint="eastAsia" w:ascii="宋体" w:hAnsi="宋体"/>
                <w:snapToGrid w:val="0"/>
                <w:kern w:val="0"/>
                <w:szCs w:val="21"/>
              </w:rPr>
              <w:t>5.1</w:t>
            </w:r>
          </w:p>
        </w:tc>
        <w:tc>
          <w:tcPr>
            <w:tcW w:w="2987" w:type="dxa"/>
            <w:vAlign w:val="center"/>
          </w:tcPr>
          <w:p w14:paraId="207B2CE4">
            <w:pPr>
              <w:autoSpaceDE w:val="0"/>
              <w:autoSpaceDN w:val="0"/>
              <w:adjustRightInd w:val="0"/>
              <w:jc w:val="center"/>
              <w:rPr>
                <w:rFonts w:ascii="宋体" w:hAnsi="宋体"/>
                <w:snapToGrid w:val="0"/>
                <w:kern w:val="0"/>
                <w:szCs w:val="21"/>
              </w:rPr>
            </w:pPr>
          </w:p>
        </w:tc>
        <w:tc>
          <w:tcPr>
            <w:tcW w:w="792" w:type="dxa"/>
            <w:vAlign w:val="center"/>
          </w:tcPr>
          <w:p w14:paraId="7EF0E25F">
            <w:pPr>
              <w:autoSpaceDE w:val="0"/>
              <w:autoSpaceDN w:val="0"/>
              <w:adjustRightInd w:val="0"/>
              <w:jc w:val="center"/>
              <w:rPr>
                <w:rFonts w:ascii="宋体" w:hAnsi="宋体"/>
                <w:snapToGrid w:val="0"/>
                <w:kern w:val="0"/>
                <w:szCs w:val="21"/>
              </w:rPr>
            </w:pPr>
          </w:p>
        </w:tc>
      </w:tr>
      <w:tr w14:paraId="6815AA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37390F9">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14:paraId="2CE7B95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14:paraId="218C436C">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14:paraId="140CF39E">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14:paraId="240E3FD6">
            <w:pPr>
              <w:autoSpaceDE w:val="0"/>
              <w:autoSpaceDN w:val="0"/>
              <w:adjustRightInd w:val="0"/>
              <w:jc w:val="center"/>
              <w:rPr>
                <w:rFonts w:ascii="宋体" w:hAnsi="宋体"/>
                <w:snapToGrid w:val="0"/>
                <w:kern w:val="0"/>
                <w:szCs w:val="21"/>
              </w:rPr>
            </w:pPr>
          </w:p>
        </w:tc>
      </w:tr>
      <w:tr w14:paraId="05919E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FC836B4">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14:paraId="03784C60">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14:paraId="242E1A39">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14:paraId="6CABF2C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14:paraId="00CEAFDF">
            <w:pPr>
              <w:autoSpaceDE w:val="0"/>
              <w:autoSpaceDN w:val="0"/>
              <w:adjustRightInd w:val="0"/>
              <w:jc w:val="center"/>
              <w:rPr>
                <w:rFonts w:ascii="宋体" w:hAnsi="宋体"/>
                <w:snapToGrid w:val="0"/>
                <w:kern w:val="0"/>
                <w:szCs w:val="21"/>
              </w:rPr>
            </w:pPr>
          </w:p>
        </w:tc>
      </w:tr>
    </w:tbl>
    <w:p w14:paraId="1CAAD026">
      <w:pPr>
        <w:spacing w:line="360" w:lineRule="auto"/>
        <w:rPr>
          <w:rFonts w:ascii="宋体" w:hAnsi="宋体"/>
          <w:snapToGrid w:val="0"/>
          <w:w w:val="99"/>
        </w:rPr>
      </w:pPr>
    </w:p>
    <w:p w14:paraId="4241343B">
      <w:pPr>
        <w:spacing w:line="360" w:lineRule="auto"/>
        <w:rPr>
          <w:rFonts w:ascii="宋体" w:hAnsi="宋体"/>
          <w:snapToGrid w:val="0"/>
          <w:kern w:val="0"/>
          <w:sz w:val="32"/>
          <w:szCs w:val="32"/>
        </w:rPr>
      </w:pPr>
    </w:p>
    <w:p w14:paraId="189F7E93">
      <w:pPr>
        <w:spacing w:line="360" w:lineRule="auto"/>
        <w:rPr>
          <w:rFonts w:ascii="宋体" w:hAnsi="宋体"/>
          <w:snapToGrid w:val="0"/>
        </w:rPr>
      </w:pPr>
    </w:p>
    <w:p w14:paraId="604F317D">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1595D4C1">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rPr>
      </w:pPr>
      <w:r>
        <w:rPr>
          <w:rFonts w:hint="eastAsia" w:ascii="宋体" w:hAnsi="宋体"/>
          <w:snapToGrid w:val="0"/>
          <w:kern w:val="0"/>
          <w:szCs w:val="21"/>
        </w:rPr>
        <w:t xml:space="preserve">   </w:t>
      </w:r>
    </w:p>
    <w:p w14:paraId="5CCC0B3A">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 xml:space="preserve">或盖章） </w:t>
      </w:r>
    </w:p>
    <w:p w14:paraId="47D42993">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14:paraId="15022735">
      <w:pPr>
        <w:pStyle w:val="5"/>
        <w:spacing w:before="0" w:after="0" w:line="240" w:lineRule="auto"/>
        <w:jc w:val="center"/>
        <w:rPr>
          <w:rFonts w:ascii="宋体" w:hAnsi="宋体"/>
          <w:b w:val="0"/>
          <w:bCs w:val="0"/>
        </w:rPr>
      </w:pPr>
      <w:r>
        <w:rPr>
          <w:rFonts w:ascii="宋体" w:hAnsi="宋体"/>
          <w:snapToGrid w:val="0"/>
        </w:rPr>
        <w:br w:type="page"/>
      </w:r>
      <w:bookmarkStart w:id="2048" w:name="_Toc13011"/>
      <w:bookmarkStart w:id="2049" w:name="_Toc224103497"/>
      <w:bookmarkStart w:id="2050" w:name="_Toc287607869"/>
      <w:bookmarkStart w:id="2051" w:name="_Toc277082645"/>
      <w:bookmarkStart w:id="2052" w:name="_Toc430530532"/>
      <w:bookmarkStart w:id="2053" w:name="_Toc287620816"/>
      <w:bookmarkStart w:id="2054" w:name="_Toc15282"/>
      <w:r>
        <w:rPr>
          <w:rFonts w:ascii="宋体" w:hAnsi="宋体"/>
          <w:b w:val="0"/>
          <w:bCs w:val="0"/>
        </w:rPr>
        <w:t>（</w:t>
      </w:r>
      <w:r>
        <w:rPr>
          <w:rFonts w:hint="eastAsia" w:ascii="宋体" w:hAnsi="宋体"/>
          <w:b w:val="0"/>
          <w:bCs w:val="0"/>
          <w:lang w:val="en-US" w:eastAsia="zh-CN"/>
        </w:rPr>
        <w:t>三</w:t>
      </w:r>
      <w:r>
        <w:rPr>
          <w:rFonts w:ascii="宋体" w:hAnsi="宋体"/>
          <w:b w:val="0"/>
          <w:bCs w:val="0"/>
        </w:rPr>
        <w:t>）</w:t>
      </w:r>
      <w:r>
        <w:rPr>
          <w:rFonts w:hint="eastAsia" w:ascii="宋体" w:hAnsi="宋体"/>
          <w:b w:val="0"/>
          <w:bCs w:val="0"/>
        </w:rPr>
        <w:t>投标报价合理性说明</w:t>
      </w:r>
      <w:r>
        <w:rPr>
          <w:rFonts w:hint="eastAsia" w:ascii="宋体" w:hAnsi="宋体"/>
          <w:b w:val="0"/>
          <w:bCs w:val="0"/>
          <w:lang w:eastAsia="zh-CN"/>
        </w:rPr>
        <w:t>（</w:t>
      </w:r>
      <w:r>
        <w:rPr>
          <w:rFonts w:hint="eastAsia" w:ascii="宋体" w:hAnsi="宋体"/>
          <w:b w:val="0"/>
          <w:bCs w:val="0"/>
          <w:lang w:val="en-US" w:eastAsia="zh-CN"/>
        </w:rPr>
        <w:t>如有</w:t>
      </w:r>
      <w:r>
        <w:rPr>
          <w:rFonts w:hint="eastAsia" w:ascii="宋体" w:hAnsi="宋体"/>
          <w:b w:val="0"/>
          <w:bCs w:val="0"/>
          <w:lang w:eastAsia="zh-CN"/>
        </w:rPr>
        <w:t>）</w:t>
      </w:r>
      <w:bookmarkEnd w:id="2048"/>
    </w:p>
    <w:p w14:paraId="757D81C5">
      <w:pPr>
        <w:autoSpaceDE w:val="0"/>
        <w:autoSpaceDN w:val="0"/>
        <w:adjustRightInd w:val="0"/>
        <w:snapToGrid w:val="0"/>
        <w:spacing w:line="360" w:lineRule="auto"/>
        <w:jc w:val="center"/>
        <w:rPr>
          <w:rFonts w:ascii="宋体" w:hAnsi="宋体"/>
          <w:snapToGrid w:val="0"/>
          <w:kern w:val="0"/>
          <w:sz w:val="32"/>
          <w:szCs w:val="32"/>
        </w:rPr>
      </w:pPr>
    </w:p>
    <w:p w14:paraId="15027C8E">
      <w:pPr>
        <w:autoSpaceDE w:val="0"/>
        <w:autoSpaceDN w:val="0"/>
        <w:adjustRightInd w:val="0"/>
        <w:snapToGrid w:val="0"/>
        <w:spacing w:line="360" w:lineRule="auto"/>
        <w:ind w:firstLine="420" w:firstLineChars="200"/>
        <w:jc w:val="left"/>
        <w:rPr>
          <w:rFonts w:ascii="宋体" w:hAnsi="宋体"/>
          <w:snapToGrid w:val="0"/>
          <w:kern w:val="0"/>
          <w:sz w:val="32"/>
          <w:szCs w:val="32"/>
        </w:rPr>
      </w:pPr>
      <w:r>
        <w:rPr>
          <w:rFonts w:hint="eastAsia" w:ascii="宋体" w:hAnsi="宋体"/>
          <w:i w:val="0"/>
          <w:iCs w:val="0"/>
          <w:snapToGrid w:val="0"/>
          <w:kern w:val="0"/>
          <w:sz w:val="21"/>
          <w:szCs w:val="21"/>
          <w:lang w:val="en-US" w:eastAsia="zh-CN"/>
        </w:rPr>
        <w:t>（注：投标报价</w:t>
      </w:r>
      <w:r>
        <w:rPr>
          <w:rFonts w:hint="eastAsia" w:ascii="宋体" w:hAnsi="宋体"/>
          <w:lang w:val="en-US" w:eastAsia="zh-CN"/>
        </w:rPr>
        <w:t>低于异常低价警戒线</w:t>
      </w:r>
      <w:r>
        <w:rPr>
          <w:rFonts w:hint="eastAsia" w:ascii="宋体" w:hAnsi="宋体"/>
          <w:i w:val="0"/>
          <w:iCs w:val="0"/>
          <w:snapToGrid w:val="0"/>
          <w:kern w:val="0"/>
          <w:sz w:val="21"/>
          <w:szCs w:val="21"/>
          <w:lang w:val="en-US" w:eastAsia="zh-CN"/>
        </w:rPr>
        <w:t>时提供，格式自拟，并提供必要的佐证材料。</w:t>
      </w:r>
      <w:r>
        <w:rPr>
          <w:rFonts w:hint="eastAsia" w:ascii="宋体" w:hAnsi="宋体" w:cs="宋体"/>
          <w:i w:val="0"/>
          <w:iCs w:val="0"/>
          <w:szCs w:val="21"/>
          <w:u w:val="none"/>
          <w:lang w:val="en-US" w:eastAsia="zh-CN"/>
        </w:rPr>
        <w:t>投标人提供的说明不得降低或者改变原设计方案、技术工艺、施工标准，不得影响项目的质量、安全、工期、结算等正常履约</w:t>
      </w:r>
      <w:r>
        <w:rPr>
          <w:rFonts w:hint="eastAsia" w:ascii="宋体" w:hAnsi="宋体"/>
          <w:snapToGrid w:val="0"/>
          <w:kern w:val="0"/>
          <w:szCs w:val="21"/>
        </w:rPr>
        <w:t>。</w:t>
      </w:r>
      <w:r>
        <w:rPr>
          <w:rFonts w:hint="eastAsia" w:ascii="宋体" w:hAnsi="宋体"/>
          <w:i w:val="0"/>
          <w:iCs w:val="0"/>
          <w:snapToGrid w:val="0"/>
          <w:kern w:val="0"/>
          <w:sz w:val="21"/>
          <w:szCs w:val="21"/>
          <w:lang w:val="en-US" w:eastAsia="zh-CN"/>
        </w:rPr>
        <w:t>）</w:t>
      </w:r>
    </w:p>
    <w:p w14:paraId="64FBA4FD">
      <w:pPr>
        <w:autoSpaceDE w:val="0"/>
        <w:autoSpaceDN w:val="0"/>
        <w:adjustRightInd w:val="0"/>
        <w:snapToGrid w:val="0"/>
        <w:spacing w:line="360" w:lineRule="auto"/>
        <w:jc w:val="center"/>
        <w:rPr>
          <w:rFonts w:ascii="宋体" w:hAnsi="宋体"/>
          <w:snapToGrid w:val="0"/>
          <w:kern w:val="0"/>
          <w:sz w:val="32"/>
          <w:szCs w:val="32"/>
        </w:rPr>
      </w:pPr>
    </w:p>
    <w:p w14:paraId="510EBFA7">
      <w:pPr>
        <w:rPr>
          <w:rFonts w:ascii="宋体" w:hAnsi="宋体"/>
          <w:b w:val="0"/>
          <w:bCs w:val="0"/>
        </w:rPr>
      </w:pPr>
      <w:r>
        <w:rPr>
          <w:rFonts w:ascii="宋体" w:hAnsi="宋体"/>
          <w:b w:val="0"/>
          <w:bCs w:val="0"/>
        </w:rPr>
        <w:br w:type="page"/>
      </w:r>
    </w:p>
    <w:p w14:paraId="5FDC4160">
      <w:pPr>
        <w:pStyle w:val="5"/>
        <w:spacing w:before="0" w:after="0" w:line="240" w:lineRule="auto"/>
        <w:jc w:val="center"/>
        <w:rPr>
          <w:rFonts w:ascii="宋体" w:hAnsi="宋体"/>
          <w:snapToGrid w:val="0"/>
          <w:kern w:val="0"/>
          <w:szCs w:val="21"/>
        </w:rPr>
      </w:pPr>
      <w:bookmarkStart w:id="2055" w:name="_Toc14964"/>
      <w:r>
        <w:rPr>
          <w:rFonts w:ascii="宋体" w:hAnsi="宋体"/>
          <w:b w:val="0"/>
          <w:bCs w:val="0"/>
        </w:rPr>
        <w:t>（</w:t>
      </w:r>
      <w:r>
        <w:rPr>
          <w:rFonts w:hint="eastAsia" w:ascii="宋体" w:hAnsi="宋体"/>
          <w:b w:val="0"/>
          <w:bCs w:val="0"/>
          <w:lang w:val="en-US" w:eastAsia="zh-CN"/>
        </w:rPr>
        <w:t>四</w:t>
      </w:r>
      <w:r>
        <w:rPr>
          <w:rFonts w:ascii="宋体" w:hAnsi="宋体"/>
          <w:b w:val="0"/>
          <w:bCs w:val="0"/>
        </w:rPr>
        <w:t>）</w:t>
      </w:r>
      <w:r>
        <w:rPr>
          <w:rFonts w:hint="eastAsia" w:ascii="宋体" w:hAnsi="宋体"/>
          <w:b w:val="0"/>
          <w:bCs w:val="0"/>
        </w:rPr>
        <w:t>法定代表人身份证明或授权委托书</w:t>
      </w:r>
      <w:bookmarkEnd w:id="2049"/>
      <w:bookmarkEnd w:id="2050"/>
      <w:bookmarkEnd w:id="2051"/>
      <w:bookmarkEnd w:id="2052"/>
      <w:bookmarkEnd w:id="2053"/>
      <w:bookmarkEnd w:id="2054"/>
      <w:bookmarkEnd w:id="2055"/>
    </w:p>
    <w:p w14:paraId="4C6DFB4A">
      <w:pPr>
        <w:spacing w:line="480" w:lineRule="auto"/>
        <w:jc w:val="center"/>
        <w:rPr>
          <w:rFonts w:ascii="宋体" w:hAnsi="宋体"/>
          <w:sz w:val="28"/>
        </w:rPr>
      </w:pPr>
      <w:r>
        <w:rPr>
          <w:rFonts w:hint="eastAsia" w:ascii="宋体" w:hAnsi="宋体"/>
          <w:sz w:val="28"/>
        </w:rPr>
        <w:t>法定代表人身份证明</w:t>
      </w:r>
    </w:p>
    <w:p w14:paraId="2915FADB">
      <w:pPr>
        <w:spacing w:line="480" w:lineRule="auto"/>
        <w:jc w:val="center"/>
        <w:rPr>
          <w:rFonts w:ascii="宋体" w:hAnsi="宋体"/>
        </w:rPr>
      </w:pPr>
    </w:p>
    <w:p w14:paraId="3F614074">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63A9F19F">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35646CA9">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07A606BF">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39F53E82">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3579837E">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7CB044D2">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191C67E6">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w:t>
      </w:r>
      <w:r>
        <w:rPr>
          <w:rFonts w:hint="eastAsia" w:ascii="宋体" w:hAnsi="宋体"/>
          <w:kern w:val="0"/>
          <w:szCs w:val="21"/>
          <w:lang w:val="en-US" w:eastAsia="zh-CN"/>
        </w:rPr>
        <w:t>明</w:t>
      </w:r>
      <w:r>
        <w:rPr>
          <w:rFonts w:hint="eastAsia" w:ascii="宋体" w:hAnsi="宋体"/>
          <w:kern w:val="0"/>
          <w:szCs w:val="21"/>
        </w:rPr>
        <w:t>扫描件（双面）</w:t>
      </w:r>
    </w:p>
    <w:p w14:paraId="33710905">
      <w:pPr>
        <w:autoSpaceDE w:val="0"/>
        <w:autoSpaceDN w:val="0"/>
        <w:adjustRightInd w:val="0"/>
        <w:snapToGrid w:val="0"/>
        <w:spacing w:line="360" w:lineRule="auto"/>
        <w:jc w:val="left"/>
        <w:rPr>
          <w:rFonts w:ascii="宋体" w:hAnsi="宋体"/>
          <w:szCs w:val="21"/>
        </w:rPr>
      </w:pPr>
    </w:p>
    <w:p w14:paraId="586A60A6">
      <w:pPr>
        <w:pStyle w:val="2"/>
        <w:spacing w:after="0" w:line="360" w:lineRule="auto"/>
        <w:rPr>
          <w:rFonts w:ascii="宋体" w:hAnsi="宋体"/>
          <w:szCs w:val="21"/>
        </w:rPr>
      </w:pPr>
    </w:p>
    <w:p w14:paraId="2994ED99">
      <w:pPr>
        <w:pStyle w:val="2"/>
        <w:spacing w:after="0" w:line="360" w:lineRule="auto"/>
        <w:rPr>
          <w:rFonts w:ascii="宋体" w:hAnsi="宋体"/>
          <w:szCs w:val="21"/>
        </w:rPr>
      </w:pPr>
    </w:p>
    <w:p w14:paraId="607CB6AB">
      <w:pPr>
        <w:pStyle w:val="2"/>
        <w:spacing w:after="0" w:line="360" w:lineRule="auto"/>
        <w:rPr>
          <w:rFonts w:ascii="宋体" w:hAnsi="宋体"/>
          <w:szCs w:val="21"/>
        </w:rPr>
      </w:pPr>
    </w:p>
    <w:p w14:paraId="1612BBB1">
      <w:pPr>
        <w:pStyle w:val="2"/>
        <w:spacing w:after="0" w:line="360" w:lineRule="auto"/>
        <w:rPr>
          <w:rFonts w:ascii="宋体" w:hAnsi="宋体"/>
          <w:szCs w:val="21"/>
        </w:rPr>
      </w:pPr>
    </w:p>
    <w:p w14:paraId="360F3BF3">
      <w:pPr>
        <w:pStyle w:val="2"/>
        <w:spacing w:after="0" w:line="360" w:lineRule="auto"/>
        <w:rPr>
          <w:rFonts w:ascii="宋体" w:hAnsi="宋体"/>
          <w:szCs w:val="21"/>
        </w:rPr>
      </w:pPr>
    </w:p>
    <w:p w14:paraId="0EC6C918">
      <w:pPr>
        <w:tabs>
          <w:tab w:val="left" w:pos="5475"/>
        </w:tabs>
        <w:autoSpaceDE w:val="0"/>
        <w:autoSpaceDN w:val="0"/>
        <w:adjustRightInd w:val="0"/>
        <w:snapToGrid w:val="0"/>
        <w:spacing w:line="480" w:lineRule="auto"/>
        <w:ind w:firstLine="372" w:firstLineChars="186"/>
        <w:jc w:val="left"/>
        <w:rPr>
          <w:rFonts w:ascii="宋体" w:hAnsi="宋体"/>
          <w:kern w:val="0"/>
          <w:sz w:val="20"/>
          <w:szCs w:val="20"/>
        </w:rPr>
      </w:pPr>
    </w:p>
    <w:p w14:paraId="0ABD3D6F">
      <w:pPr>
        <w:tabs>
          <w:tab w:val="left" w:pos="5460"/>
        </w:tabs>
        <w:autoSpaceDE w:val="0"/>
        <w:autoSpaceDN w:val="0"/>
        <w:adjustRightInd w:val="0"/>
        <w:snapToGrid w:val="0"/>
        <w:spacing w:line="480" w:lineRule="auto"/>
        <w:ind w:firstLine="21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3325FD64">
      <w:pPr>
        <w:autoSpaceDE w:val="0"/>
        <w:autoSpaceDN w:val="0"/>
        <w:adjustRightInd w:val="0"/>
        <w:snapToGrid w:val="0"/>
        <w:spacing w:line="480" w:lineRule="auto"/>
        <w:jc w:val="left"/>
        <w:rPr>
          <w:rFonts w:ascii="宋体" w:hAnsi="宋体"/>
          <w:kern w:val="0"/>
          <w:sz w:val="20"/>
          <w:szCs w:val="20"/>
        </w:rPr>
      </w:pPr>
    </w:p>
    <w:p w14:paraId="0815424C">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4E381FAD">
      <w:pPr>
        <w:autoSpaceDE w:val="0"/>
        <w:autoSpaceDN w:val="0"/>
        <w:adjustRightInd w:val="0"/>
        <w:snapToGrid w:val="0"/>
        <w:spacing w:line="360" w:lineRule="auto"/>
        <w:jc w:val="left"/>
        <w:rPr>
          <w:rFonts w:ascii="宋体" w:hAnsi="宋体"/>
          <w:kern w:val="0"/>
        </w:rPr>
      </w:pPr>
    </w:p>
    <w:p w14:paraId="460E9EF7">
      <w:pPr>
        <w:autoSpaceDE w:val="0"/>
        <w:autoSpaceDN w:val="0"/>
        <w:adjustRightInd w:val="0"/>
        <w:snapToGrid w:val="0"/>
        <w:spacing w:line="360" w:lineRule="auto"/>
        <w:jc w:val="left"/>
        <w:rPr>
          <w:rFonts w:ascii="宋体" w:hAnsi="宋体"/>
          <w:kern w:val="0"/>
        </w:rPr>
      </w:pPr>
    </w:p>
    <w:p w14:paraId="770CFCDF">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0C17573B">
      <w:pPr>
        <w:spacing w:line="360" w:lineRule="auto"/>
        <w:ind w:firstLine="420" w:firstLineChars="200"/>
        <w:rPr>
          <w:rFonts w:ascii="宋体" w:hAnsi="宋体"/>
        </w:rPr>
      </w:pPr>
    </w:p>
    <w:p w14:paraId="7F3F9C3D">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kern w:val="0"/>
        </w:rPr>
        <w:br w:type="page"/>
      </w:r>
      <w:r>
        <w:rPr>
          <w:rFonts w:ascii="宋体" w:hAnsi="宋体"/>
          <w:snapToGrid w:val="0"/>
          <w:kern w:val="0"/>
          <w:sz w:val="32"/>
          <w:szCs w:val="32"/>
        </w:rPr>
        <w:t>授权委托书</w:t>
      </w:r>
    </w:p>
    <w:p w14:paraId="053DF66C">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hint="eastAsia" w:ascii="宋体" w:hAnsi="宋体"/>
          <w:kern w:val="0"/>
          <w:szCs w:val="21"/>
          <w:lang w:val="en-US" w:eastAsia="zh-CN"/>
        </w:rPr>
        <w:t>代表我方</w:t>
      </w:r>
      <w:r>
        <w:rPr>
          <w:rFonts w:ascii="宋体" w:hAnsi="宋体"/>
          <w:kern w:val="0"/>
          <w:szCs w:val="21"/>
        </w:rPr>
        <w:t>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49610B1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16818E1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0BAF4E2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4704C94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65D98086">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409FD93A">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2F8BFE22">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3D852833">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6CD692AB">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63D7568E">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0A46A2B9">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w:t>
      </w:r>
      <w:r>
        <w:rPr>
          <w:rFonts w:hint="eastAsia" w:ascii="宋体" w:hAnsi="宋体"/>
          <w:kern w:val="0"/>
          <w:szCs w:val="21"/>
          <w:lang w:val="en-US" w:eastAsia="zh-CN"/>
        </w:rPr>
        <w:t>明</w:t>
      </w:r>
      <w:r>
        <w:rPr>
          <w:rFonts w:hint="eastAsia" w:ascii="宋体" w:hAnsi="宋体"/>
          <w:kern w:val="0"/>
          <w:szCs w:val="21"/>
        </w:rPr>
        <w:t>扫描件（双面）</w:t>
      </w:r>
    </w:p>
    <w:p w14:paraId="4B4FF85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2946244D">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44A02C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C2F0B8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2445A8D">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84BA75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5AB632C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1D91771">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14:paraId="44DE4A5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12D070F5">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472CC7B0">
      <w:pPr>
        <w:tabs>
          <w:tab w:val="left" w:pos="5760"/>
        </w:tabs>
        <w:autoSpaceDE w:val="0"/>
        <w:autoSpaceDN w:val="0"/>
        <w:adjustRightInd w:val="0"/>
        <w:spacing w:line="360" w:lineRule="auto"/>
        <w:ind w:firstLine="420" w:firstLineChars="200"/>
        <w:rPr>
          <w:rFonts w:ascii="宋体" w:hAnsi="宋体"/>
          <w:kern w:val="0"/>
        </w:rPr>
      </w:pPr>
    </w:p>
    <w:p w14:paraId="488FA708">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437D6AB2">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32C9728A">
      <w:pPr>
        <w:spacing w:line="360" w:lineRule="auto"/>
        <w:ind w:firstLine="420" w:firstLineChars="200"/>
        <w:rPr>
          <w:rFonts w:ascii="宋体" w:hAnsi="宋体"/>
        </w:rPr>
      </w:pPr>
      <w:r>
        <w:rPr>
          <w:rFonts w:ascii="宋体" w:hAnsi="宋体"/>
        </w:rPr>
        <w:br w:type="page"/>
      </w:r>
    </w:p>
    <w:p w14:paraId="2716474F">
      <w:pPr>
        <w:pStyle w:val="4"/>
        <w:spacing w:line="360" w:lineRule="auto"/>
        <w:jc w:val="center"/>
        <w:rPr>
          <w:rFonts w:ascii="宋体" w:hAnsi="宋体"/>
          <w:b w:val="0"/>
          <w:bCs w:val="0"/>
          <w:sz w:val="44"/>
          <w:szCs w:val="44"/>
        </w:rPr>
      </w:pPr>
      <w:bookmarkStart w:id="2056" w:name="_Toc287620819"/>
      <w:bookmarkStart w:id="2057" w:name="_Toc224103500"/>
      <w:bookmarkStart w:id="2058" w:name="_Toc287607872"/>
      <w:bookmarkStart w:id="2059" w:name="_Toc31296"/>
      <w:bookmarkStart w:id="2060" w:name="_Toc11873"/>
      <w:bookmarkStart w:id="2061" w:name="_Toc430530534"/>
      <w:r>
        <w:rPr>
          <w:rFonts w:hint="eastAsia" w:ascii="宋体" w:hAnsi="宋体"/>
          <w:b w:val="0"/>
          <w:bCs w:val="0"/>
          <w:sz w:val="44"/>
          <w:szCs w:val="44"/>
        </w:rPr>
        <w:t>二、</w:t>
      </w:r>
      <w:r>
        <w:rPr>
          <w:rFonts w:hint="eastAsia" w:ascii="宋体" w:hAnsi="宋体"/>
          <w:b w:val="0"/>
          <w:bCs w:val="0"/>
          <w:sz w:val="44"/>
          <w:szCs w:val="44"/>
          <w:lang w:val="en-US" w:eastAsia="zh-CN"/>
        </w:rPr>
        <w:t>报价</w:t>
      </w:r>
      <w:r>
        <w:rPr>
          <w:rFonts w:hint="eastAsia" w:ascii="宋体" w:hAnsi="宋体"/>
          <w:b w:val="0"/>
          <w:bCs w:val="0"/>
          <w:sz w:val="44"/>
          <w:szCs w:val="44"/>
        </w:rPr>
        <w:t>部分</w:t>
      </w:r>
      <w:bookmarkEnd w:id="2056"/>
      <w:bookmarkEnd w:id="2057"/>
      <w:bookmarkEnd w:id="2058"/>
      <w:bookmarkEnd w:id="2059"/>
      <w:bookmarkEnd w:id="2060"/>
      <w:bookmarkEnd w:id="2061"/>
    </w:p>
    <w:p w14:paraId="26BD76A0">
      <w:pPr>
        <w:spacing w:line="360" w:lineRule="auto"/>
        <w:jc w:val="center"/>
        <w:rPr>
          <w:rFonts w:ascii="宋体" w:hAnsi="宋体"/>
          <w:kern w:val="0"/>
          <w:sz w:val="32"/>
          <w:szCs w:val="32"/>
        </w:rPr>
      </w:pPr>
      <w:r>
        <w:rPr>
          <w:rFonts w:ascii="宋体" w:hAnsi="宋体"/>
          <w:kern w:val="0"/>
          <w:sz w:val="28"/>
          <w:szCs w:val="28"/>
        </w:rPr>
        <w:br w:type="page"/>
      </w:r>
      <w:r>
        <w:rPr>
          <w:rFonts w:hint="eastAsia" w:ascii="宋体" w:hAnsi="宋体"/>
          <w:kern w:val="0"/>
          <w:sz w:val="32"/>
          <w:szCs w:val="32"/>
          <w:u w:val="single"/>
        </w:rPr>
        <w:t xml:space="preserve">                   （项目名称）</w:t>
      </w:r>
    </w:p>
    <w:p w14:paraId="6A015DF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3FA5FA13">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27034C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A12A7E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E95B67B">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69E5C580">
      <w:pPr>
        <w:autoSpaceDE w:val="0"/>
        <w:autoSpaceDN w:val="0"/>
        <w:adjustRightInd w:val="0"/>
        <w:snapToGrid w:val="0"/>
        <w:spacing w:line="360" w:lineRule="auto"/>
        <w:jc w:val="left"/>
        <w:rPr>
          <w:rFonts w:ascii="宋体" w:hAnsi="宋体"/>
          <w:kern w:val="0"/>
          <w:sz w:val="16"/>
          <w:szCs w:val="16"/>
        </w:rPr>
      </w:pPr>
    </w:p>
    <w:p w14:paraId="2703D38D">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lang w:val="en-US" w:eastAsia="zh-CN"/>
        </w:rPr>
        <w:t>报价</w:t>
      </w:r>
      <w:r>
        <w:rPr>
          <w:rFonts w:hint="eastAsia" w:ascii="宋体" w:hAnsi="宋体"/>
          <w:kern w:val="0"/>
          <w:sz w:val="36"/>
          <w:szCs w:val="36"/>
        </w:rPr>
        <w:t>部分</w:t>
      </w:r>
    </w:p>
    <w:p w14:paraId="55898CCF">
      <w:pPr>
        <w:autoSpaceDE w:val="0"/>
        <w:autoSpaceDN w:val="0"/>
        <w:adjustRightInd w:val="0"/>
        <w:snapToGrid w:val="0"/>
        <w:spacing w:line="360" w:lineRule="auto"/>
        <w:jc w:val="left"/>
        <w:rPr>
          <w:rFonts w:ascii="宋体" w:hAnsi="宋体"/>
          <w:b/>
          <w:kern w:val="0"/>
          <w:sz w:val="20"/>
          <w:szCs w:val="20"/>
        </w:rPr>
      </w:pPr>
    </w:p>
    <w:p w14:paraId="0A03FD35">
      <w:pPr>
        <w:autoSpaceDE w:val="0"/>
        <w:autoSpaceDN w:val="0"/>
        <w:adjustRightInd w:val="0"/>
        <w:snapToGrid w:val="0"/>
        <w:spacing w:line="360" w:lineRule="auto"/>
        <w:jc w:val="left"/>
        <w:rPr>
          <w:rFonts w:ascii="宋体" w:hAnsi="宋体"/>
          <w:b/>
          <w:kern w:val="0"/>
          <w:sz w:val="20"/>
          <w:szCs w:val="20"/>
        </w:rPr>
      </w:pPr>
    </w:p>
    <w:p w14:paraId="50D77709">
      <w:pPr>
        <w:autoSpaceDE w:val="0"/>
        <w:autoSpaceDN w:val="0"/>
        <w:adjustRightInd w:val="0"/>
        <w:snapToGrid w:val="0"/>
        <w:spacing w:line="360" w:lineRule="auto"/>
        <w:jc w:val="left"/>
        <w:rPr>
          <w:rFonts w:ascii="宋体" w:hAnsi="宋体"/>
          <w:b/>
          <w:kern w:val="0"/>
          <w:sz w:val="20"/>
          <w:szCs w:val="20"/>
        </w:rPr>
      </w:pPr>
    </w:p>
    <w:p w14:paraId="150AFDB6">
      <w:pPr>
        <w:autoSpaceDE w:val="0"/>
        <w:autoSpaceDN w:val="0"/>
        <w:adjustRightInd w:val="0"/>
        <w:snapToGrid w:val="0"/>
        <w:spacing w:line="360" w:lineRule="auto"/>
        <w:jc w:val="left"/>
        <w:rPr>
          <w:rFonts w:ascii="宋体" w:hAnsi="宋体"/>
          <w:b/>
          <w:kern w:val="0"/>
          <w:sz w:val="20"/>
          <w:szCs w:val="20"/>
        </w:rPr>
      </w:pPr>
    </w:p>
    <w:p w14:paraId="4C17F3D4">
      <w:pPr>
        <w:autoSpaceDE w:val="0"/>
        <w:autoSpaceDN w:val="0"/>
        <w:adjustRightInd w:val="0"/>
        <w:snapToGrid w:val="0"/>
        <w:spacing w:line="360" w:lineRule="auto"/>
        <w:jc w:val="left"/>
        <w:rPr>
          <w:rFonts w:ascii="宋体" w:hAnsi="宋体"/>
          <w:b/>
          <w:kern w:val="0"/>
          <w:sz w:val="20"/>
          <w:szCs w:val="20"/>
        </w:rPr>
      </w:pPr>
    </w:p>
    <w:p w14:paraId="14719F3F">
      <w:pPr>
        <w:autoSpaceDE w:val="0"/>
        <w:autoSpaceDN w:val="0"/>
        <w:adjustRightInd w:val="0"/>
        <w:snapToGrid w:val="0"/>
        <w:spacing w:line="360" w:lineRule="auto"/>
        <w:jc w:val="left"/>
        <w:rPr>
          <w:rFonts w:ascii="宋体" w:hAnsi="宋体"/>
          <w:b/>
          <w:kern w:val="0"/>
          <w:sz w:val="20"/>
          <w:szCs w:val="20"/>
        </w:rPr>
      </w:pPr>
    </w:p>
    <w:p w14:paraId="5EC45947">
      <w:pPr>
        <w:autoSpaceDE w:val="0"/>
        <w:autoSpaceDN w:val="0"/>
        <w:adjustRightInd w:val="0"/>
        <w:snapToGrid w:val="0"/>
        <w:spacing w:line="360" w:lineRule="auto"/>
        <w:jc w:val="left"/>
        <w:rPr>
          <w:rFonts w:ascii="宋体" w:hAnsi="宋体"/>
          <w:b/>
          <w:kern w:val="0"/>
          <w:sz w:val="20"/>
          <w:szCs w:val="20"/>
        </w:rPr>
      </w:pPr>
    </w:p>
    <w:p w14:paraId="20016F8C">
      <w:pPr>
        <w:autoSpaceDE w:val="0"/>
        <w:autoSpaceDN w:val="0"/>
        <w:adjustRightInd w:val="0"/>
        <w:snapToGrid w:val="0"/>
        <w:spacing w:line="360" w:lineRule="auto"/>
        <w:jc w:val="left"/>
        <w:rPr>
          <w:rFonts w:ascii="宋体" w:hAnsi="宋体"/>
          <w:b/>
          <w:kern w:val="0"/>
          <w:sz w:val="20"/>
          <w:szCs w:val="20"/>
        </w:rPr>
      </w:pPr>
    </w:p>
    <w:p w14:paraId="2DAA25B3">
      <w:pPr>
        <w:autoSpaceDE w:val="0"/>
        <w:autoSpaceDN w:val="0"/>
        <w:adjustRightInd w:val="0"/>
        <w:snapToGrid w:val="0"/>
        <w:spacing w:line="360" w:lineRule="auto"/>
        <w:jc w:val="left"/>
        <w:rPr>
          <w:rFonts w:ascii="宋体" w:hAnsi="宋体"/>
          <w:b/>
          <w:kern w:val="0"/>
          <w:sz w:val="20"/>
          <w:szCs w:val="20"/>
        </w:rPr>
      </w:pPr>
    </w:p>
    <w:p w14:paraId="363CC1B6">
      <w:pPr>
        <w:autoSpaceDE w:val="0"/>
        <w:autoSpaceDN w:val="0"/>
        <w:adjustRightInd w:val="0"/>
        <w:snapToGrid w:val="0"/>
        <w:spacing w:line="360" w:lineRule="auto"/>
        <w:jc w:val="left"/>
        <w:rPr>
          <w:rFonts w:ascii="宋体" w:hAnsi="宋体"/>
          <w:b/>
          <w:kern w:val="0"/>
          <w:sz w:val="20"/>
          <w:szCs w:val="20"/>
        </w:rPr>
      </w:pPr>
    </w:p>
    <w:p w14:paraId="4CF4B533">
      <w:pPr>
        <w:autoSpaceDE w:val="0"/>
        <w:autoSpaceDN w:val="0"/>
        <w:adjustRightInd w:val="0"/>
        <w:snapToGrid w:val="0"/>
        <w:spacing w:line="360" w:lineRule="auto"/>
        <w:jc w:val="left"/>
        <w:rPr>
          <w:rFonts w:ascii="宋体" w:hAnsi="宋体"/>
          <w:b/>
          <w:kern w:val="0"/>
          <w:sz w:val="20"/>
          <w:szCs w:val="20"/>
        </w:rPr>
      </w:pPr>
    </w:p>
    <w:p w14:paraId="7D73AF0D">
      <w:pPr>
        <w:autoSpaceDE w:val="0"/>
        <w:autoSpaceDN w:val="0"/>
        <w:adjustRightInd w:val="0"/>
        <w:snapToGrid w:val="0"/>
        <w:spacing w:line="360" w:lineRule="auto"/>
        <w:jc w:val="left"/>
        <w:rPr>
          <w:rFonts w:ascii="宋体" w:hAnsi="宋体"/>
          <w:b/>
          <w:kern w:val="0"/>
          <w:sz w:val="20"/>
          <w:szCs w:val="20"/>
        </w:rPr>
      </w:pPr>
    </w:p>
    <w:p w14:paraId="2B668A9F">
      <w:pPr>
        <w:autoSpaceDE w:val="0"/>
        <w:autoSpaceDN w:val="0"/>
        <w:adjustRightInd w:val="0"/>
        <w:snapToGrid w:val="0"/>
        <w:spacing w:line="360" w:lineRule="auto"/>
        <w:jc w:val="left"/>
        <w:rPr>
          <w:rFonts w:ascii="宋体" w:hAnsi="宋体"/>
          <w:b/>
          <w:kern w:val="0"/>
          <w:sz w:val="20"/>
          <w:szCs w:val="20"/>
        </w:rPr>
      </w:pPr>
    </w:p>
    <w:p w14:paraId="6A08CEC0">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597ADCA1">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4FA6B298">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14:paraId="41BB656D">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14:paraId="5782A019">
      <w:pPr>
        <w:autoSpaceDE w:val="0"/>
        <w:autoSpaceDN w:val="0"/>
        <w:adjustRightInd w:val="0"/>
        <w:snapToGrid w:val="0"/>
        <w:spacing w:line="360" w:lineRule="auto"/>
        <w:jc w:val="center"/>
        <w:rPr>
          <w:rFonts w:ascii="宋体" w:hAnsi="宋体"/>
          <w:kern w:val="0"/>
          <w:szCs w:val="21"/>
        </w:rPr>
      </w:pPr>
      <w:r>
        <w:rPr>
          <w:rFonts w:hint="eastAsia" w:ascii="宋体" w:hAnsi="宋体"/>
          <w:kern w:val="0"/>
          <w:sz w:val="36"/>
          <w:szCs w:val="36"/>
        </w:rPr>
        <w:t>目  录</w:t>
      </w:r>
    </w:p>
    <w:p w14:paraId="3EEF94C4">
      <w:pPr>
        <w:autoSpaceDE w:val="0"/>
        <w:autoSpaceDN w:val="0"/>
        <w:adjustRightInd w:val="0"/>
        <w:snapToGrid w:val="0"/>
        <w:spacing w:line="360" w:lineRule="auto"/>
        <w:jc w:val="left"/>
        <w:rPr>
          <w:rFonts w:ascii="宋体" w:hAnsi="宋体"/>
          <w:kern w:val="0"/>
          <w:szCs w:val="21"/>
        </w:rPr>
      </w:pPr>
    </w:p>
    <w:p w14:paraId="7761132A">
      <w:pPr>
        <w:autoSpaceDE w:val="0"/>
        <w:autoSpaceDN w:val="0"/>
        <w:adjustRightInd w:val="0"/>
        <w:snapToGrid w:val="0"/>
        <w:spacing w:line="360" w:lineRule="auto"/>
        <w:jc w:val="center"/>
        <w:rPr>
          <w:rFonts w:ascii="宋体" w:hAnsi="宋体"/>
          <w:i/>
          <w:iCs/>
          <w:kern w:val="0"/>
          <w:szCs w:val="21"/>
        </w:rPr>
      </w:pPr>
      <w:r>
        <w:rPr>
          <w:rFonts w:hint="eastAsia" w:ascii="宋体" w:hAnsi="宋体"/>
          <w:i w:val="0"/>
          <w:iCs w:val="0"/>
          <w:kern w:val="0"/>
          <w:szCs w:val="21"/>
          <w:lang w:eastAsia="zh-CN"/>
        </w:rPr>
        <w:t>（</w:t>
      </w:r>
      <w:r>
        <w:rPr>
          <w:rFonts w:hint="eastAsia" w:ascii="宋体" w:hAnsi="宋体"/>
          <w:i w:val="0"/>
          <w:iCs w:val="0"/>
          <w:kern w:val="0"/>
          <w:szCs w:val="21"/>
          <w:lang w:val="en-US" w:eastAsia="zh-CN"/>
        </w:rPr>
        <w:t>注</w:t>
      </w:r>
      <w:r>
        <w:rPr>
          <w:rFonts w:hint="eastAsia" w:ascii="宋体" w:hAnsi="宋体"/>
          <w:i w:val="0"/>
          <w:iCs w:val="0"/>
          <w:kern w:val="0"/>
          <w:szCs w:val="21"/>
        </w:rPr>
        <w:t>：</w:t>
      </w:r>
      <w:r>
        <w:rPr>
          <w:rFonts w:ascii="宋体" w:hAnsi="宋体"/>
          <w:i w:val="0"/>
          <w:iCs w:val="0"/>
          <w:kern w:val="0"/>
          <w:szCs w:val="21"/>
        </w:rPr>
        <w:t>目录由投标人自行编制</w:t>
      </w:r>
      <w:r>
        <w:rPr>
          <w:rFonts w:hint="eastAsia" w:ascii="宋体" w:hAnsi="宋体"/>
          <w:i w:val="0"/>
          <w:iCs w:val="0"/>
          <w:kern w:val="0"/>
          <w:szCs w:val="21"/>
          <w:lang w:eastAsia="zh-CN"/>
        </w:rPr>
        <w:t>）</w:t>
      </w:r>
    </w:p>
    <w:p w14:paraId="75208255">
      <w:pPr>
        <w:pStyle w:val="5"/>
        <w:spacing w:before="0" w:after="0" w:line="240" w:lineRule="auto"/>
        <w:jc w:val="center"/>
        <w:rPr>
          <w:rFonts w:ascii="宋体" w:hAnsi="宋体"/>
          <w:b w:val="0"/>
          <w:bCs w:val="0"/>
        </w:rPr>
      </w:pPr>
      <w:bookmarkStart w:id="2062" w:name="_Toc277082648"/>
      <w:bookmarkStart w:id="2063" w:name="_Toc287620820"/>
      <w:bookmarkStart w:id="2064" w:name="_Toc430530535"/>
      <w:bookmarkStart w:id="2065" w:name="_Toc287607873"/>
      <w:bookmarkStart w:id="2066" w:name="_Toc224103501"/>
      <w:r>
        <w:rPr>
          <w:rFonts w:ascii="宋体" w:hAnsi="宋体"/>
          <w:b w:val="0"/>
          <w:bCs w:val="0"/>
          <w:kern w:val="0"/>
          <w:sz w:val="21"/>
          <w:szCs w:val="21"/>
        </w:rPr>
        <w:br w:type="page"/>
      </w:r>
      <w:bookmarkStart w:id="2067" w:name="_Toc13284"/>
      <w:bookmarkStart w:id="2068" w:name="_Toc4990"/>
      <w:r>
        <w:rPr>
          <w:rFonts w:hint="eastAsia" w:ascii="宋体" w:hAnsi="宋体"/>
          <w:b w:val="0"/>
          <w:bCs w:val="0"/>
        </w:rPr>
        <w:t>（一）已标价工程量清单</w:t>
      </w:r>
      <w:bookmarkEnd w:id="2062"/>
      <w:bookmarkEnd w:id="2063"/>
      <w:bookmarkEnd w:id="2064"/>
      <w:bookmarkEnd w:id="2065"/>
      <w:bookmarkEnd w:id="2066"/>
      <w:bookmarkEnd w:id="2067"/>
      <w:bookmarkEnd w:id="2068"/>
    </w:p>
    <w:p w14:paraId="6252BAC0">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14:paraId="46B4D1D6">
      <w:pPr>
        <w:pStyle w:val="4"/>
        <w:spacing w:line="360" w:lineRule="auto"/>
        <w:rPr>
          <w:rFonts w:ascii="宋体" w:hAnsi="宋体"/>
          <w:kern w:val="0"/>
          <w:sz w:val="24"/>
          <w:szCs w:val="21"/>
        </w:rPr>
      </w:pPr>
      <w:bookmarkStart w:id="2069" w:name="_Toc224103502"/>
      <w:bookmarkStart w:id="2070" w:name="_Toc430530536"/>
      <w:bookmarkStart w:id="2071" w:name="_Toc287620821"/>
      <w:bookmarkStart w:id="2072" w:name="_Toc287607874"/>
      <w:r>
        <w:rPr>
          <w:rFonts w:ascii="宋体" w:hAnsi="宋体"/>
        </w:rPr>
        <w:br w:type="page"/>
      </w:r>
    </w:p>
    <w:p w14:paraId="4C86AFB3">
      <w:pPr>
        <w:pStyle w:val="4"/>
        <w:spacing w:line="360" w:lineRule="auto"/>
        <w:jc w:val="center"/>
        <w:outlineLvl w:val="0"/>
        <w:rPr>
          <w:rFonts w:ascii="宋体" w:hAnsi="宋体"/>
          <w:b w:val="0"/>
          <w:bCs w:val="0"/>
          <w:color w:val="auto"/>
          <w:sz w:val="44"/>
          <w:szCs w:val="44"/>
          <w:highlight w:val="none"/>
        </w:rPr>
      </w:pPr>
      <w:bookmarkStart w:id="2073" w:name="_Toc57796015"/>
      <w:bookmarkStart w:id="2074" w:name="_Toc10692"/>
      <w:bookmarkStart w:id="2075" w:name="_Toc26575"/>
      <w:r>
        <w:rPr>
          <w:rFonts w:hint="eastAsia" w:ascii="宋体" w:hAnsi="宋体"/>
          <w:b w:val="0"/>
          <w:bCs w:val="0"/>
          <w:color w:val="auto"/>
          <w:sz w:val="44"/>
          <w:szCs w:val="44"/>
          <w:highlight w:val="none"/>
        </w:rPr>
        <w:t>三、</w:t>
      </w:r>
      <w:bookmarkEnd w:id="2073"/>
      <w:bookmarkEnd w:id="2074"/>
      <w:bookmarkStart w:id="2076" w:name="_Toc3267"/>
      <w:r>
        <w:rPr>
          <w:rFonts w:hint="eastAsia" w:ascii="宋体" w:hAnsi="宋体"/>
          <w:b w:val="0"/>
          <w:bCs w:val="0"/>
          <w:color w:val="auto"/>
          <w:sz w:val="44"/>
          <w:szCs w:val="44"/>
          <w:highlight w:val="none"/>
        </w:rPr>
        <w:t>商务部分</w:t>
      </w:r>
      <w:bookmarkEnd w:id="2075"/>
    </w:p>
    <w:p w14:paraId="236C4900">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提示：不设置商务评审的不设此部分</w:t>
      </w:r>
      <w:r>
        <w:rPr>
          <w:rFonts w:ascii="宋体" w:hAnsi="宋体"/>
          <w:i/>
          <w:iCs/>
          <w:color w:val="auto"/>
          <w:kern w:val="0"/>
          <w:szCs w:val="21"/>
          <w:highlight w:val="none"/>
        </w:rPr>
        <w:t>]</w:t>
      </w:r>
    </w:p>
    <w:p w14:paraId="4778B950">
      <w:pPr>
        <w:spacing w:line="360" w:lineRule="auto"/>
        <w:jc w:val="center"/>
        <w:outlineLvl w:val="1"/>
        <w:rPr>
          <w:rFonts w:hint="eastAsia" w:ascii="宋体" w:hAnsi="宋体"/>
          <w:color w:val="auto"/>
          <w:kern w:val="0"/>
          <w:sz w:val="32"/>
          <w:szCs w:val="32"/>
          <w:highlight w:val="none"/>
        </w:rPr>
      </w:pPr>
      <w:r>
        <w:rPr>
          <w:rFonts w:ascii="宋体" w:hAnsi="宋体"/>
          <w:color w:val="auto"/>
          <w:kern w:val="0"/>
          <w:sz w:val="28"/>
          <w:szCs w:val="28"/>
          <w:highlight w:val="none"/>
        </w:rPr>
        <w:br w:type="page"/>
      </w:r>
      <w:r>
        <w:rPr>
          <w:rFonts w:hint="eastAsia" w:ascii="宋体" w:hAnsi="宋体"/>
          <w:color w:val="auto"/>
          <w:kern w:val="0"/>
          <w:sz w:val="32"/>
          <w:szCs w:val="32"/>
          <w:highlight w:val="none"/>
          <w:u w:val="single"/>
        </w:rPr>
        <w:t xml:space="preserve">                   </w:t>
      </w:r>
      <w:bookmarkStart w:id="2077" w:name="_Toc13723"/>
      <w:bookmarkStart w:id="2078" w:name="_Toc27387"/>
      <w:bookmarkStart w:id="2079" w:name="_Toc19693"/>
      <w:bookmarkStart w:id="2080" w:name="_Toc18826"/>
      <w:bookmarkStart w:id="2081" w:name="_Toc2839"/>
      <w:bookmarkStart w:id="2082" w:name="_Toc8207"/>
      <w:bookmarkStart w:id="2083" w:name="_Toc4376"/>
      <w:r>
        <w:rPr>
          <w:rFonts w:hint="eastAsia" w:ascii="宋体" w:hAnsi="宋体"/>
          <w:color w:val="auto"/>
          <w:kern w:val="0"/>
          <w:sz w:val="32"/>
          <w:szCs w:val="32"/>
          <w:highlight w:val="none"/>
          <w:u w:val="single"/>
        </w:rPr>
        <w:t>（项目名称）</w:t>
      </w:r>
      <w:bookmarkEnd w:id="2077"/>
      <w:bookmarkEnd w:id="2078"/>
      <w:bookmarkEnd w:id="2079"/>
      <w:bookmarkEnd w:id="2080"/>
      <w:bookmarkEnd w:id="2081"/>
      <w:bookmarkEnd w:id="2082"/>
      <w:bookmarkEnd w:id="2083"/>
    </w:p>
    <w:p w14:paraId="6B0AC42F">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33FEECC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376B7EAF">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AF8B8CA">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DF89141">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6B62ABA6">
      <w:pPr>
        <w:autoSpaceDE w:val="0"/>
        <w:autoSpaceDN w:val="0"/>
        <w:adjustRightInd w:val="0"/>
        <w:snapToGrid w:val="0"/>
        <w:spacing w:line="360" w:lineRule="auto"/>
        <w:jc w:val="left"/>
        <w:rPr>
          <w:rFonts w:ascii="宋体" w:hAnsi="宋体"/>
          <w:color w:val="auto"/>
          <w:kern w:val="0"/>
          <w:sz w:val="16"/>
          <w:szCs w:val="16"/>
          <w:highlight w:val="none"/>
        </w:rPr>
      </w:pPr>
    </w:p>
    <w:p w14:paraId="79CE4522">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商务部分</w:t>
      </w:r>
    </w:p>
    <w:p w14:paraId="7C040759">
      <w:pPr>
        <w:autoSpaceDE w:val="0"/>
        <w:autoSpaceDN w:val="0"/>
        <w:adjustRightInd w:val="0"/>
        <w:snapToGrid w:val="0"/>
        <w:spacing w:line="360" w:lineRule="auto"/>
        <w:jc w:val="left"/>
        <w:rPr>
          <w:rFonts w:ascii="宋体" w:hAnsi="宋体"/>
          <w:b/>
          <w:color w:val="auto"/>
          <w:kern w:val="0"/>
          <w:sz w:val="20"/>
          <w:szCs w:val="20"/>
          <w:highlight w:val="none"/>
        </w:rPr>
      </w:pPr>
    </w:p>
    <w:p w14:paraId="01716D65">
      <w:pPr>
        <w:autoSpaceDE w:val="0"/>
        <w:autoSpaceDN w:val="0"/>
        <w:adjustRightInd w:val="0"/>
        <w:snapToGrid w:val="0"/>
        <w:spacing w:line="360" w:lineRule="auto"/>
        <w:jc w:val="left"/>
        <w:rPr>
          <w:rFonts w:ascii="宋体" w:hAnsi="宋体"/>
          <w:b/>
          <w:color w:val="auto"/>
          <w:kern w:val="0"/>
          <w:sz w:val="20"/>
          <w:szCs w:val="20"/>
          <w:highlight w:val="none"/>
        </w:rPr>
      </w:pPr>
    </w:p>
    <w:p w14:paraId="21806AF0">
      <w:pPr>
        <w:autoSpaceDE w:val="0"/>
        <w:autoSpaceDN w:val="0"/>
        <w:adjustRightInd w:val="0"/>
        <w:snapToGrid w:val="0"/>
        <w:spacing w:line="360" w:lineRule="auto"/>
        <w:jc w:val="left"/>
        <w:rPr>
          <w:rFonts w:ascii="宋体" w:hAnsi="宋体"/>
          <w:b/>
          <w:color w:val="auto"/>
          <w:kern w:val="0"/>
          <w:sz w:val="20"/>
          <w:szCs w:val="20"/>
          <w:highlight w:val="none"/>
        </w:rPr>
      </w:pPr>
    </w:p>
    <w:p w14:paraId="4A9AC39A">
      <w:pPr>
        <w:autoSpaceDE w:val="0"/>
        <w:autoSpaceDN w:val="0"/>
        <w:adjustRightInd w:val="0"/>
        <w:snapToGrid w:val="0"/>
        <w:spacing w:line="360" w:lineRule="auto"/>
        <w:jc w:val="left"/>
        <w:rPr>
          <w:rFonts w:ascii="宋体" w:hAnsi="宋体"/>
          <w:b/>
          <w:color w:val="auto"/>
          <w:kern w:val="0"/>
          <w:sz w:val="20"/>
          <w:szCs w:val="20"/>
          <w:highlight w:val="none"/>
        </w:rPr>
      </w:pPr>
    </w:p>
    <w:p w14:paraId="3629BFD9">
      <w:pPr>
        <w:autoSpaceDE w:val="0"/>
        <w:autoSpaceDN w:val="0"/>
        <w:adjustRightInd w:val="0"/>
        <w:snapToGrid w:val="0"/>
        <w:spacing w:line="360" w:lineRule="auto"/>
        <w:jc w:val="left"/>
        <w:rPr>
          <w:rFonts w:ascii="宋体" w:hAnsi="宋体"/>
          <w:b/>
          <w:color w:val="auto"/>
          <w:kern w:val="0"/>
          <w:sz w:val="20"/>
          <w:szCs w:val="20"/>
          <w:highlight w:val="none"/>
        </w:rPr>
      </w:pPr>
    </w:p>
    <w:p w14:paraId="71B2F7A1">
      <w:pPr>
        <w:autoSpaceDE w:val="0"/>
        <w:autoSpaceDN w:val="0"/>
        <w:adjustRightInd w:val="0"/>
        <w:snapToGrid w:val="0"/>
        <w:spacing w:line="360" w:lineRule="auto"/>
        <w:jc w:val="left"/>
        <w:rPr>
          <w:rFonts w:ascii="宋体" w:hAnsi="宋体"/>
          <w:b/>
          <w:color w:val="auto"/>
          <w:kern w:val="0"/>
          <w:sz w:val="20"/>
          <w:szCs w:val="20"/>
          <w:highlight w:val="none"/>
        </w:rPr>
      </w:pPr>
    </w:p>
    <w:p w14:paraId="772CCB8B">
      <w:pPr>
        <w:autoSpaceDE w:val="0"/>
        <w:autoSpaceDN w:val="0"/>
        <w:adjustRightInd w:val="0"/>
        <w:snapToGrid w:val="0"/>
        <w:spacing w:line="360" w:lineRule="auto"/>
        <w:jc w:val="left"/>
        <w:rPr>
          <w:rFonts w:ascii="宋体" w:hAnsi="宋体"/>
          <w:b/>
          <w:color w:val="auto"/>
          <w:kern w:val="0"/>
          <w:sz w:val="20"/>
          <w:szCs w:val="20"/>
          <w:highlight w:val="none"/>
        </w:rPr>
      </w:pPr>
    </w:p>
    <w:p w14:paraId="33B7DFFC">
      <w:pPr>
        <w:autoSpaceDE w:val="0"/>
        <w:autoSpaceDN w:val="0"/>
        <w:adjustRightInd w:val="0"/>
        <w:snapToGrid w:val="0"/>
        <w:spacing w:line="360" w:lineRule="auto"/>
        <w:jc w:val="left"/>
        <w:rPr>
          <w:rFonts w:ascii="宋体" w:hAnsi="宋体"/>
          <w:b/>
          <w:color w:val="auto"/>
          <w:kern w:val="0"/>
          <w:sz w:val="20"/>
          <w:szCs w:val="20"/>
          <w:highlight w:val="none"/>
        </w:rPr>
      </w:pPr>
    </w:p>
    <w:p w14:paraId="14BE790F">
      <w:pPr>
        <w:autoSpaceDE w:val="0"/>
        <w:autoSpaceDN w:val="0"/>
        <w:adjustRightInd w:val="0"/>
        <w:snapToGrid w:val="0"/>
        <w:spacing w:line="360" w:lineRule="auto"/>
        <w:jc w:val="left"/>
        <w:rPr>
          <w:rFonts w:ascii="宋体" w:hAnsi="宋体"/>
          <w:b/>
          <w:color w:val="auto"/>
          <w:kern w:val="0"/>
          <w:sz w:val="20"/>
          <w:szCs w:val="20"/>
          <w:highlight w:val="none"/>
        </w:rPr>
      </w:pPr>
    </w:p>
    <w:p w14:paraId="4224D2BB">
      <w:pPr>
        <w:autoSpaceDE w:val="0"/>
        <w:autoSpaceDN w:val="0"/>
        <w:adjustRightInd w:val="0"/>
        <w:snapToGrid w:val="0"/>
        <w:spacing w:line="360" w:lineRule="auto"/>
        <w:jc w:val="left"/>
        <w:rPr>
          <w:rFonts w:ascii="宋体" w:hAnsi="宋体"/>
          <w:b/>
          <w:color w:val="auto"/>
          <w:kern w:val="0"/>
          <w:sz w:val="20"/>
          <w:szCs w:val="20"/>
          <w:highlight w:val="none"/>
        </w:rPr>
      </w:pPr>
    </w:p>
    <w:p w14:paraId="0D29C697">
      <w:pPr>
        <w:autoSpaceDE w:val="0"/>
        <w:autoSpaceDN w:val="0"/>
        <w:adjustRightInd w:val="0"/>
        <w:snapToGrid w:val="0"/>
        <w:spacing w:line="360" w:lineRule="auto"/>
        <w:jc w:val="left"/>
        <w:rPr>
          <w:rFonts w:ascii="宋体" w:hAnsi="宋体"/>
          <w:b/>
          <w:color w:val="auto"/>
          <w:kern w:val="0"/>
          <w:sz w:val="20"/>
          <w:szCs w:val="20"/>
          <w:highlight w:val="none"/>
        </w:rPr>
      </w:pPr>
    </w:p>
    <w:p w14:paraId="1B870754">
      <w:pPr>
        <w:autoSpaceDE w:val="0"/>
        <w:autoSpaceDN w:val="0"/>
        <w:adjustRightInd w:val="0"/>
        <w:snapToGrid w:val="0"/>
        <w:spacing w:line="360" w:lineRule="auto"/>
        <w:jc w:val="left"/>
        <w:rPr>
          <w:rFonts w:ascii="宋体" w:hAnsi="宋体"/>
          <w:b/>
          <w:color w:val="auto"/>
          <w:kern w:val="0"/>
          <w:sz w:val="20"/>
          <w:szCs w:val="20"/>
          <w:highlight w:val="none"/>
        </w:rPr>
      </w:pPr>
    </w:p>
    <w:p w14:paraId="2416ABE6">
      <w:pPr>
        <w:autoSpaceDE w:val="0"/>
        <w:autoSpaceDN w:val="0"/>
        <w:adjustRightInd w:val="0"/>
        <w:snapToGrid w:val="0"/>
        <w:spacing w:line="360" w:lineRule="auto"/>
        <w:jc w:val="left"/>
        <w:rPr>
          <w:rFonts w:ascii="宋体" w:hAnsi="宋体"/>
          <w:b/>
          <w:color w:val="auto"/>
          <w:kern w:val="0"/>
          <w:sz w:val="20"/>
          <w:szCs w:val="20"/>
          <w:highlight w:val="none"/>
        </w:rPr>
      </w:pPr>
    </w:p>
    <w:p w14:paraId="5EE39453">
      <w:pPr>
        <w:tabs>
          <w:tab w:val="left" w:pos="6080"/>
          <w:tab w:val="left" w:pos="6640"/>
        </w:tabs>
        <w:autoSpaceDE w:val="0"/>
        <w:autoSpaceDN w:val="0"/>
        <w:adjustRightInd w:val="0"/>
        <w:snapToGrid w:val="0"/>
        <w:spacing w:after="156" w:afterLines="50" w:line="360" w:lineRule="auto"/>
        <w:jc w:val="center"/>
        <w:outlineLvl w:val="1"/>
        <w:rPr>
          <w:rFonts w:ascii="宋体" w:hAnsi="宋体"/>
          <w:color w:val="auto"/>
          <w:w w:val="99"/>
          <w:kern w:val="0"/>
          <w:sz w:val="28"/>
          <w:szCs w:val="28"/>
          <w:highlight w:val="none"/>
        </w:rPr>
      </w:pPr>
      <w:bookmarkStart w:id="2084" w:name="_Toc15873"/>
      <w:bookmarkStart w:id="2085" w:name="_Toc28885"/>
      <w:bookmarkStart w:id="2086" w:name="_Toc673"/>
      <w:bookmarkStart w:id="2087" w:name="_Toc3785"/>
      <w:bookmarkStart w:id="2088" w:name="_Toc20175"/>
      <w:bookmarkStart w:id="2089" w:name="_Toc31341"/>
      <w:bookmarkStart w:id="2090" w:name="_Toc11184"/>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bookmarkEnd w:id="2084"/>
      <w:bookmarkEnd w:id="2085"/>
      <w:bookmarkEnd w:id="2086"/>
      <w:bookmarkEnd w:id="2087"/>
      <w:bookmarkEnd w:id="2088"/>
      <w:bookmarkEnd w:id="2089"/>
      <w:bookmarkEnd w:id="2090"/>
    </w:p>
    <w:p w14:paraId="6EB626C7">
      <w:pPr>
        <w:tabs>
          <w:tab w:val="left" w:pos="6080"/>
          <w:tab w:val="left" w:pos="6640"/>
        </w:tabs>
        <w:autoSpaceDE w:val="0"/>
        <w:autoSpaceDN w:val="0"/>
        <w:adjustRightInd w:val="0"/>
        <w:snapToGrid w:val="0"/>
        <w:spacing w:after="156" w:afterLines="50" w:line="360" w:lineRule="auto"/>
        <w:jc w:val="center"/>
        <w:outlineLvl w:val="1"/>
        <w:rPr>
          <w:rFonts w:ascii="宋体" w:hAnsi="宋体"/>
          <w:b/>
          <w:color w:val="auto"/>
          <w:kern w:val="0"/>
          <w:sz w:val="28"/>
          <w:szCs w:val="28"/>
          <w:highlight w:val="none"/>
        </w:rPr>
      </w:pPr>
      <w:bookmarkStart w:id="2091" w:name="_Toc437"/>
      <w:bookmarkStart w:id="2092" w:name="_Toc24329"/>
      <w:bookmarkStart w:id="2093" w:name="_Toc8616"/>
      <w:bookmarkStart w:id="2094" w:name="_Toc115"/>
      <w:bookmarkStart w:id="2095" w:name="_Toc10205"/>
      <w:bookmarkStart w:id="2096" w:name="_Toc29646"/>
      <w:bookmarkStart w:id="2097" w:name="_Toc25792"/>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lang w:eastAsia="zh-CN"/>
        </w:rPr>
        <w:t>签名</w:t>
      </w:r>
      <w:r>
        <w:rPr>
          <w:rFonts w:ascii="宋体" w:hAnsi="宋体"/>
          <w:color w:val="auto"/>
          <w:w w:val="99"/>
          <w:kern w:val="0"/>
          <w:sz w:val="28"/>
          <w:szCs w:val="28"/>
          <w:highlight w:val="none"/>
        </w:rPr>
        <w:t>或盖章）</w:t>
      </w:r>
      <w:bookmarkEnd w:id="2091"/>
      <w:bookmarkEnd w:id="2092"/>
      <w:bookmarkEnd w:id="2093"/>
      <w:bookmarkEnd w:id="2094"/>
      <w:bookmarkEnd w:id="2095"/>
      <w:bookmarkEnd w:id="2096"/>
      <w:bookmarkEnd w:id="2097"/>
    </w:p>
    <w:p w14:paraId="78684110">
      <w:pPr>
        <w:tabs>
          <w:tab w:val="left" w:pos="3280"/>
          <w:tab w:val="left" w:pos="4680"/>
          <w:tab w:val="left" w:pos="6080"/>
        </w:tabs>
        <w:autoSpaceDE w:val="0"/>
        <w:autoSpaceDN w:val="0"/>
        <w:adjustRightInd w:val="0"/>
        <w:snapToGrid w:val="0"/>
        <w:spacing w:after="156" w:afterLines="50" w:line="360" w:lineRule="auto"/>
        <w:jc w:val="center"/>
        <w:outlineLvl w:val="1"/>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bookmarkStart w:id="2098" w:name="_Toc1578"/>
      <w:bookmarkStart w:id="2099" w:name="_Toc28879"/>
      <w:bookmarkStart w:id="2100" w:name="_Toc11586"/>
      <w:bookmarkStart w:id="2101" w:name="_Toc1395"/>
      <w:bookmarkStart w:id="2102" w:name="_Toc22120"/>
      <w:bookmarkStart w:id="2103" w:name="_Toc19352"/>
      <w:bookmarkStart w:id="2104" w:name="_Toc7802"/>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bookmarkEnd w:id="2098"/>
      <w:bookmarkEnd w:id="2099"/>
      <w:bookmarkEnd w:id="2100"/>
      <w:bookmarkEnd w:id="2101"/>
      <w:bookmarkEnd w:id="2102"/>
      <w:bookmarkEnd w:id="2103"/>
      <w:bookmarkEnd w:id="2104"/>
    </w:p>
    <w:p w14:paraId="5CCF05D7">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kern w:val="0"/>
          <w:sz w:val="24"/>
          <w:szCs w:val="21"/>
          <w:highlight w:val="none"/>
        </w:rPr>
        <w:br w:type="page"/>
      </w:r>
    </w:p>
    <w:p w14:paraId="378519A7">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 w:val="36"/>
          <w:szCs w:val="36"/>
          <w:highlight w:val="none"/>
        </w:rPr>
        <w:t>目  录</w:t>
      </w:r>
    </w:p>
    <w:p w14:paraId="21849865">
      <w:pPr>
        <w:autoSpaceDE w:val="0"/>
        <w:autoSpaceDN w:val="0"/>
        <w:adjustRightInd w:val="0"/>
        <w:snapToGrid w:val="0"/>
        <w:spacing w:line="360" w:lineRule="auto"/>
        <w:jc w:val="left"/>
        <w:rPr>
          <w:rFonts w:ascii="宋体" w:hAnsi="宋体"/>
          <w:color w:val="auto"/>
          <w:kern w:val="0"/>
          <w:szCs w:val="21"/>
          <w:highlight w:val="none"/>
        </w:rPr>
      </w:pPr>
    </w:p>
    <w:p w14:paraId="3463D13C">
      <w:pPr>
        <w:autoSpaceDE w:val="0"/>
        <w:autoSpaceDN w:val="0"/>
        <w:adjustRightInd w:val="0"/>
        <w:snapToGrid w:val="0"/>
        <w:spacing w:line="360" w:lineRule="auto"/>
        <w:jc w:val="center"/>
        <w:rPr>
          <w:rFonts w:ascii="宋体" w:hAnsi="宋体"/>
          <w:i/>
          <w:iCs/>
          <w:color w:val="auto"/>
          <w:kern w:val="0"/>
          <w:szCs w:val="21"/>
          <w:highlight w:val="none"/>
        </w:rPr>
      </w:pPr>
      <w:r>
        <w:rPr>
          <w:rFonts w:hint="eastAsia" w:ascii="宋体" w:hAnsi="宋体"/>
          <w:i w:val="0"/>
          <w:iCs w:val="0"/>
          <w:color w:val="auto"/>
          <w:kern w:val="0"/>
          <w:szCs w:val="21"/>
          <w:highlight w:val="none"/>
          <w:lang w:eastAsia="zh-CN"/>
        </w:rPr>
        <w:t>（</w:t>
      </w:r>
      <w:r>
        <w:rPr>
          <w:rFonts w:hint="eastAsia" w:ascii="宋体" w:hAnsi="宋体"/>
          <w:i w:val="0"/>
          <w:iCs w:val="0"/>
          <w:color w:val="auto"/>
          <w:kern w:val="0"/>
          <w:szCs w:val="21"/>
          <w:highlight w:val="none"/>
          <w:lang w:val="en-US" w:eastAsia="zh-CN"/>
        </w:rPr>
        <w:t>注</w:t>
      </w:r>
      <w:r>
        <w:rPr>
          <w:rFonts w:hint="eastAsia" w:ascii="宋体" w:hAnsi="宋体"/>
          <w:i w:val="0"/>
          <w:iCs w:val="0"/>
          <w:color w:val="auto"/>
          <w:kern w:val="0"/>
          <w:szCs w:val="21"/>
          <w:highlight w:val="none"/>
        </w:rPr>
        <w:t>：</w:t>
      </w:r>
      <w:r>
        <w:rPr>
          <w:rFonts w:ascii="宋体" w:hAnsi="宋体"/>
          <w:i w:val="0"/>
          <w:iCs w:val="0"/>
          <w:color w:val="auto"/>
          <w:kern w:val="0"/>
          <w:szCs w:val="21"/>
          <w:highlight w:val="none"/>
        </w:rPr>
        <w:t>目录由投标人自行编制</w:t>
      </w:r>
      <w:r>
        <w:rPr>
          <w:rFonts w:hint="eastAsia" w:ascii="宋体" w:hAnsi="宋体"/>
          <w:i w:val="0"/>
          <w:iCs w:val="0"/>
          <w:color w:val="auto"/>
          <w:kern w:val="0"/>
          <w:szCs w:val="21"/>
          <w:highlight w:val="none"/>
          <w:lang w:eastAsia="zh-CN"/>
        </w:rPr>
        <w:t>）</w:t>
      </w:r>
    </w:p>
    <w:p w14:paraId="3A262C13">
      <w:pPr>
        <w:autoSpaceDE/>
        <w:autoSpaceDN/>
        <w:adjustRightInd/>
        <w:snapToGrid/>
        <w:spacing w:line="240" w:lineRule="auto"/>
        <w:jc w:val="left"/>
        <w:rPr>
          <w:rFonts w:ascii="宋体" w:hAnsi="宋体"/>
          <w:i/>
          <w:iCs/>
          <w:color w:val="auto"/>
          <w:kern w:val="0"/>
          <w:szCs w:val="21"/>
          <w:highlight w:val="none"/>
        </w:rPr>
      </w:pPr>
      <w:r>
        <w:rPr>
          <w:rFonts w:ascii="宋体" w:hAnsi="宋体"/>
          <w:i/>
          <w:iCs/>
          <w:color w:val="auto"/>
          <w:kern w:val="0"/>
          <w:szCs w:val="21"/>
          <w:highlight w:val="none"/>
        </w:rPr>
        <w:br w:type="page"/>
      </w:r>
    </w:p>
    <w:p w14:paraId="6E7759A3">
      <w:pPr>
        <w:pStyle w:val="2"/>
        <w:spacing w:line="360" w:lineRule="auto"/>
        <w:ind w:firstLine="420" w:firstLineChars="200"/>
      </w:pPr>
      <w:r>
        <w:rPr>
          <w:rFonts w:hint="eastAsia" w:ascii="宋体" w:hAnsi="宋体"/>
          <w:b w:val="0"/>
          <w:bCs w:val="0"/>
          <w:color w:val="auto"/>
          <w:sz w:val="21"/>
          <w:szCs w:val="21"/>
          <w:highlight w:val="none"/>
          <w:lang w:val="en-US" w:eastAsia="zh-CN"/>
        </w:rPr>
        <w:t>注：提供第三章评标办法前附表商务部分要求提供的证明材料。</w:t>
      </w:r>
    </w:p>
    <w:p w14:paraId="01EA9169">
      <w:pPr>
        <w:pStyle w:val="4"/>
        <w:spacing w:line="360" w:lineRule="auto"/>
        <w:rPr>
          <w:rFonts w:hint="eastAsia"/>
          <w:color w:val="auto"/>
          <w:highlight w:val="none"/>
        </w:rPr>
      </w:pPr>
      <w:r>
        <w:rPr>
          <w:rFonts w:ascii="宋体" w:hAnsi="宋体"/>
          <w:color w:val="auto"/>
          <w:szCs w:val="21"/>
          <w:highlight w:val="none"/>
        </w:rPr>
        <w:br w:type="page"/>
      </w:r>
    </w:p>
    <w:p w14:paraId="6EE6577D">
      <w:pPr>
        <w:pStyle w:val="4"/>
        <w:spacing w:line="360" w:lineRule="auto"/>
        <w:jc w:val="center"/>
        <w:rPr>
          <w:rFonts w:ascii="宋体" w:hAnsi="宋体"/>
          <w:b w:val="0"/>
          <w:bCs w:val="0"/>
          <w:sz w:val="44"/>
          <w:szCs w:val="44"/>
        </w:rPr>
      </w:pPr>
      <w:bookmarkStart w:id="2105" w:name="_Toc20891"/>
      <w:r>
        <w:rPr>
          <w:rFonts w:hint="eastAsia" w:ascii="宋体" w:hAnsi="宋体"/>
          <w:b w:val="0"/>
          <w:bCs w:val="0"/>
          <w:sz w:val="44"/>
          <w:szCs w:val="44"/>
          <w:lang w:val="en-US" w:eastAsia="zh-CN"/>
        </w:rPr>
        <w:t>四</w:t>
      </w:r>
      <w:r>
        <w:rPr>
          <w:rFonts w:hint="eastAsia" w:ascii="宋体" w:hAnsi="宋体"/>
          <w:b w:val="0"/>
          <w:bCs w:val="0"/>
          <w:sz w:val="44"/>
          <w:szCs w:val="44"/>
        </w:rPr>
        <w:t>、技术部分</w:t>
      </w:r>
      <w:bookmarkEnd w:id="2069"/>
      <w:bookmarkEnd w:id="2070"/>
      <w:bookmarkEnd w:id="2076"/>
      <w:bookmarkEnd w:id="2105"/>
    </w:p>
    <w:p w14:paraId="3B798E04">
      <w:pPr>
        <w:jc w:val="center"/>
        <w:rPr>
          <w:rFonts w:ascii="宋体" w:hAnsi="宋体"/>
          <w:i/>
          <w:iCs/>
          <w:kern w:val="0"/>
          <w:szCs w:val="21"/>
        </w:rPr>
      </w:pPr>
      <w:bookmarkStart w:id="2106" w:name="_Toc536628352"/>
      <w:bookmarkStart w:id="2107" w:name="_Toc430530537"/>
      <w:bookmarkStart w:id="2108" w:name="_Toc509218856"/>
      <w:bookmarkStart w:id="2109" w:name="_Toc534185833"/>
      <w:r>
        <w:rPr>
          <w:rFonts w:ascii="宋体" w:hAnsi="宋体"/>
          <w:i/>
          <w:iCs/>
          <w:kern w:val="0"/>
          <w:szCs w:val="21"/>
        </w:rPr>
        <w:t>[</w:t>
      </w:r>
      <w:r>
        <w:rPr>
          <w:rFonts w:hint="eastAsia"/>
          <w:i/>
          <w:iCs/>
        </w:rPr>
        <w:t>提示：</w:t>
      </w:r>
      <w:r>
        <w:rPr>
          <w:i/>
          <w:iCs/>
        </w:rPr>
        <w:t>不设置技术评审的不设此部分</w:t>
      </w:r>
      <w:bookmarkEnd w:id="2071"/>
      <w:bookmarkEnd w:id="2072"/>
      <w:bookmarkEnd w:id="2106"/>
      <w:bookmarkEnd w:id="2107"/>
      <w:bookmarkEnd w:id="2108"/>
      <w:bookmarkEnd w:id="2109"/>
      <w:r>
        <w:rPr>
          <w:rFonts w:ascii="宋体" w:hAnsi="宋体"/>
          <w:i/>
          <w:iCs/>
          <w:kern w:val="0"/>
          <w:szCs w:val="21"/>
        </w:rPr>
        <w:t>]</w:t>
      </w:r>
    </w:p>
    <w:p w14:paraId="73D60569">
      <w:pPr>
        <w:jc w:val="center"/>
        <w:rPr>
          <w:rFonts w:hint="eastAsia" w:eastAsia="宋体"/>
          <w:i w:val="0"/>
          <w:iCs w:val="0"/>
          <w:lang w:eastAsia="zh-CN"/>
        </w:rPr>
      </w:pPr>
      <w:r>
        <w:rPr>
          <w:rFonts w:hint="eastAsia" w:ascii="宋体" w:hAnsi="宋体"/>
          <w:i w:val="0"/>
          <w:iCs w:val="0"/>
          <w:kern w:val="0"/>
          <w:szCs w:val="21"/>
          <w:lang w:eastAsia="zh-CN"/>
        </w:rPr>
        <w:t>（</w:t>
      </w:r>
      <w:r>
        <w:rPr>
          <w:rFonts w:hint="eastAsia" w:ascii="宋体" w:hAnsi="宋体"/>
          <w:i w:val="0"/>
          <w:iCs w:val="0"/>
          <w:kern w:val="0"/>
          <w:szCs w:val="21"/>
          <w:lang w:val="en-US" w:eastAsia="zh-CN"/>
        </w:rPr>
        <w:t>注：</w:t>
      </w:r>
      <w:r>
        <w:rPr>
          <w:rFonts w:hint="eastAsia" w:ascii="宋体" w:hAnsi="宋体"/>
          <w:i w:val="0"/>
          <w:iCs w:val="0"/>
          <w:szCs w:val="21"/>
        </w:rPr>
        <w:t>电子投标文件技术</w:t>
      </w:r>
      <w:r>
        <w:rPr>
          <w:rFonts w:hint="eastAsia" w:ascii="宋体" w:hAnsi="宋体"/>
          <w:i w:val="0"/>
          <w:iCs w:val="0"/>
          <w:szCs w:val="21"/>
          <w:lang w:val="en-US" w:eastAsia="zh-CN"/>
        </w:rPr>
        <w:t>部分</w:t>
      </w:r>
      <w:r>
        <w:rPr>
          <w:rFonts w:hint="eastAsia" w:ascii="宋体" w:hAnsi="宋体"/>
          <w:i w:val="0"/>
          <w:iCs w:val="0"/>
          <w:szCs w:val="21"/>
        </w:rPr>
        <w:t>不设封面</w:t>
      </w:r>
      <w:r>
        <w:rPr>
          <w:rFonts w:hint="eastAsia" w:ascii="宋体" w:hAnsi="宋体"/>
          <w:i w:val="0"/>
          <w:iCs w:val="0"/>
          <w:szCs w:val="21"/>
          <w:lang w:eastAsia="zh-CN"/>
        </w:rPr>
        <w:t>。</w:t>
      </w:r>
      <w:r>
        <w:rPr>
          <w:rFonts w:hint="eastAsia" w:ascii="宋体" w:hAnsi="宋体"/>
          <w:i w:val="0"/>
          <w:iCs w:val="0"/>
          <w:szCs w:val="21"/>
        </w:rPr>
        <w:t>投标人应根据招标文件的要求编制技术方案</w:t>
      </w:r>
      <w:r>
        <w:rPr>
          <w:rFonts w:hint="eastAsia" w:ascii="宋体" w:hAnsi="宋体"/>
          <w:i w:val="0"/>
          <w:iCs w:val="0"/>
          <w:szCs w:val="21"/>
          <w:lang w:eastAsia="zh-CN"/>
        </w:rPr>
        <w:t>。</w:t>
      </w:r>
      <w:r>
        <w:rPr>
          <w:rFonts w:hint="eastAsia" w:ascii="宋体" w:hAnsi="宋体"/>
          <w:i w:val="0"/>
          <w:iCs w:val="0"/>
          <w:kern w:val="0"/>
          <w:szCs w:val="21"/>
          <w:lang w:eastAsia="zh-CN"/>
        </w:rPr>
        <w:t>）</w:t>
      </w:r>
    </w:p>
    <w:p w14:paraId="7A03552A">
      <w:pPr>
        <w:autoSpaceDE w:val="0"/>
        <w:autoSpaceDN w:val="0"/>
        <w:adjustRightInd w:val="0"/>
        <w:snapToGrid w:val="0"/>
        <w:spacing w:line="360" w:lineRule="auto"/>
        <w:ind w:firstLine="472" w:firstLineChars="196"/>
        <w:rPr>
          <w:rFonts w:ascii="宋体" w:hAnsi="宋体"/>
          <w:b/>
          <w:snapToGrid w:val="0"/>
          <w:kern w:val="0"/>
          <w:sz w:val="24"/>
        </w:rPr>
      </w:pPr>
    </w:p>
    <w:p w14:paraId="5E43AE76">
      <w:pPr>
        <w:autoSpaceDE w:val="0"/>
        <w:autoSpaceDN w:val="0"/>
        <w:adjustRightInd w:val="0"/>
        <w:snapToGrid w:val="0"/>
        <w:spacing w:line="360" w:lineRule="auto"/>
        <w:jc w:val="center"/>
        <w:rPr>
          <w:rFonts w:ascii="宋体" w:hAnsi="宋体"/>
          <w:kern w:val="0"/>
          <w:sz w:val="24"/>
        </w:rPr>
      </w:pPr>
      <w:r>
        <w:rPr>
          <w:rFonts w:ascii="宋体" w:hAnsi="宋体"/>
          <w:kern w:val="0"/>
          <w:sz w:val="24"/>
        </w:rPr>
        <w:br w:type="page"/>
      </w:r>
    </w:p>
    <w:p w14:paraId="3D9DCDB6">
      <w:pPr>
        <w:autoSpaceDE w:val="0"/>
        <w:autoSpaceDN w:val="0"/>
        <w:adjustRightInd w:val="0"/>
        <w:snapToGrid w:val="0"/>
        <w:spacing w:line="360" w:lineRule="auto"/>
        <w:jc w:val="left"/>
        <w:rPr>
          <w:rFonts w:ascii="宋体" w:hAnsi="宋体"/>
          <w:kern w:val="0"/>
          <w:sz w:val="24"/>
          <w:szCs w:val="21"/>
        </w:rPr>
      </w:pPr>
    </w:p>
    <w:p w14:paraId="047B7339">
      <w:pPr>
        <w:autoSpaceDE w:val="0"/>
        <w:autoSpaceDN w:val="0"/>
        <w:adjustRightInd w:val="0"/>
        <w:snapToGrid w:val="0"/>
        <w:spacing w:line="360" w:lineRule="auto"/>
        <w:jc w:val="center"/>
        <w:rPr>
          <w:rFonts w:ascii="宋体" w:hAnsi="宋体"/>
          <w:kern w:val="0"/>
          <w:sz w:val="32"/>
          <w:szCs w:val="32"/>
        </w:rPr>
      </w:pPr>
      <w:r>
        <w:rPr>
          <w:rFonts w:hint="eastAsia" w:ascii="宋体" w:hAnsi="宋体"/>
          <w:kern w:val="0"/>
          <w:sz w:val="36"/>
          <w:szCs w:val="36"/>
        </w:rPr>
        <w:t>目  录</w:t>
      </w:r>
    </w:p>
    <w:p w14:paraId="1605BDB4">
      <w:pPr>
        <w:autoSpaceDE w:val="0"/>
        <w:autoSpaceDN w:val="0"/>
        <w:adjustRightInd w:val="0"/>
        <w:snapToGrid w:val="0"/>
        <w:spacing w:line="360" w:lineRule="auto"/>
        <w:jc w:val="left"/>
        <w:rPr>
          <w:rFonts w:ascii="宋体" w:hAnsi="宋体"/>
          <w:kern w:val="0"/>
          <w:sz w:val="32"/>
          <w:szCs w:val="32"/>
        </w:rPr>
      </w:pPr>
    </w:p>
    <w:p w14:paraId="3F9F4E75">
      <w:pPr>
        <w:autoSpaceDE w:val="0"/>
        <w:autoSpaceDN w:val="0"/>
        <w:adjustRightInd w:val="0"/>
        <w:snapToGrid w:val="0"/>
        <w:spacing w:line="360" w:lineRule="auto"/>
        <w:jc w:val="center"/>
        <w:rPr>
          <w:rFonts w:ascii="宋体" w:hAnsi="宋体"/>
          <w:i/>
          <w:iCs/>
          <w:kern w:val="0"/>
          <w:szCs w:val="21"/>
        </w:rPr>
      </w:pPr>
      <w:r>
        <w:rPr>
          <w:rFonts w:hint="eastAsia" w:ascii="宋体" w:hAnsi="宋体"/>
          <w:i w:val="0"/>
          <w:iCs w:val="0"/>
          <w:color w:val="auto"/>
          <w:kern w:val="0"/>
          <w:szCs w:val="21"/>
          <w:highlight w:val="none"/>
          <w:lang w:eastAsia="zh-CN"/>
        </w:rPr>
        <w:t>（</w:t>
      </w:r>
      <w:r>
        <w:rPr>
          <w:rFonts w:hint="eastAsia" w:ascii="宋体" w:hAnsi="宋体"/>
          <w:i w:val="0"/>
          <w:iCs w:val="0"/>
          <w:color w:val="auto"/>
          <w:kern w:val="0"/>
          <w:szCs w:val="21"/>
          <w:highlight w:val="none"/>
          <w:lang w:val="en-US" w:eastAsia="zh-CN"/>
        </w:rPr>
        <w:t>注</w:t>
      </w:r>
      <w:r>
        <w:rPr>
          <w:rFonts w:hint="eastAsia" w:ascii="宋体" w:hAnsi="宋体"/>
          <w:i w:val="0"/>
          <w:iCs w:val="0"/>
          <w:color w:val="auto"/>
          <w:kern w:val="0"/>
          <w:szCs w:val="21"/>
          <w:highlight w:val="none"/>
        </w:rPr>
        <w:t>：</w:t>
      </w:r>
      <w:r>
        <w:rPr>
          <w:rFonts w:ascii="宋体" w:hAnsi="宋体"/>
          <w:i w:val="0"/>
          <w:iCs w:val="0"/>
          <w:color w:val="auto"/>
          <w:kern w:val="0"/>
          <w:szCs w:val="21"/>
          <w:highlight w:val="none"/>
        </w:rPr>
        <w:t>目录由投标人自行编制</w:t>
      </w:r>
      <w:r>
        <w:rPr>
          <w:rFonts w:hint="eastAsia" w:ascii="宋体" w:hAnsi="宋体"/>
          <w:i w:val="0"/>
          <w:iCs w:val="0"/>
          <w:color w:val="auto"/>
          <w:kern w:val="0"/>
          <w:szCs w:val="21"/>
          <w:highlight w:val="none"/>
          <w:lang w:eastAsia="zh-CN"/>
        </w:rPr>
        <w:t>）</w:t>
      </w:r>
    </w:p>
    <w:p w14:paraId="27D5F4D9">
      <w:pPr>
        <w:autoSpaceDE w:val="0"/>
        <w:autoSpaceDN w:val="0"/>
        <w:adjustRightInd w:val="0"/>
        <w:snapToGrid w:val="0"/>
        <w:spacing w:line="360" w:lineRule="auto"/>
        <w:jc w:val="center"/>
        <w:rPr>
          <w:rFonts w:ascii="宋体" w:hAnsi="宋体"/>
          <w:sz w:val="36"/>
          <w:szCs w:val="36"/>
        </w:rPr>
      </w:pPr>
      <w:r>
        <w:rPr>
          <w:rFonts w:ascii="宋体" w:hAnsi="宋体"/>
        </w:rPr>
        <w:br w:type="page"/>
      </w:r>
    </w:p>
    <w:p w14:paraId="2E1F7E60">
      <w:pPr>
        <w:pStyle w:val="4"/>
        <w:spacing w:line="360" w:lineRule="auto"/>
        <w:jc w:val="center"/>
        <w:rPr>
          <w:rFonts w:ascii="宋体" w:hAnsi="宋体"/>
          <w:b w:val="0"/>
          <w:bCs w:val="0"/>
          <w:sz w:val="44"/>
          <w:szCs w:val="44"/>
        </w:rPr>
      </w:pPr>
      <w:bookmarkStart w:id="2110" w:name="_Toc287607882"/>
      <w:bookmarkStart w:id="2111" w:name="_Toc277082656"/>
      <w:bookmarkStart w:id="2112" w:name="_Toc287620829"/>
      <w:bookmarkStart w:id="2113" w:name="_Toc430530545"/>
      <w:bookmarkStart w:id="2114" w:name="_Toc224103510"/>
      <w:bookmarkStart w:id="2115" w:name="_Toc32055"/>
      <w:bookmarkStart w:id="2116" w:name="_Toc18673"/>
      <w:r>
        <w:rPr>
          <w:rFonts w:hint="eastAsia" w:ascii="宋体" w:hAnsi="宋体"/>
          <w:b w:val="0"/>
          <w:bCs w:val="0"/>
          <w:sz w:val="44"/>
          <w:szCs w:val="44"/>
          <w:lang w:val="en-US" w:eastAsia="zh-CN"/>
        </w:rPr>
        <w:t>五</w:t>
      </w:r>
      <w:r>
        <w:rPr>
          <w:rFonts w:hint="eastAsia" w:ascii="宋体" w:hAnsi="宋体"/>
          <w:b w:val="0"/>
          <w:bCs w:val="0"/>
          <w:sz w:val="44"/>
          <w:szCs w:val="44"/>
        </w:rPr>
        <w:t>、</w:t>
      </w:r>
      <w:bookmarkEnd w:id="2110"/>
      <w:bookmarkEnd w:id="2111"/>
      <w:bookmarkEnd w:id="2112"/>
      <w:bookmarkEnd w:id="2113"/>
      <w:bookmarkEnd w:id="2114"/>
      <w:r>
        <w:rPr>
          <w:rFonts w:hint="eastAsia" w:ascii="宋体" w:hAnsi="宋体"/>
          <w:b w:val="0"/>
          <w:bCs w:val="0"/>
          <w:sz w:val="44"/>
          <w:szCs w:val="44"/>
        </w:rPr>
        <w:t>资格审查部分</w:t>
      </w:r>
      <w:bookmarkEnd w:id="2115"/>
      <w:bookmarkEnd w:id="2116"/>
    </w:p>
    <w:p w14:paraId="6BB27CD1">
      <w:pPr>
        <w:spacing w:line="360" w:lineRule="auto"/>
        <w:jc w:val="center"/>
        <w:rPr>
          <w:rFonts w:ascii="宋体" w:hAnsi="宋体"/>
          <w:kern w:val="0"/>
          <w:sz w:val="32"/>
          <w:szCs w:val="32"/>
        </w:rPr>
      </w:pPr>
      <w:r>
        <w:rPr>
          <w:rFonts w:ascii="宋体" w:hAnsi="宋体"/>
          <w:sz w:val="32"/>
          <w:szCs w:val="32"/>
        </w:rPr>
        <w:br w:type="page"/>
      </w:r>
      <w:r>
        <w:rPr>
          <w:rFonts w:hint="eastAsia" w:ascii="宋体" w:hAnsi="宋体"/>
          <w:kern w:val="0"/>
          <w:sz w:val="32"/>
          <w:szCs w:val="32"/>
          <w:u w:val="single"/>
        </w:rPr>
        <w:t xml:space="preserve">                   （项目名称）</w:t>
      </w:r>
    </w:p>
    <w:p w14:paraId="3744B52E">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50197A90">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7D375149">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4486033C">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3E023CE2">
      <w:pPr>
        <w:autoSpaceDE w:val="0"/>
        <w:autoSpaceDN w:val="0"/>
        <w:adjustRightInd w:val="0"/>
        <w:snapToGrid w:val="0"/>
        <w:spacing w:line="360" w:lineRule="auto"/>
        <w:jc w:val="left"/>
        <w:rPr>
          <w:rFonts w:ascii="宋体" w:hAnsi="宋体"/>
          <w:kern w:val="0"/>
          <w:sz w:val="16"/>
          <w:szCs w:val="16"/>
        </w:rPr>
      </w:pPr>
    </w:p>
    <w:p w14:paraId="4EC032E6">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14:paraId="41B52324">
      <w:pPr>
        <w:autoSpaceDE w:val="0"/>
        <w:autoSpaceDN w:val="0"/>
        <w:adjustRightInd w:val="0"/>
        <w:snapToGrid w:val="0"/>
        <w:spacing w:line="360" w:lineRule="auto"/>
        <w:jc w:val="left"/>
        <w:rPr>
          <w:rFonts w:ascii="宋体" w:hAnsi="宋体" w:cs="MingLiU"/>
          <w:kern w:val="0"/>
          <w:sz w:val="20"/>
          <w:szCs w:val="20"/>
        </w:rPr>
      </w:pPr>
    </w:p>
    <w:p w14:paraId="78E07C09">
      <w:pPr>
        <w:adjustRightInd w:val="0"/>
        <w:snapToGrid w:val="0"/>
        <w:spacing w:line="264" w:lineRule="auto"/>
        <w:rPr>
          <w:rFonts w:ascii="宋体" w:hAnsi="宋体"/>
          <w:szCs w:val="21"/>
        </w:rPr>
      </w:pPr>
    </w:p>
    <w:p w14:paraId="419863E6">
      <w:pPr>
        <w:autoSpaceDE w:val="0"/>
        <w:autoSpaceDN w:val="0"/>
        <w:adjustRightInd w:val="0"/>
        <w:snapToGrid w:val="0"/>
        <w:spacing w:line="360" w:lineRule="auto"/>
        <w:jc w:val="left"/>
        <w:rPr>
          <w:rFonts w:ascii="宋体" w:hAnsi="宋体" w:cs="MingLiU"/>
          <w:kern w:val="0"/>
          <w:sz w:val="20"/>
          <w:szCs w:val="20"/>
        </w:rPr>
      </w:pPr>
    </w:p>
    <w:p w14:paraId="4A0F8187">
      <w:pPr>
        <w:autoSpaceDE w:val="0"/>
        <w:autoSpaceDN w:val="0"/>
        <w:adjustRightInd w:val="0"/>
        <w:snapToGrid w:val="0"/>
        <w:spacing w:line="360" w:lineRule="auto"/>
        <w:jc w:val="left"/>
        <w:rPr>
          <w:rFonts w:ascii="宋体" w:hAnsi="宋体" w:cs="MingLiU"/>
          <w:kern w:val="0"/>
          <w:sz w:val="20"/>
          <w:szCs w:val="20"/>
        </w:rPr>
      </w:pPr>
    </w:p>
    <w:p w14:paraId="0ED74763">
      <w:pPr>
        <w:autoSpaceDE w:val="0"/>
        <w:autoSpaceDN w:val="0"/>
        <w:adjustRightInd w:val="0"/>
        <w:snapToGrid w:val="0"/>
        <w:spacing w:line="360" w:lineRule="auto"/>
        <w:jc w:val="left"/>
        <w:rPr>
          <w:rFonts w:ascii="宋体" w:hAnsi="宋体" w:cs="MingLiU"/>
          <w:kern w:val="0"/>
          <w:sz w:val="20"/>
          <w:szCs w:val="20"/>
        </w:rPr>
      </w:pPr>
    </w:p>
    <w:p w14:paraId="4BDFC681">
      <w:pPr>
        <w:autoSpaceDE w:val="0"/>
        <w:autoSpaceDN w:val="0"/>
        <w:adjustRightInd w:val="0"/>
        <w:snapToGrid w:val="0"/>
        <w:spacing w:line="360" w:lineRule="auto"/>
        <w:jc w:val="left"/>
        <w:rPr>
          <w:rFonts w:ascii="宋体" w:hAnsi="宋体" w:cs="MingLiU"/>
          <w:kern w:val="0"/>
          <w:sz w:val="20"/>
          <w:szCs w:val="20"/>
        </w:rPr>
      </w:pPr>
    </w:p>
    <w:p w14:paraId="12E21B1A">
      <w:pPr>
        <w:autoSpaceDE w:val="0"/>
        <w:autoSpaceDN w:val="0"/>
        <w:adjustRightInd w:val="0"/>
        <w:snapToGrid w:val="0"/>
        <w:spacing w:line="360" w:lineRule="auto"/>
        <w:jc w:val="left"/>
        <w:rPr>
          <w:rFonts w:ascii="宋体" w:hAnsi="宋体" w:cs="MingLiU"/>
          <w:kern w:val="0"/>
          <w:sz w:val="20"/>
          <w:szCs w:val="20"/>
        </w:rPr>
      </w:pPr>
    </w:p>
    <w:p w14:paraId="0323498D">
      <w:pPr>
        <w:autoSpaceDE w:val="0"/>
        <w:autoSpaceDN w:val="0"/>
        <w:adjustRightInd w:val="0"/>
        <w:snapToGrid w:val="0"/>
        <w:spacing w:line="360" w:lineRule="auto"/>
        <w:jc w:val="left"/>
        <w:rPr>
          <w:rFonts w:ascii="宋体" w:hAnsi="宋体" w:cs="MingLiU"/>
          <w:kern w:val="0"/>
          <w:sz w:val="20"/>
          <w:szCs w:val="20"/>
        </w:rPr>
      </w:pPr>
    </w:p>
    <w:p w14:paraId="7ECC6DAF">
      <w:pPr>
        <w:autoSpaceDE w:val="0"/>
        <w:autoSpaceDN w:val="0"/>
        <w:adjustRightInd w:val="0"/>
        <w:snapToGrid w:val="0"/>
        <w:spacing w:line="360" w:lineRule="auto"/>
        <w:jc w:val="left"/>
        <w:rPr>
          <w:rFonts w:ascii="宋体" w:hAnsi="宋体" w:cs="MingLiU"/>
          <w:kern w:val="0"/>
          <w:sz w:val="20"/>
          <w:szCs w:val="20"/>
        </w:rPr>
      </w:pPr>
    </w:p>
    <w:p w14:paraId="7673D321">
      <w:pPr>
        <w:autoSpaceDE w:val="0"/>
        <w:autoSpaceDN w:val="0"/>
        <w:adjustRightInd w:val="0"/>
        <w:snapToGrid w:val="0"/>
        <w:spacing w:line="360" w:lineRule="auto"/>
        <w:jc w:val="left"/>
        <w:rPr>
          <w:rFonts w:ascii="宋体" w:hAnsi="宋体" w:cs="MingLiU"/>
          <w:kern w:val="0"/>
          <w:sz w:val="20"/>
          <w:szCs w:val="20"/>
        </w:rPr>
      </w:pPr>
    </w:p>
    <w:p w14:paraId="684697CC">
      <w:pPr>
        <w:autoSpaceDE w:val="0"/>
        <w:autoSpaceDN w:val="0"/>
        <w:adjustRightInd w:val="0"/>
        <w:snapToGrid w:val="0"/>
        <w:spacing w:line="360" w:lineRule="auto"/>
        <w:jc w:val="left"/>
        <w:rPr>
          <w:rFonts w:ascii="宋体" w:hAnsi="宋体" w:cs="MingLiU"/>
          <w:kern w:val="0"/>
          <w:sz w:val="20"/>
          <w:szCs w:val="20"/>
        </w:rPr>
      </w:pPr>
    </w:p>
    <w:p w14:paraId="3748876A">
      <w:pPr>
        <w:autoSpaceDE w:val="0"/>
        <w:autoSpaceDN w:val="0"/>
        <w:adjustRightInd w:val="0"/>
        <w:snapToGrid w:val="0"/>
        <w:spacing w:line="360" w:lineRule="auto"/>
        <w:jc w:val="left"/>
        <w:rPr>
          <w:rFonts w:ascii="宋体" w:hAnsi="宋体" w:cs="MingLiU"/>
          <w:kern w:val="0"/>
          <w:sz w:val="20"/>
          <w:szCs w:val="20"/>
        </w:rPr>
      </w:pPr>
    </w:p>
    <w:p w14:paraId="2D9C4365">
      <w:pPr>
        <w:autoSpaceDE w:val="0"/>
        <w:autoSpaceDN w:val="0"/>
        <w:adjustRightInd w:val="0"/>
        <w:snapToGrid w:val="0"/>
        <w:spacing w:line="360" w:lineRule="auto"/>
        <w:jc w:val="left"/>
        <w:rPr>
          <w:rFonts w:ascii="宋体" w:hAnsi="宋体" w:cs="MingLiU"/>
          <w:kern w:val="0"/>
          <w:sz w:val="20"/>
          <w:szCs w:val="20"/>
        </w:rPr>
      </w:pPr>
    </w:p>
    <w:p w14:paraId="4C4CF8EC">
      <w:pPr>
        <w:autoSpaceDE w:val="0"/>
        <w:autoSpaceDN w:val="0"/>
        <w:adjustRightInd w:val="0"/>
        <w:snapToGrid w:val="0"/>
        <w:spacing w:line="360" w:lineRule="auto"/>
        <w:jc w:val="left"/>
        <w:rPr>
          <w:rFonts w:ascii="宋体" w:hAnsi="宋体" w:cs="MingLiU"/>
          <w:kern w:val="0"/>
          <w:sz w:val="20"/>
          <w:szCs w:val="20"/>
        </w:rPr>
      </w:pPr>
    </w:p>
    <w:p w14:paraId="3E91B27F">
      <w:pPr>
        <w:autoSpaceDE w:val="0"/>
        <w:autoSpaceDN w:val="0"/>
        <w:adjustRightInd w:val="0"/>
        <w:snapToGrid w:val="0"/>
        <w:spacing w:line="360" w:lineRule="auto"/>
        <w:jc w:val="left"/>
        <w:rPr>
          <w:rFonts w:ascii="宋体" w:hAnsi="宋体" w:cs="MingLiU"/>
          <w:kern w:val="0"/>
          <w:sz w:val="20"/>
          <w:szCs w:val="20"/>
        </w:rPr>
      </w:pPr>
    </w:p>
    <w:p w14:paraId="497A569F">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1A31E141">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6BAC8957">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14:paraId="18ACDD8E">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14:paraId="77609BE5">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14:paraId="54E68836">
      <w:pPr>
        <w:spacing w:line="360" w:lineRule="auto"/>
        <w:jc w:val="center"/>
        <w:rPr>
          <w:rFonts w:ascii="宋体" w:hAnsi="宋体"/>
          <w:b/>
          <w:kern w:val="0"/>
          <w:sz w:val="32"/>
          <w:szCs w:val="32"/>
        </w:rPr>
      </w:pPr>
    </w:p>
    <w:p w14:paraId="32FF8946">
      <w:pPr>
        <w:spacing w:line="360" w:lineRule="auto"/>
        <w:ind w:firstLine="420" w:firstLineChars="200"/>
        <w:rPr>
          <w:rFonts w:ascii="宋体" w:hAnsi="宋体"/>
          <w:szCs w:val="21"/>
        </w:rPr>
      </w:pPr>
      <w:r>
        <w:rPr>
          <w:rFonts w:ascii="宋体" w:hAnsi="宋体"/>
          <w:szCs w:val="21"/>
        </w:rPr>
        <w:t>（一）</w:t>
      </w:r>
      <w:r>
        <w:rPr>
          <w:rFonts w:hint="eastAsia" w:ascii="宋体" w:hAnsi="宋体"/>
          <w:szCs w:val="21"/>
        </w:rPr>
        <w:t>法定代表人身份证明或授权委托书</w:t>
      </w:r>
    </w:p>
    <w:p w14:paraId="43D961D9">
      <w:pPr>
        <w:spacing w:line="360" w:lineRule="auto"/>
        <w:ind w:firstLine="420" w:firstLineChars="200"/>
        <w:rPr>
          <w:rFonts w:ascii="宋体" w:hAnsi="宋体"/>
          <w:szCs w:val="21"/>
        </w:rPr>
      </w:pPr>
      <w:r>
        <w:rPr>
          <w:rFonts w:ascii="宋体" w:hAnsi="宋体"/>
          <w:szCs w:val="21"/>
        </w:rPr>
        <w:t>（二）</w:t>
      </w:r>
      <w:r>
        <w:rPr>
          <w:rFonts w:hint="eastAsia" w:ascii="宋体" w:hAnsi="宋体"/>
          <w:lang w:val="en-US" w:eastAsia="zh-CN"/>
        </w:rPr>
        <w:t>共同投标协议</w:t>
      </w:r>
      <w:r>
        <w:rPr>
          <w:rFonts w:hint="eastAsia" w:ascii="宋体" w:hAnsi="宋体"/>
          <w:szCs w:val="21"/>
        </w:rPr>
        <w:t>（如有）</w:t>
      </w:r>
    </w:p>
    <w:p w14:paraId="3435125A">
      <w:pPr>
        <w:spacing w:line="360" w:lineRule="auto"/>
        <w:ind w:firstLine="420" w:firstLineChars="200"/>
        <w:rPr>
          <w:rFonts w:ascii="宋体" w:hAnsi="宋体"/>
          <w:szCs w:val="21"/>
        </w:rPr>
      </w:pPr>
      <w:r>
        <w:rPr>
          <w:rFonts w:ascii="宋体" w:hAnsi="宋体"/>
          <w:szCs w:val="21"/>
        </w:rPr>
        <w:t>（三）</w:t>
      </w:r>
      <w:r>
        <w:rPr>
          <w:rFonts w:hint="eastAsia" w:ascii="宋体" w:hAnsi="宋体"/>
          <w:szCs w:val="21"/>
        </w:rPr>
        <w:t>承诺</w:t>
      </w:r>
    </w:p>
    <w:p w14:paraId="2621CCC4">
      <w:pPr>
        <w:spacing w:line="360" w:lineRule="auto"/>
        <w:ind w:firstLine="420" w:firstLineChars="200"/>
        <w:rPr>
          <w:rFonts w:ascii="宋体" w:hAnsi="宋体"/>
          <w:szCs w:val="21"/>
        </w:rPr>
      </w:pPr>
      <w:r>
        <w:rPr>
          <w:rFonts w:ascii="宋体" w:hAnsi="宋体"/>
          <w:szCs w:val="21"/>
        </w:rPr>
        <w:t>（</w:t>
      </w:r>
      <w:r>
        <w:rPr>
          <w:rFonts w:hint="eastAsia" w:ascii="宋体" w:hAnsi="宋体"/>
          <w:szCs w:val="21"/>
          <w:lang w:val="en-US" w:eastAsia="zh-CN"/>
        </w:rPr>
        <w:t>四</w:t>
      </w:r>
      <w:r>
        <w:rPr>
          <w:rFonts w:ascii="宋体" w:hAnsi="宋体"/>
          <w:szCs w:val="21"/>
        </w:rPr>
        <w:t>）其他资料</w:t>
      </w:r>
    </w:p>
    <w:p w14:paraId="6243494B">
      <w:pPr>
        <w:spacing w:line="360" w:lineRule="auto"/>
        <w:jc w:val="both"/>
        <w:rPr>
          <w:rFonts w:ascii="宋体" w:hAnsi="宋体"/>
          <w:b/>
          <w:kern w:val="0"/>
          <w:sz w:val="32"/>
          <w:szCs w:val="32"/>
        </w:rPr>
      </w:pPr>
    </w:p>
    <w:p w14:paraId="6A99DF0E">
      <w:pPr>
        <w:spacing w:line="360" w:lineRule="auto"/>
        <w:jc w:val="center"/>
        <w:rPr>
          <w:rFonts w:ascii="宋体" w:hAnsi="宋体"/>
          <w:b/>
          <w:kern w:val="0"/>
          <w:sz w:val="32"/>
          <w:szCs w:val="32"/>
        </w:rPr>
      </w:pPr>
    </w:p>
    <w:p w14:paraId="66CC5C5B">
      <w:pPr>
        <w:pStyle w:val="5"/>
        <w:spacing w:before="0" w:after="0" w:line="240" w:lineRule="auto"/>
        <w:jc w:val="center"/>
        <w:rPr>
          <w:rFonts w:ascii="宋体" w:hAnsi="宋体"/>
          <w:sz w:val="36"/>
          <w:szCs w:val="36"/>
        </w:rPr>
      </w:pPr>
      <w:r>
        <w:rPr>
          <w:rFonts w:ascii="宋体" w:hAnsi="宋体"/>
        </w:rPr>
        <w:br w:type="page"/>
      </w:r>
      <w:bookmarkStart w:id="2117" w:name="_Toc3130"/>
      <w:bookmarkStart w:id="2118" w:name="_Toc224103511"/>
      <w:bookmarkStart w:id="2119" w:name="_Toc277082657"/>
      <w:bookmarkStart w:id="2120" w:name="_Toc287607883"/>
      <w:bookmarkStart w:id="2121" w:name="_Toc16771"/>
      <w:bookmarkStart w:id="2122" w:name="_Toc430530546"/>
      <w:bookmarkStart w:id="2123" w:name="_Toc287620830"/>
      <w:r>
        <w:rPr>
          <w:rFonts w:hint="eastAsia" w:ascii="宋体" w:hAnsi="宋体"/>
          <w:b w:val="0"/>
          <w:bCs w:val="0"/>
        </w:rPr>
        <w:t>（一）法定代表人身份证明或授权委托书</w:t>
      </w:r>
      <w:bookmarkEnd w:id="2117"/>
      <w:bookmarkEnd w:id="2118"/>
      <w:bookmarkEnd w:id="2119"/>
      <w:bookmarkEnd w:id="2120"/>
      <w:bookmarkEnd w:id="2121"/>
      <w:bookmarkEnd w:id="2122"/>
      <w:bookmarkEnd w:id="2123"/>
    </w:p>
    <w:p w14:paraId="38AD1E04">
      <w:pPr>
        <w:spacing w:line="480" w:lineRule="auto"/>
        <w:jc w:val="center"/>
        <w:rPr>
          <w:rFonts w:ascii="宋体" w:hAnsi="宋体"/>
          <w:sz w:val="28"/>
        </w:rPr>
      </w:pPr>
      <w:r>
        <w:rPr>
          <w:rFonts w:hint="eastAsia" w:ascii="宋体" w:hAnsi="宋体"/>
          <w:sz w:val="28"/>
        </w:rPr>
        <w:t>法定代表人身份证明</w:t>
      </w:r>
    </w:p>
    <w:p w14:paraId="412859B8">
      <w:pPr>
        <w:spacing w:line="480" w:lineRule="auto"/>
        <w:jc w:val="center"/>
        <w:rPr>
          <w:rFonts w:ascii="宋体" w:hAnsi="宋体"/>
        </w:rPr>
      </w:pPr>
    </w:p>
    <w:p w14:paraId="21D1A42A">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59CC792E">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5EF70C5B">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6835E8E9">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46BB07D1">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586CB8CE">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3DA16B04">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33BC1F0C">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w:t>
      </w:r>
      <w:r>
        <w:rPr>
          <w:rFonts w:hint="eastAsia" w:ascii="宋体" w:hAnsi="宋体"/>
          <w:kern w:val="0"/>
          <w:szCs w:val="21"/>
          <w:lang w:val="en-US" w:eastAsia="zh-CN"/>
        </w:rPr>
        <w:t>明</w:t>
      </w:r>
      <w:r>
        <w:rPr>
          <w:rFonts w:hint="eastAsia" w:ascii="宋体" w:hAnsi="宋体"/>
          <w:kern w:val="0"/>
          <w:szCs w:val="21"/>
        </w:rPr>
        <w:t>扫描件（双面）</w:t>
      </w:r>
    </w:p>
    <w:p w14:paraId="2C4490E0">
      <w:pPr>
        <w:autoSpaceDE w:val="0"/>
        <w:autoSpaceDN w:val="0"/>
        <w:adjustRightInd w:val="0"/>
        <w:snapToGrid w:val="0"/>
        <w:spacing w:line="360" w:lineRule="auto"/>
        <w:jc w:val="left"/>
        <w:rPr>
          <w:rFonts w:ascii="宋体" w:hAnsi="宋体"/>
          <w:szCs w:val="21"/>
        </w:rPr>
      </w:pPr>
    </w:p>
    <w:p w14:paraId="0038D5E9">
      <w:pPr>
        <w:pStyle w:val="2"/>
        <w:spacing w:after="0" w:line="360" w:lineRule="auto"/>
        <w:rPr>
          <w:rFonts w:ascii="宋体" w:hAnsi="宋体"/>
          <w:szCs w:val="21"/>
        </w:rPr>
      </w:pPr>
    </w:p>
    <w:p w14:paraId="4CB3AFD4">
      <w:pPr>
        <w:pStyle w:val="2"/>
        <w:spacing w:after="0" w:line="360" w:lineRule="auto"/>
        <w:rPr>
          <w:rFonts w:ascii="宋体" w:hAnsi="宋体"/>
          <w:szCs w:val="21"/>
        </w:rPr>
      </w:pPr>
    </w:p>
    <w:p w14:paraId="3C876AC4">
      <w:pPr>
        <w:pStyle w:val="2"/>
        <w:spacing w:after="0" w:line="360" w:lineRule="auto"/>
        <w:rPr>
          <w:rFonts w:ascii="宋体" w:hAnsi="宋体"/>
          <w:szCs w:val="21"/>
        </w:rPr>
      </w:pPr>
    </w:p>
    <w:p w14:paraId="44BEF3E6">
      <w:pPr>
        <w:pStyle w:val="2"/>
        <w:spacing w:after="0" w:line="360" w:lineRule="auto"/>
        <w:rPr>
          <w:rFonts w:ascii="宋体" w:hAnsi="宋体"/>
          <w:szCs w:val="21"/>
        </w:rPr>
      </w:pPr>
    </w:p>
    <w:p w14:paraId="3473FAAD">
      <w:pPr>
        <w:pStyle w:val="2"/>
        <w:spacing w:after="0" w:line="360" w:lineRule="auto"/>
        <w:rPr>
          <w:rFonts w:ascii="宋体" w:hAnsi="宋体"/>
          <w:szCs w:val="21"/>
        </w:rPr>
      </w:pPr>
    </w:p>
    <w:p w14:paraId="53609BF4">
      <w:pPr>
        <w:autoSpaceDE w:val="0"/>
        <w:autoSpaceDN w:val="0"/>
        <w:adjustRightInd w:val="0"/>
        <w:snapToGrid w:val="0"/>
        <w:spacing w:line="480" w:lineRule="auto"/>
        <w:ind w:firstLine="420" w:firstLineChars="2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650CD717">
      <w:pPr>
        <w:autoSpaceDE w:val="0"/>
        <w:autoSpaceDN w:val="0"/>
        <w:adjustRightInd w:val="0"/>
        <w:snapToGrid w:val="0"/>
        <w:spacing w:line="480" w:lineRule="auto"/>
        <w:jc w:val="left"/>
        <w:rPr>
          <w:rFonts w:ascii="宋体" w:hAnsi="宋体"/>
          <w:kern w:val="0"/>
          <w:sz w:val="20"/>
          <w:szCs w:val="20"/>
        </w:rPr>
      </w:pPr>
    </w:p>
    <w:p w14:paraId="525EABCC">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4DDAC64D">
      <w:pPr>
        <w:autoSpaceDE w:val="0"/>
        <w:autoSpaceDN w:val="0"/>
        <w:adjustRightInd w:val="0"/>
        <w:snapToGrid w:val="0"/>
        <w:spacing w:line="360" w:lineRule="auto"/>
        <w:jc w:val="left"/>
        <w:rPr>
          <w:rFonts w:ascii="宋体" w:hAnsi="宋体"/>
          <w:kern w:val="0"/>
        </w:rPr>
      </w:pPr>
    </w:p>
    <w:p w14:paraId="42B4E9E6">
      <w:pPr>
        <w:autoSpaceDE w:val="0"/>
        <w:autoSpaceDN w:val="0"/>
        <w:adjustRightInd w:val="0"/>
        <w:snapToGrid w:val="0"/>
        <w:spacing w:line="360" w:lineRule="auto"/>
        <w:jc w:val="left"/>
        <w:rPr>
          <w:rFonts w:ascii="宋体" w:hAnsi="宋体"/>
          <w:kern w:val="0"/>
        </w:rPr>
      </w:pPr>
    </w:p>
    <w:p w14:paraId="40CFF33A">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14:paraId="640875E4">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p>
    <w:p w14:paraId="03609A9C">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14:paraId="7464FFDC">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hint="eastAsia" w:ascii="宋体" w:hAnsi="宋体"/>
          <w:kern w:val="0"/>
          <w:szCs w:val="21"/>
          <w:lang w:val="en-US" w:eastAsia="zh-CN"/>
        </w:rPr>
        <w:t>代表我方</w:t>
      </w:r>
      <w:r>
        <w:rPr>
          <w:rFonts w:ascii="宋体" w:hAnsi="宋体"/>
          <w:kern w:val="0"/>
          <w:szCs w:val="21"/>
        </w:rPr>
        <w:t>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25E0A6E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7D15755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28C66F3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5CAEFAD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7AE0A2EB">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57FA6773">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09077F4C">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hint="eastAsia" w:ascii="宋体" w:hAnsi="宋体"/>
          <w:spacing w:val="-1"/>
          <w:kern w:val="0"/>
          <w:szCs w:val="21"/>
        </w:rPr>
        <w:t>）</w:t>
      </w:r>
    </w:p>
    <w:p w14:paraId="7A8169E7">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5C2B599E">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205F88D1">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03505512">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w:t>
      </w:r>
      <w:r>
        <w:rPr>
          <w:rFonts w:hint="eastAsia" w:ascii="宋体" w:hAnsi="宋体"/>
          <w:kern w:val="0"/>
          <w:szCs w:val="21"/>
          <w:lang w:val="en-US" w:eastAsia="zh-CN"/>
        </w:rPr>
        <w:t>明</w:t>
      </w:r>
      <w:r>
        <w:rPr>
          <w:rFonts w:hint="eastAsia" w:ascii="宋体" w:hAnsi="宋体"/>
          <w:kern w:val="0"/>
          <w:szCs w:val="21"/>
        </w:rPr>
        <w:t>扫描件（双面）</w:t>
      </w:r>
    </w:p>
    <w:p w14:paraId="4364FC5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53DBA562">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3E05FC4">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AB95111">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066117D">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276EA9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F41E15E">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14:paraId="55B3BCF6">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35A6A929">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34BE54A5">
      <w:pPr>
        <w:tabs>
          <w:tab w:val="left" w:pos="5760"/>
        </w:tabs>
        <w:autoSpaceDE w:val="0"/>
        <w:autoSpaceDN w:val="0"/>
        <w:adjustRightInd w:val="0"/>
        <w:spacing w:line="360" w:lineRule="auto"/>
        <w:ind w:firstLine="420" w:firstLineChars="200"/>
        <w:rPr>
          <w:rFonts w:ascii="宋体" w:hAnsi="宋体"/>
          <w:kern w:val="0"/>
        </w:rPr>
      </w:pPr>
    </w:p>
    <w:p w14:paraId="2F9A3897">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04887F6C">
      <w:pPr>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34AC0961">
      <w:pPr>
        <w:autoSpaceDE w:val="0"/>
        <w:autoSpaceDN w:val="0"/>
        <w:adjustRightInd w:val="0"/>
        <w:snapToGrid w:val="0"/>
        <w:jc w:val="center"/>
        <w:rPr>
          <w:rFonts w:ascii="宋体" w:hAnsi="宋体"/>
        </w:rPr>
      </w:pPr>
      <w:r>
        <w:rPr>
          <w:rFonts w:ascii="宋体" w:hAnsi="宋体"/>
        </w:rPr>
        <w:br w:type="page"/>
      </w:r>
    </w:p>
    <w:p w14:paraId="6B4A1633">
      <w:pPr>
        <w:pStyle w:val="5"/>
        <w:spacing w:before="0" w:after="0" w:line="240" w:lineRule="auto"/>
        <w:jc w:val="center"/>
        <w:rPr>
          <w:rFonts w:ascii="宋体" w:hAnsi="宋体"/>
          <w:b w:val="0"/>
          <w:bCs w:val="0"/>
        </w:rPr>
      </w:pPr>
      <w:bookmarkStart w:id="2124" w:name="_Toc430530547"/>
      <w:bookmarkStart w:id="2125" w:name="_Toc3075"/>
      <w:bookmarkStart w:id="2126" w:name="_Toc26866"/>
      <w:bookmarkStart w:id="2127" w:name="_Toc287620831"/>
      <w:bookmarkStart w:id="2128" w:name="_Toc277082658"/>
      <w:bookmarkStart w:id="2129" w:name="_Toc287607884"/>
      <w:bookmarkStart w:id="2130" w:name="_Toc224103512"/>
      <w:r>
        <w:rPr>
          <w:rFonts w:hint="eastAsia" w:ascii="宋体" w:hAnsi="宋体"/>
          <w:b w:val="0"/>
          <w:bCs w:val="0"/>
        </w:rPr>
        <w:t>（二）</w:t>
      </w:r>
      <w:r>
        <w:rPr>
          <w:rFonts w:hint="eastAsia" w:ascii="宋体" w:hAnsi="宋体"/>
          <w:lang w:val="en-US" w:eastAsia="zh-CN"/>
        </w:rPr>
        <w:t>共同投标协议</w:t>
      </w:r>
      <w:bookmarkEnd w:id="2124"/>
      <w:r>
        <w:rPr>
          <w:rFonts w:hint="eastAsia" w:ascii="宋体" w:hAnsi="宋体"/>
          <w:b w:val="0"/>
          <w:bCs w:val="0"/>
        </w:rPr>
        <w:t>（如有）</w:t>
      </w:r>
      <w:bookmarkEnd w:id="2125"/>
      <w:bookmarkEnd w:id="2126"/>
    </w:p>
    <w:bookmarkEnd w:id="2127"/>
    <w:bookmarkEnd w:id="2128"/>
    <w:bookmarkEnd w:id="2129"/>
    <w:bookmarkEnd w:id="2130"/>
    <w:p w14:paraId="18905B8B">
      <w:pPr>
        <w:autoSpaceDE w:val="0"/>
        <w:autoSpaceDN w:val="0"/>
        <w:adjustRightInd w:val="0"/>
        <w:snapToGrid w:val="0"/>
        <w:spacing w:line="500" w:lineRule="exact"/>
        <w:ind w:firstLine="420" w:firstLineChars="200"/>
        <w:rPr>
          <w:rFonts w:ascii="宋体" w:hAnsi="宋体"/>
          <w:snapToGrid w:val="0"/>
          <w:kern w:val="0"/>
          <w:szCs w:val="21"/>
        </w:rPr>
      </w:pPr>
      <w:bookmarkStart w:id="2131" w:name="_Toc287607887"/>
      <w:bookmarkStart w:id="2132" w:name="_Toc277082659"/>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（所有成员单位名称）</w:t>
      </w:r>
      <w:r>
        <w:rPr>
          <w:rFonts w:ascii="宋体" w:hAnsi="宋体"/>
          <w:snapToGrid w:val="0"/>
          <w:kern w:val="0"/>
          <w:szCs w:val="21"/>
        </w:rPr>
        <w:t>自愿组成联合体，共同参加</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（项目名称）</w:t>
      </w:r>
      <w:r>
        <w:rPr>
          <w:rFonts w:ascii="宋体" w:hAnsi="宋体"/>
          <w:snapToGrid w:val="0"/>
          <w:kern w:val="0"/>
          <w:szCs w:val="21"/>
        </w:rPr>
        <w:t>投标。现就联合体投标事宜订立如下协议。</w:t>
      </w:r>
    </w:p>
    <w:p w14:paraId="3CB2AFDC">
      <w:pPr>
        <w:tabs>
          <w:tab w:val="left" w:pos="3465"/>
          <w:tab w:val="left" w:pos="4200"/>
        </w:tabs>
        <w:autoSpaceDE w:val="0"/>
        <w:autoSpaceDN w:val="0"/>
        <w:adjustRightInd w:val="0"/>
        <w:snapToGrid w:val="0"/>
        <w:spacing w:line="500" w:lineRule="exact"/>
        <w:ind w:firstLine="405" w:firstLineChars="193"/>
        <w:jc w:val="left"/>
        <w:rPr>
          <w:rFonts w:ascii="宋体" w:hAnsi="宋体"/>
          <w:snapToGrid w:val="0"/>
          <w:kern w:val="0"/>
          <w:szCs w:val="21"/>
        </w:rPr>
      </w:pPr>
      <w:r>
        <w:rPr>
          <w:rFonts w:ascii="宋体" w:hAnsi="宋体"/>
          <w:snapToGrid w:val="0"/>
          <w:kern w:val="0"/>
          <w:szCs w:val="21"/>
        </w:rPr>
        <w:t>1.</w:t>
      </w:r>
      <w:r>
        <w:rPr>
          <w:rFonts w:ascii="宋体" w:hAnsi="宋体"/>
          <w:snapToGrid w:val="0"/>
          <w:kern w:val="0"/>
          <w:szCs w:val="21"/>
          <w:u w:val="single"/>
        </w:rPr>
        <w:tab/>
      </w:r>
      <w:r>
        <w:rPr>
          <w:rFonts w:ascii="宋体" w:hAnsi="宋体"/>
          <w:snapToGrid w:val="0"/>
          <w:kern w:val="0"/>
          <w:szCs w:val="21"/>
          <w:u w:val="single"/>
        </w:rPr>
        <w:t>（某成员单位名称）</w:t>
      </w:r>
      <w:r>
        <w:rPr>
          <w:rFonts w:hint="eastAsia" w:ascii="宋体" w:hAnsi="宋体"/>
          <w:snapToGrid w:val="0"/>
          <w:kern w:val="0"/>
          <w:szCs w:val="21"/>
        </w:rPr>
        <w:t>为</w:t>
      </w:r>
      <w:r>
        <w:rPr>
          <w:rFonts w:hint="eastAsia" w:ascii="宋体" w:hAnsi="宋体"/>
          <w:snapToGrid w:val="0"/>
          <w:kern w:val="0"/>
          <w:szCs w:val="21"/>
          <w:u w:val="single"/>
        </w:rPr>
        <w:tab/>
      </w:r>
      <w:r>
        <w:rPr>
          <w:rFonts w:hint="eastAsia" w:ascii="宋体" w:hAnsi="宋体"/>
          <w:snapToGrid w:val="0"/>
          <w:kern w:val="0"/>
          <w:szCs w:val="21"/>
          <w:u w:val="single"/>
        </w:rPr>
        <w:t xml:space="preserve">      （项目名称）</w:t>
      </w:r>
      <w:r>
        <w:rPr>
          <w:rFonts w:ascii="宋体" w:hAnsi="宋体"/>
          <w:snapToGrid w:val="0"/>
          <w:kern w:val="0"/>
          <w:szCs w:val="21"/>
        </w:rPr>
        <w:t>联合体牵头人。由联合体牵头人单位递交投标保证金。</w:t>
      </w:r>
    </w:p>
    <w:p w14:paraId="3D41EA96">
      <w:pPr>
        <w:autoSpaceDE w:val="0"/>
        <w:autoSpaceDN w:val="0"/>
        <w:adjustRightInd w:val="0"/>
        <w:snapToGrid w:val="0"/>
        <w:spacing w:line="500" w:lineRule="exact"/>
        <w:ind w:firstLine="420"/>
        <w:rPr>
          <w:rFonts w:ascii="宋体" w:hAnsi="宋体"/>
          <w:snapToGrid w:val="0"/>
          <w:kern w:val="0"/>
          <w:szCs w:val="21"/>
        </w:rPr>
      </w:pPr>
      <w:r>
        <w:rPr>
          <w:rFonts w:ascii="宋体" w:hAnsi="宋体"/>
          <w:snapToGrid w:val="0"/>
          <w:kern w:val="0"/>
          <w:szCs w:val="21"/>
        </w:rPr>
        <w:t>2.联合体牵头人合法代表联合体各成员负责本招标项目投标文件编制和合同谈判活动， 并代表联合体提交和接收相关的资料、信息及指示，并处理与之有关的一切事务，负责合同 实施阶段的主办、组织和协调工作。</w:t>
      </w:r>
    </w:p>
    <w:p w14:paraId="6BC88DB3">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3.联合体将严格按照招标文件的各项要求，递交投标文件，履行合同，并对外承担连带责任。</w:t>
      </w:r>
    </w:p>
    <w:p w14:paraId="5AC2F397">
      <w:pPr>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4.联合体牵头人代表联合体签署投标文件</w:t>
      </w:r>
      <w:r>
        <w:rPr>
          <w:rFonts w:ascii="宋体" w:hAnsi="宋体"/>
          <w:spacing w:val="-19"/>
          <w:kern w:val="0"/>
          <w:szCs w:val="21"/>
        </w:rPr>
        <w:t>，</w:t>
      </w:r>
      <w:r>
        <w:rPr>
          <w:rFonts w:ascii="宋体" w:hAnsi="宋体"/>
          <w:kern w:val="0"/>
          <w:szCs w:val="21"/>
        </w:rPr>
        <w:t>联合体牵头人的所有承诺均认为代表了联合体各成员。</w:t>
      </w:r>
    </w:p>
    <w:p w14:paraId="5A7C040F">
      <w:pPr>
        <w:autoSpaceDE w:val="0"/>
        <w:autoSpaceDN w:val="0"/>
        <w:adjustRightInd w:val="0"/>
        <w:spacing w:line="500" w:lineRule="exact"/>
        <w:ind w:firstLine="420" w:firstLineChars="200"/>
        <w:jc w:val="left"/>
        <w:rPr>
          <w:rFonts w:ascii="宋体" w:hAnsi="宋体"/>
          <w:kern w:val="0"/>
          <w:szCs w:val="21"/>
        </w:rPr>
      </w:pPr>
      <w:r>
        <w:rPr>
          <w:rFonts w:ascii="宋体" w:hAnsi="宋体"/>
          <w:snapToGrid w:val="0"/>
          <w:kern w:val="0"/>
          <w:szCs w:val="21"/>
        </w:rPr>
        <w:t>5.</w:t>
      </w:r>
      <w:r>
        <w:rPr>
          <w:rFonts w:ascii="宋体" w:hAnsi="宋体"/>
          <w:kern w:val="0"/>
          <w:szCs w:val="21"/>
        </w:rPr>
        <w:t>联合体各成员单位内部的职责分工如下：</w:t>
      </w:r>
    </w:p>
    <w:tbl>
      <w:tblPr>
        <w:tblStyle w:val="4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0"/>
        <w:gridCol w:w="2885"/>
      </w:tblGrid>
      <w:tr w14:paraId="200A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12EB356D">
            <w:pPr>
              <w:autoSpaceDE w:val="0"/>
              <w:autoSpaceDN w:val="0"/>
              <w:adjustRightInd w:val="0"/>
              <w:snapToGrid w:val="0"/>
              <w:spacing w:line="500" w:lineRule="exact"/>
              <w:jc w:val="center"/>
              <w:rPr>
                <w:rFonts w:ascii="宋体" w:hAnsi="宋体"/>
                <w:snapToGrid w:val="0"/>
                <w:kern w:val="0"/>
                <w:szCs w:val="21"/>
              </w:rPr>
            </w:pPr>
            <w:r>
              <w:rPr>
                <w:rFonts w:hint="eastAsia" w:ascii="宋体" w:hAnsi="宋体"/>
                <w:snapToGrid w:val="0"/>
                <w:kern w:val="0"/>
                <w:szCs w:val="21"/>
              </w:rPr>
              <w:t>联合体成员</w:t>
            </w:r>
            <w:r>
              <w:rPr>
                <w:rFonts w:ascii="宋体" w:hAnsi="宋体"/>
                <w:snapToGrid w:val="0"/>
                <w:kern w:val="0"/>
                <w:szCs w:val="21"/>
              </w:rPr>
              <w:t>名称</w:t>
            </w:r>
          </w:p>
        </w:tc>
        <w:tc>
          <w:tcPr>
            <w:tcW w:w="2410" w:type="dxa"/>
          </w:tcPr>
          <w:p w14:paraId="6629C9BB">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14:paraId="629F0904">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职责分工</w:t>
            </w:r>
          </w:p>
        </w:tc>
      </w:tr>
      <w:tr w14:paraId="7478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02823CC0">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联合体牵头人名称</w:t>
            </w:r>
          </w:p>
        </w:tc>
        <w:tc>
          <w:tcPr>
            <w:tcW w:w="2410" w:type="dxa"/>
          </w:tcPr>
          <w:p w14:paraId="090D0A03">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14:paraId="156B1F61">
            <w:pPr>
              <w:autoSpaceDE w:val="0"/>
              <w:autoSpaceDN w:val="0"/>
              <w:adjustRightInd w:val="0"/>
              <w:snapToGrid w:val="0"/>
              <w:spacing w:line="500" w:lineRule="exact"/>
              <w:ind w:firstLine="420"/>
              <w:jc w:val="left"/>
              <w:rPr>
                <w:rFonts w:ascii="宋体" w:hAnsi="宋体"/>
                <w:snapToGrid w:val="0"/>
                <w:kern w:val="0"/>
                <w:szCs w:val="21"/>
              </w:rPr>
            </w:pPr>
          </w:p>
        </w:tc>
      </w:tr>
      <w:tr w14:paraId="0C18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16F664F1">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联合体其他成员单位一名称</w:t>
            </w:r>
          </w:p>
        </w:tc>
        <w:tc>
          <w:tcPr>
            <w:tcW w:w="2410" w:type="dxa"/>
          </w:tcPr>
          <w:p w14:paraId="487F8B10">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14:paraId="2C227B23">
            <w:pPr>
              <w:autoSpaceDE w:val="0"/>
              <w:autoSpaceDN w:val="0"/>
              <w:adjustRightInd w:val="0"/>
              <w:snapToGrid w:val="0"/>
              <w:spacing w:line="500" w:lineRule="exact"/>
              <w:ind w:firstLine="420"/>
              <w:jc w:val="left"/>
              <w:rPr>
                <w:rFonts w:ascii="宋体" w:hAnsi="宋体"/>
                <w:snapToGrid w:val="0"/>
                <w:kern w:val="0"/>
                <w:szCs w:val="21"/>
              </w:rPr>
            </w:pPr>
          </w:p>
        </w:tc>
      </w:tr>
      <w:tr w14:paraId="533D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tcPr>
          <w:p w14:paraId="58B88276">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联合体其他成员单位二名称</w:t>
            </w:r>
          </w:p>
        </w:tc>
        <w:tc>
          <w:tcPr>
            <w:tcW w:w="2410" w:type="dxa"/>
          </w:tcPr>
          <w:p w14:paraId="50957D6B">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14:paraId="7E45AADE">
            <w:pPr>
              <w:autoSpaceDE w:val="0"/>
              <w:autoSpaceDN w:val="0"/>
              <w:adjustRightInd w:val="0"/>
              <w:snapToGrid w:val="0"/>
              <w:spacing w:line="500" w:lineRule="exact"/>
              <w:ind w:firstLine="420"/>
              <w:jc w:val="left"/>
              <w:rPr>
                <w:rFonts w:ascii="宋体" w:hAnsi="宋体"/>
                <w:snapToGrid w:val="0"/>
                <w:kern w:val="0"/>
                <w:szCs w:val="21"/>
              </w:rPr>
            </w:pPr>
          </w:p>
        </w:tc>
      </w:tr>
      <w:tr w14:paraId="1125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32CD791E">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w:t>
            </w:r>
          </w:p>
        </w:tc>
        <w:tc>
          <w:tcPr>
            <w:tcW w:w="2410" w:type="dxa"/>
          </w:tcPr>
          <w:p w14:paraId="08ADE542">
            <w:pPr>
              <w:autoSpaceDE w:val="0"/>
              <w:autoSpaceDN w:val="0"/>
              <w:adjustRightInd w:val="0"/>
              <w:snapToGrid w:val="0"/>
              <w:spacing w:line="500" w:lineRule="exact"/>
              <w:ind w:firstLine="420"/>
              <w:jc w:val="left"/>
              <w:rPr>
                <w:rFonts w:ascii="宋体" w:hAnsi="宋体"/>
                <w:snapToGrid w:val="0"/>
                <w:kern w:val="0"/>
                <w:szCs w:val="21"/>
              </w:rPr>
            </w:pPr>
          </w:p>
        </w:tc>
        <w:tc>
          <w:tcPr>
            <w:tcW w:w="2885" w:type="dxa"/>
          </w:tcPr>
          <w:p w14:paraId="50909290">
            <w:pPr>
              <w:autoSpaceDE w:val="0"/>
              <w:autoSpaceDN w:val="0"/>
              <w:adjustRightInd w:val="0"/>
              <w:snapToGrid w:val="0"/>
              <w:spacing w:line="500" w:lineRule="exact"/>
              <w:ind w:firstLine="420"/>
              <w:jc w:val="left"/>
              <w:rPr>
                <w:rFonts w:ascii="宋体" w:hAnsi="宋体"/>
                <w:snapToGrid w:val="0"/>
                <w:kern w:val="0"/>
                <w:szCs w:val="21"/>
              </w:rPr>
            </w:pPr>
          </w:p>
        </w:tc>
      </w:tr>
    </w:tbl>
    <w:p w14:paraId="08E28A8A">
      <w:pPr>
        <w:tabs>
          <w:tab w:val="left" w:pos="2020"/>
          <w:tab w:val="left" w:pos="4680"/>
          <w:tab w:val="left" w:pos="7640"/>
          <w:tab w:val="left" w:pos="7820"/>
        </w:tabs>
        <w:autoSpaceDE w:val="0"/>
        <w:autoSpaceDN w:val="0"/>
        <w:adjustRightInd w:val="0"/>
        <w:spacing w:line="500" w:lineRule="exact"/>
        <w:ind w:firstLine="420" w:firstLineChars="200"/>
        <w:jc w:val="left"/>
        <w:rPr>
          <w:rFonts w:ascii="宋体" w:hAnsi="宋体"/>
          <w:spacing w:val="7"/>
          <w:kern w:val="0"/>
          <w:szCs w:val="21"/>
        </w:rPr>
      </w:pPr>
      <w:r>
        <w:rPr>
          <w:rFonts w:ascii="宋体" w:hAnsi="宋体"/>
          <w:kern w:val="0"/>
          <w:szCs w:val="21"/>
        </w:rPr>
        <w:t>6</w:t>
      </w:r>
      <w:r>
        <w:rPr>
          <w:rFonts w:ascii="宋体" w:hAnsi="宋体"/>
          <w:spacing w:val="7"/>
          <w:kern w:val="0"/>
          <w:szCs w:val="21"/>
        </w:rPr>
        <w:t>.</w:t>
      </w:r>
      <w:r>
        <w:rPr>
          <w:rFonts w:hint="eastAsia" w:ascii="宋体" w:hAnsi="宋体"/>
          <w:spacing w:val="7"/>
          <w:kern w:val="0"/>
          <w:szCs w:val="21"/>
        </w:rPr>
        <w:t>由联合体牵头人委派</w:t>
      </w:r>
      <w:r>
        <w:rPr>
          <w:rFonts w:hint="eastAsia" w:ascii="宋体" w:hAnsi="宋体"/>
          <w:spacing w:val="7"/>
          <w:kern w:val="0"/>
          <w:szCs w:val="21"/>
          <w:lang w:val="en-US" w:eastAsia="zh-CN"/>
        </w:rPr>
        <w:t>本单位人员作为</w:t>
      </w:r>
      <w:r>
        <w:rPr>
          <w:rFonts w:hint="eastAsia" w:ascii="宋体" w:hAnsi="宋体"/>
          <w:spacing w:val="7"/>
          <w:kern w:val="0"/>
          <w:szCs w:val="21"/>
        </w:rPr>
        <w:t>委托代理人。</w:t>
      </w:r>
    </w:p>
    <w:p w14:paraId="5995D3D5">
      <w:pPr>
        <w:autoSpaceDE w:val="0"/>
        <w:autoSpaceDN w:val="0"/>
        <w:adjustRightInd w:val="0"/>
        <w:spacing w:line="500" w:lineRule="exact"/>
        <w:ind w:firstLine="448" w:firstLineChars="200"/>
        <w:jc w:val="left"/>
        <w:rPr>
          <w:rFonts w:ascii="宋体" w:hAnsi="宋体"/>
          <w:kern w:val="0"/>
          <w:szCs w:val="21"/>
        </w:rPr>
      </w:pPr>
      <w:r>
        <w:rPr>
          <w:rFonts w:hint="eastAsia" w:ascii="宋体" w:hAnsi="宋体"/>
          <w:spacing w:val="7"/>
          <w:kern w:val="0"/>
          <w:szCs w:val="21"/>
        </w:rPr>
        <w:t>7.</w:t>
      </w:r>
      <w:r>
        <w:rPr>
          <w:rFonts w:ascii="宋体" w:hAnsi="宋体"/>
          <w:spacing w:val="7"/>
          <w:kern w:val="0"/>
          <w:szCs w:val="21"/>
        </w:rPr>
        <w:t>投标工作和联合体</w:t>
      </w:r>
      <w:r>
        <w:rPr>
          <w:rFonts w:ascii="宋体" w:hAnsi="宋体"/>
          <w:spacing w:val="5"/>
          <w:kern w:val="0"/>
          <w:szCs w:val="21"/>
        </w:rPr>
        <w:t>在</w:t>
      </w:r>
      <w:r>
        <w:rPr>
          <w:rFonts w:ascii="宋体" w:hAnsi="宋体"/>
          <w:spacing w:val="7"/>
          <w:kern w:val="0"/>
          <w:szCs w:val="21"/>
        </w:rPr>
        <w:t>中标后工程实施过</w:t>
      </w:r>
      <w:r>
        <w:rPr>
          <w:rFonts w:ascii="宋体" w:hAnsi="宋体"/>
          <w:spacing w:val="5"/>
          <w:kern w:val="0"/>
          <w:szCs w:val="21"/>
        </w:rPr>
        <w:t>程</w:t>
      </w:r>
      <w:r>
        <w:rPr>
          <w:rFonts w:ascii="宋体" w:hAnsi="宋体"/>
          <w:spacing w:val="7"/>
          <w:kern w:val="0"/>
          <w:szCs w:val="21"/>
        </w:rPr>
        <w:t>中的有关费用按各</w:t>
      </w:r>
      <w:r>
        <w:rPr>
          <w:rFonts w:ascii="宋体" w:hAnsi="宋体"/>
          <w:spacing w:val="5"/>
          <w:kern w:val="0"/>
          <w:szCs w:val="21"/>
        </w:rPr>
        <w:t>自</w:t>
      </w:r>
      <w:r>
        <w:rPr>
          <w:rFonts w:ascii="宋体" w:hAnsi="宋体"/>
          <w:spacing w:val="7"/>
          <w:kern w:val="0"/>
          <w:szCs w:val="21"/>
        </w:rPr>
        <w:t>承担的工作</w:t>
      </w:r>
      <w:r>
        <w:rPr>
          <w:rFonts w:ascii="宋体" w:hAnsi="宋体"/>
          <w:kern w:val="0"/>
          <w:szCs w:val="21"/>
        </w:rPr>
        <w:t>量分摊。</w:t>
      </w:r>
    </w:p>
    <w:p w14:paraId="5CF160B2">
      <w:pPr>
        <w:tabs>
          <w:tab w:val="left" w:pos="6300"/>
          <w:tab w:val="left" w:pos="8295"/>
        </w:tabs>
        <w:autoSpaceDE w:val="0"/>
        <w:autoSpaceDN w:val="0"/>
        <w:adjustRightInd w:val="0"/>
        <w:snapToGrid w:val="0"/>
        <w:spacing w:line="500" w:lineRule="exact"/>
        <w:ind w:firstLine="420" w:firstLineChars="200"/>
        <w:jc w:val="left"/>
        <w:rPr>
          <w:rFonts w:ascii="宋体" w:hAnsi="宋体"/>
          <w:snapToGrid w:val="0"/>
          <w:kern w:val="0"/>
          <w:szCs w:val="21"/>
        </w:rPr>
      </w:pPr>
      <w:r>
        <w:rPr>
          <w:rFonts w:hint="eastAsia" w:ascii="宋体" w:hAnsi="宋体"/>
          <w:snapToGrid w:val="0"/>
          <w:kern w:val="0"/>
          <w:szCs w:val="21"/>
        </w:rPr>
        <w:t>8</w:t>
      </w:r>
      <w:r>
        <w:rPr>
          <w:rFonts w:ascii="宋体" w:hAnsi="宋体"/>
          <w:snapToGrid w:val="0"/>
          <w:kern w:val="0"/>
          <w:szCs w:val="21"/>
        </w:rPr>
        <w:t>.本协议书自签署之日起生效，合同履行完毕后自动失效。</w:t>
      </w:r>
    </w:p>
    <w:p w14:paraId="76F308D4">
      <w:pPr>
        <w:autoSpaceDE w:val="0"/>
        <w:autoSpaceDN w:val="0"/>
        <w:adjustRightInd w:val="0"/>
        <w:snapToGrid w:val="0"/>
        <w:spacing w:line="500" w:lineRule="exact"/>
        <w:ind w:firstLine="390" w:firstLineChars="186"/>
        <w:jc w:val="left"/>
        <w:rPr>
          <w:rFonts w:ascii="宋体" w:hAnsi="宋体"/>
          <w:snapToGrid w:val="0"/>
          <w:kern w:val="0"/>
          <w:szCs w:val="21"/>
        </w:rPr>
      </w:pPr>
      <w:r>
        <w:rPr>
          <w:rFonts w:hint="eastAsia" w:ascii="宋体" w:hAnsi="宋体"/>
          <w:snapToGrid w:val="0"/>
          <w:kern w:val="0"/>
          <w:szCs w:val="21"/>
        </w:rPr>
        <w:t>9</w:t>
      </w:r>
      <w:r>
        <w:rPr>
          <w:rFonts w:ascii="宋体" w:hAnsi="宋体"/>
          <w:snapToGrid w:val="0"/>
          <w:kern w:val="0"/>
          <w:szCs w:val="21"/>
        </w:rPr>
        <w:t>.本协议书一式</w:t>
      </w:r>
      <w:r>
        <w:rPr>
          <w:rFonts w:hint="eastAsia" w:ascii="宋体" w:hAnsi="宋体"/>
          <w:snapToGrid w:val="0"/>
          <w:kern w:val="0"/>
          <w:szCs w:val="21"/>
          <w:u w:val="single"/>
        </w:rPr>
        <w:t xml:space="preserve">    </w:t>
      </w:r>
      <w:r>
        <w:rPr>
          <w:rFonts w:ascii="宋体" w:hAnsi="宋体"/>
          <w:snapToGrid w:val="0"/>
          <w:kern w:val="0"/>
          <w:szCs w:val="21"/>
        </w:rPr>
        <w:t>份，联合体成员和招标人各执</w:t>
      </w:r>
      <w:r>
        <w:rPr>
          <w:rFonts w:hint="eastAsia" w:ascii="宋体" w:hAnsi="宋体"/>
          <w:snapToGrid w:val="0"/>
          <w:kern w:val="0"/>
          <w:szCs w:val="21"/>
          <w:u w:val="single"/>
        </w:rPr>
        <w:t xml:space="preserve">    </w:t>
      </w:r>
      <w:r>
        <w:rPr>
          <w:rFonts w:ascii="宋体" w:hAnsi="宋体"/>
          <w:snapToGrid w:val="0"/>
          <w:kern w:val="0"/>
          <w:szCs w:val="21"/>
        </w:rPr>
        <w:t>份。</w:t>
      </w:r>
    </w:p>
    <w:p w14:paraId="41D2A739">
      <w:pPr>
        <w:autoSpaceDE w:val="0"/>
        <w:autoSpaceDN w:val="0"/>
        <w:adjustRightInd w:val="0"/>
        <w:snapToGrid w:val="0"/>
        <w:spacing w:line="500" w:lineRule="exact"/>
        <w:ind w:firstLine="390" w:firstLineChars="186"/>
        <w:jc w:val="left"/>
        <w:rPr>
          <w:rFonts w:ascii="宋体" w:hAnsi="宋体"/>
          <w:snapToGrid w:val="0"/>
          <w:kern w:val="0"/>
          <w:szCs w:val="21"/>
        </w:rPr>
      </w:pPr>
    </w:p>
    <w:p w14:paraId="2E644E2F">
      <w:pPr>
        <w:tabs>
          <w:tab w:val="left" w:pos="4840"/>
        </w:tabs>
        <w:autoSpaceDE w:val="0"/>
        <w:autoSpaceDN w:val="0"/>
        <w:adjustRightInd w:val="0"/>
        <w:snapToGrid w:val="0"/>
        <w:spacing w:line="500" w:lineRule="exact"/>
        <w:ind w:firstLine="420" w:firstLineChars="200"/>
        <w:jc w:val="left"/>
        <w:rPr>
          <w:rFonts w:ascii="宋体" w:hAnsi="宋体"/>
          <w:snapToGrid w:val="0"/>
          <w:kern w:val="0"/>
          <w:szCs w:val="21"/>
        </w:rPr>
      </w:pPr>
      <w:r>
        <w:rPr>
          <w:rFonts w:ascii="宋体" w:hAnsi="宋体"/>
          <w:snapToGrid w:val="0"/>
          <w:kern w:val="0"/>
          <w:szCs w:val="21"/>
        </w:rPr>
        <w:t>牵头人名称：</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（盖单位法人章）</w:t>
      </w:r>
    </w:p>
    <w:p w14:paraId="4A960570">
      <w:pPr>
        <w:tabs>
          <w:tab w:val="left" w:pos="5260"/>
        </w:tabs>
        <w:autoSpaceDE w:val="0"/>
        <w:autoSpaceDN w:val="0"/>
        <w:adjustRightInd w:val="0"/>
        <w:snapToGrid w:val="0"/>
        <w:spacing w:line="500" w:lineRule="exact"/>
        <w:ind w:firstLine="420" w:firstLineChars="200"/>
        <w:jc w:val="left"/>
        <w:rPr>
          <w:rFonts w:ascii="宋体" w:hAnsi="宋体"/>
          <w:snapToGrid w:val="0"/>
          <w:kern w:val="0"/>
          <w:szCs w:val="21"/>
        </w:rPr>
      </w:pPr>
      <w:r>
        <w:rPr>
          <w:rFonts w:ascii="宋体" w:hAnsi="宋体"/>
          <w:snapToGrid w:val="0"/>
          <w:kern w:val="0"/>
          <w:position w:val="-2"/>
          <w:szCs w:val="21"/>
        </w:rPr>
        <w:t>法定代表人或其委托代理人：</w:t>
      </w:r>
      <w:r>
        <w:rPr>
          <w:rFonts w:hint="eastAsia" w:ascii="宋体" w:hAnsi="宋体"/>
          <w:snapToGrid w:val="0"/>
          <w:kern w:val="0"/>
          <w:position w:val="-2"/>
          <w:szCs w:val="21"/>
          <w:u w:val="single"/>
        </w:rPr>
        <w:t xml:space="preserve">                                    </w:t>
      </w:r>
      <w:r>
        <w:rPr>
          <w:rFonts w:ascii="宋体" w:hAnsi="宋体"/>
          <w:snapToGrid w:val="0"/>
          <w:kern w:val="0"/>
          <w:position w:val="-2"/>
          <w:szCs w:val="21"/>
        </w:rPr>
        <w:t>（</w:t>
      </w:r>
      <w:r>
        <w:rPr>
          <w:rFonts w:hint="eastAsia" w:ascii="宋体" w:hAnsi="宋体"/>
          <w:snapToGrid w:val="0"/>
          <w:kern w:val="0"/>
          <w:szCs w:val="21"/>
        </w:rPr>
        <w:t>签名</w:t>
      </w:r>
      <w:r>
        <w:rPr>
          <w:rFonts w:ascii="宋体" w:hAnsi="宋体"/>
          <w:snapToGrid w:val="0"/>
          <w:kern w:val="0"/>
          <w:szCs w:val="21"/>
        </w:rPr>
        <w:t>或盖章</w:t>
      </w:r>
      <w:r>
        <w:rPr>
          <w:rFonts w:ascii="宋体" w:hAnsi="宋体"/>
          <w:snapToGrid w:val="0"/>
          <w:kern w:val="0"/>
          <w:position w:val="-2"/>
          <w:szCs w:val="21"/>
        </w:rPr>
        <w:t>）</w:t>
      </w:r>
    </w:p>
    <w:p w14:paraId="62F5900E">
      <w:pPr>
        <w:tabs>
          <w:tab w:val="left" w:pos="7890"/>
        </w:tabs>
        <w:autoSpaceDE w:val="0"/>
        <w:autoSpaceDN w:val="0"/>
        <w:adjustRightInd w:val="0"/>
        <w:spacing w:line="500" w:lineRule="exact"/>
        <w:ind w:firstLine="420" w:firstLineChars="200"/>
        <w:jc w:val="left"/>
        <w:rPr>
          <w:rFonts w:ascii="宋体" w:hAnsi="宋体"/>
          <w:kern w:val="0"/>
          <w:szCs w:val="21"/>
        </w:rPr>
      </w:pPr>
      <w:r>
        <w:rPr>
          <w:rFonts w:hint="eastAsia" w:ascii="宋体" w:hAnsi="宋体"/>
          <w:kern w:val="0"/>
          <w:szCs w:val="21"/>
        </w:rPr>
        <w:t>联合体其他成员单位</w:t>
      </w:r>
      <w:r>
        <w:rPr>
          <w:rFonts w:ascii="宋体" w:hAnsi="宋体"/>
          <w:kern w:val="0"/>
          <w:szCs w:val="21"/>
        </w:rPr>
        <w:t>一名称：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14:paraId="1B6922C0">
      <w:pPr>
        <w:tabs>
          <w:tab w:val="left" w:pos="774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签名</w:t>
      </w:r>
      <w:r>
        <w:rPr>
          <w:rFonts w:ascii="宋体" w:hAnsi="宋体"/>
          <w:snapToGrid w:val="0"/>
          <w:kern w:val="0"/>
          <w:szCs w:val="21"/>
        </w:rPr>
        <w:t>或盖章</w:t>
      </w:r>
      <w:r>
        <w:rPr>
          <w:rFonts w:ascii="宋体" w:hAnsi="宋体"/>
          <w:kern w:val="0"/>
          <w:szCs w:val="21"/>
        </w:rPr>
        <w:t>）</w:t>
      </w:r>
    </w:p>
    <w:p w14:paraId="1C06049A">
      <w:pPr>
        <w:tabs>
          <w:tab w:val="left" w:pos="7890"/>
        </w:tabs>
        <w:autoSpaceDE w:val="0"/>
        <w:autoSpaceDN w:val="0"/>
        <w:adjustRightInd w:val="0"/>
        <w:spacing w:line="500" w:lineRule="exact"/>
        <w:ind w:firstLine="420" w:firstLineChars="200"/>
        <w:jc w:val="left"/>
        <w:rPr>
          <w:rFonts w:ascii="宋体" w:hAnsi="宋体"/>
          <w:kern w:val="0"/>
          <w:szCs w:val="21"/>
        </w:rPr>
      </w:pPr>
      <w:r>
        <w:rPr>
          <w:rFonts w:hint="eastAsia" w:ascii="宋体" w:hAnsi="宋体"/>
          <w:kern w:val="0"/>
          <w:szCs w:val="21"/>
        </w:rPr>
        <w:t>联合体其他成员单位二</w:t>
      </w:r>
      <w:r>
        <w:rPr>
          <w:rFonts w:ascii="宋体" w:hAnsi="宋体"/>
          <w:kern w:val="0"/>
          <w:szCs w:val="21"/>
        </w:rPr>
        <w:t>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14:paraId="5A71CADB">
      <w:pPr>
        <w:tabs>
          <w:tab w:val="left" w:pos="5140"/>
          <w:tab w:val="left" w:pos="6100"/>
          <w:tab w:val="left" w:pos="682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签名</w:t>
      </w:r>
      <w:r>
        <w:rPr>
          <w:rFonts w:ascii="宋体" w:hAnsi="宋体"/>
          <w:snapToGrid w:val="0"/>
          <w:kern w:val="0"/>
          <w:szCs w:val="21"/>
        </w:rPr>
        <w:t>或盖章</w:t>
      </w:r>
      <w:r>
        <w:rPr>
          <w:rFonts w:ascii="宋体" w:hAnsi="宋体"/>
          <w:kern w:val="0"/>
          <w:szCs w:val="21"/>
        </w:rPr>
        <w:t>）</w:t>
      </w:r>
    </w:p>
    <w:p w14:paraId="286E4549">
      <w:pPr>
        <w:tabs>
          <w:tab w:val="left" w:pos="5140"/>
          <w:tab w:val="left" w:pos="6100"/>
          <w:tab w:val="left" w:pos="682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w:t>
      </w:r>
    </w:p>
    <w:p w14:paraId="27F21801">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34825A8C">
      <w:pPr>
        <w:spacing w:line="360" w:lineRule="auto"/>
        <w:jc w:val="center"/>
        <w:rPr>
          <w:rFonts w:ascii="宋体" w:hAnsi="宋体"/>
          <w:snapToGrid w:val="0"/>
          <w:szCs w:val="21"/>
        </w:rPr>
      </w:pPr>
    </w:p>
    <w:p w14:paraId="2C7E7824">
      <w:pPr>
        <w:spacing w:line="500" w:lineRule="exact"/>
        <w:ind w:firstLine="420" w:firstLineChars="200"/>
        <w:jc w:val="left"/>
        <w:rPr>
          <w:rFonts w:ascii="宋体" w:hAnsi="宋体"/>
          <w:snapToGrid w:val="0"/>
          <w:szCs w:val="21"/>
        </w:rPr>
      </w:pPr>
      <w:r>
        <w:rPr>
          <w:rFonts w:ascii="宋体" w:hAnsi="宋体"/>
          <w:snapToGrid w:val="0"/>
          <w:szCs w:val="21"/>
        </w:rPr>
        <w:t>注：</w:t>
      </w:r>
      <w:r>
        <w:rPr>
          <w:rFonts w:hint="eastAsia" w:ascii="宋体" w:hAnsi="宋体"/>
          <w:snapToGrid w:val="0"/>
          <w:szCs w:val="21"/>
        </w:rPr>
        <w:t>1.在</w:t>
      </w:r>
      <w:r>
        <w:rPr>
          <w:rFonts w:hint="eastAsia" w:ascii="宋体" w:hAnsi="宋体"/>
          <w:lang w:val="en-US" w:eastAsia="zh-CN"/>
        </w:rPr>
        <w:t>共同投标协议</w:t>
      </w:r>
      <w:r>
        <w:rPr>
          <w:rFonts w:hint="eastAsia" w:ascii="宋体" w:hAnsi="宋体"/>
          <w:snapToGrid w:val="0"/>
          <w:szCs w:val="21"/>
        </w:rPr>
        <w:t>第5条联合体各成员单位内部的职责分工中填写的联合体所有成员单位名称应与其营业执照、资质证书、安全生产许可证一致，否则由评标委员会作否决投标处理。</w:t>
      </w:r>
    </w:p>
    <w:p w14:paraId="684A38BC">
      <w:pPr>
        <w:spacing w:line="500" w:lineRule="exact"/>
        <w:ind w:firstLine="420" w:firstLineChars="200"/>
        <w:jc w:val="left"/>
        <w:rPr>
          <w:rFonts w:ascii="宋体" w:hAnsi="宋体"/>
          <w:szCs w:val="21"/>
        </w:rPr>
      </w:pPr>
      <w:r>
        <w:rPr>
          <w:rFonts w:hint="eastAsia" w:ascii="宋体" w:hAnsi="宋体"/>
          <w:snapToGrid w:val="0"/>
          <w:szCs w:val="21"/>
        </w:rPr>
        <w:t>2.</w:t>
      </w:r>
      <w:r>
        <w:rPr>
          <w:rFonts w:ascii="宋体" w:hAnsi="宋体"/>
          <w:snapToGrid w:val="0"/>
          <w:szCs w:val="21"/>
        </w:rPr>
        <w:t>本协议书由委托代理人</w:t>
      </w:r>
      <w:r>
        <w:rPr>
          <w:rFonts w:hint="eastAsia" w:ascii="宋体" w:hAnsi="宋体"/>
          <w:snapToGrid w:val="0"/>
          <w:szCs w:val="21"/>
        </w:rPr>
        <w:t>签名</w:t>
      </w:r>
      <w:r>
        <w:rPr>
          <w:rFonts w:ascii="宋体" w:hAnsi="宋体"/>
          <w:snapToGrid w:val="0"/>
          <w:szCs w:val="21"/>
        </w:rPr>
        <w:t>或盖章的，应附法定代表人</w:t>
      </w:r>
      <w:r>
        <w:rPr>
          <w:rFonts w:hint="eastAsia" w:ascii="宋体" w:hAnsi="宋体"/>
          <w:snapToGrid w:val="0"/>
          <w:szCs w:val="21"/>
        </w:rPr>
        <w:t>签名</w:t>
      </w:r>
      <w:r>
        <w:rPr>
          <w:rFonts w:ascii="宋体" w:hAnsi="宋体"/>
          <w:snapToGrid w:val="0"/>
          <w:szCs w:val="21"/>
        </w:rPr>
        <w:t>或盖章的授权委托书。</w:t>
      </w:r>
    </w:p>
    <w:p w14:paraId="5B9D7688">
      <w:pPr>
        <w:spacing w:line="20" w:lineRule="exact"/>
        <w:jc w:val="center"/>
        <w:rPr>
          <w:rFonts w:ascii="宋体" w:hAnsi="宋体"/>
          <w:szCs w:val="21"/>
        </w:rPr>
      </w:pPr>
    </w:p>
    <w:p w14:paraId="5379EB49">
      <w:pPr>
        <w:pStyle w:val="5"/>
        <w:spacing w:before="0" w:after="0" w:line="240" w:lineRule="auto"/>
        <w:ind w:firstLine="420" w:firstLineChars="0"/>
        <w:jc w:val="center"/>
        <w:rPr>
          <w:rFonts w:hint="default" w:ascii="宋体" w:hAnsi="宋体"/>
          <w:b w:val="0"/>
          <w:bCs w:val="0"/>
          <w:lang w:val="en-US" w:eastAsia="zh-CN"/>
        </w:rPr>
      </w:pPr>
      <w:r>
        <w:rPr>
          <w:rFonts w:ascii="宋体" w:hAnsi="宋体"/>
          <w:szCs w:val="21"/>
        </w:rPr>
        <w:br w:type="page"/>
      </w:r>
      <w:bookmarkEnd w:id="2131"/>
      <w:bookmarkEnd w:id="2132"/>
      <w:bookmarkStart w:id="2133" w:name="_Toc24592"/>
      <w:r>
        <w:rPr>
          <w:rFonts w:hint="eastAsia" w:ascii="宋体" w:hAnsi="宋体"/>
          <w:b w:val="0"/>
          <w:bCs w:val="0"/>
          <w:lang w:eastAsia="zh-CN"/>
        </w:rPr>
        <w:t>（</w:t>
      </w:r>
      <w:r>
        <w:rPr>
          <w:rFonts w:hint="eastAsia" w:ascii="宋体" w:hAnsi="宋体"/>
          <w:b w:val="0"/>
          <w:bCs w:val="0"/>
          <w:lang w:val="en-US" w:eastAsia="zh-CN"/>
        </w:rPr>
        <w:t>三</w:t>
      </w:r>
      <w:r>
        <w:rPr>
          <w:rFonts w:hint="eastAsia" w:ascii="宋体" w:hAnsi="宋体"/>
          <w:b w:val="0"/>
          <w:bCs w:val="0"/>
          <w:lang w:eastAsia="zh-CN"/>
        </w:rPr>
        <w:t>）</w:t>
      </w:r>
      <w:r>
        <w:rPr>
          <w:rFonts w:hint="eastAsia" w:ascii="宋体" w:hAnsi="宋体"/>
          <w:b w:val="0"/>
          <w:bCs w:val="0"/>
          <w:lang w:val="en-US" w:eastAsia="zh-CN"/>
        </w:rPr>
        <w:t>承诺</w:t>
      </w:r>
      <w:bookmarkEnd w:id="2133"/>
    </w:p>
    <w:p w14:paraId="18B639FA">
      <w:pPr>
        <w:snapToGrid w:val="0"/>
        <w:spacing w:line="380" w:lineRule="exact"/>
        <w:rPr>
          <w:rFonts w:ascii="宋体" w:hAnsi="宋体"/>
          <w:szCs w:val="21"/>
          <w:u w:val="single"/>
        </w:rPr>
      </w:pPr>
      <w:r>
        <w:rPr>
          <w:rFonts w:hint="eastAsia" w:ascii="宋体" w:hAnsi="宋体"/>
          <w:szCs w:val="21"/>
          <w:u w:val="single"/>
        </w:rPr>
        <w:t xml:space="preserve">        （招标人名称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有两个及以上招标人的，请填写所有招标人</w:t>
      </w:r>
      <w:r>
        <w:rPr>
          <w:rFonts w:hint="eastAsia" w:ascii="宋体" w:hAnsi="宋体"/>
          <w:color w:val="auto"/>
          <w:szCs w:val="21"/>
          <w:highlight w:val="none"/>
          <w:u w:val="single"/>
          <w:lang w:eastAsia="zh-CN"/>
        </w:rPr>
        <w:t>名称</w:t>
      </w:r>
      <w:r>
        <w:rPr>
          <w:rFonts w:hint="eastAsia" w:ascii="宋体" w:hAnsi="宋体"/>
          <w:szCs w:val="21"/>
          <w:u w:val="single"/>
        </w:rPr>
        <w:t>）</w:t>
      </w:r>
      <w:r>
        <w:rPr>
          <w:rFonts w:hint="eastAsia" w:ascii="宋体" w:hAnsi="宋体"/>
          <w:szCs w:val="21"/>
        </w:rPr>
        <w:t>：</w:t>
      </w:r>
    </w:p>
    <w:p w14:paraId="735DAB48">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14:paraId="48814F8D">
      <w:pPr>
        <w:snapToGrid w:val="0"/>
        <w:spacing w:line="380" w:lineRule="exact"/>
        <w:ind w:firstLine="420" w:firstLineChars="200"/>
        <w:rPr>
          <w:rFonts w:ascii="宋体" w:hAnsi="宋体"/>
          <w:szCs w:val="21"/>
        </w:rPr>
      </w:pPr>
      <w:r>
        <w:rPr>
          <w:rFonts w:hint="eastAsia" w:ascii="宋体" w:hAnsi="宋体"/>
          <w:szCs w:val="21"/>
        </w:rPr>
        <w:t>1、投标截止日投标资格情况不存在下列情形之一：</w:t>
      </w:r>
    </w:p>
    <w:p w14:paraId="19ED4A03">
      <w:pPr>
        <w:snapToGrid w:val="0"/>
        <w:spacing w:line="380" w:lineRule="exact"/>
        <w:ind w:firstLine="420" w:firstLineChars="200"/>
        <w:rPr>
          <w:rFonts w:ascii="宋体" w:hAnsi="宋体"/>
          <w:szCs w:val="21"/>
        </w:rPr>
      </w:pPr>
      <w:r>
        <w:rPr>
          <w:rFonts w:hint="eastAsia" w:ascii="宋体" w:hAnsi="宋体"/>
          <w:szCs w:val="21"/>
        </w:rPr>
        <w:t>（1）被人民法院列入失信被执行人名单且在被执行期内；</w:t>
      </w:r>
    </w:p>
    <w:p w14:paraId="53144D10">
      <w:pPr>
        <w:snapToGrid w:val="0"/>
        <w:spacing w:line="380" w:lineRule="exact"/>
        <w:ind w:firstLine="420" w:firstLineChars="200"/>
        <w:rPr>
          <w:rFonts w:hint="eastAsia" w:ascii="宋体" w:hAnsi="宋体"/>
          <w:szCs w:val="21"/>
          <w:lang w:val="en-US" w:eastAsia="zh-CN"/>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）被国家、重庆市（含市或任意区县）有关行政部门处以暂停投标资格行政处罚</w:t>
      </w:r>
      <w:r>
        <w:rPr>
          <w:rFonts w:hint="eastAsia" w:ascii="宋体" w:hAnsi="宋体" w:eastAsia="宋体" w:cs="Times New Roman"/>
          <w:color w:val="auto"/>
          <w:sz w:val="21"/>
          <w:szCs w:val="21"/>
          <w:highlight w:val="none"/>
          <w:lang w:val="en-US" w:eastAsia="zh-CN"/>
        </w:rPr>
        <w:t>或暂停在渝承揽新业务，且在暂停期限内</w:t>
      </w:r>
      <w:r>
        <w:rPr>
          <w:rFonts w:hint="eastAsia" w:ascii="宋体" w:hAnsi="宋体"/>
          <w:szCs w:val="21"/>
          <w:lang w:val="en-US" w:eastAsia="zh-CN"/>
        </w:rPr>
        <w:t>；</w:t>
      </w:r>
    </w:p>
    <w:p w14:paraId="34A6588C">
      <w:pPr>
        <w:snapToGrid w:val="0"/>
        <w:spacing w:line="38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（3）</w:t>
      </w:r>
      <w:r>
        <w:rPr>
          <w:rFonts w:hint="eastAsia" w:ascii="宋体" w:hAnsi="宋体" w:eastAsia="宋体" w:cs="宋体"/>
          <w:kern w:val="0"/>
        </w:rPr>
        <w:t>第二章“投标人须知”第1.4.3项规定</w:t>
      </w:r>
      <w:r>
        <w:rPr>
          <w:rFonts w:hint="eastAsia" w:ascii="宋体" w:hAnsi="宋体" w:eastAsia="宋体" w:cs="宋体"/>
          <w:kern w:val="0"/>
          <w:lang w:val="en-US" w:eastAsia="zh-CN"/>
        </w:rPr>
        <w:t>的情形之一</w:t>
      </w:r>
      <w:r>
        <w:rPr>
          <w:rFonts w:hint="eastAsia" w:ascii="宋体" w:hAnsi="宋体" w:eastAsia="宋体" w:cs="宋体"/>
          <w:kern w:val="0"/>
          <w:lang w:eastAsia="zh-CN"/>
        </w:rPr>
        <w:t>；</w:t>
      </w:r>
      <w:r>
        <w:rPr>
          <w:rFonts w:hint="eastAsia" w:ascii="宋体" w:hAnsi="宋体" w:eastAsia="宋体" w:cs="宋体"/>
          <w:kern w:val="0"/>
          <w:lang w:val="en-US" w:eastAsia="zh-CN"/>
        </w:rPr>
        <w:t>第二章“投标人须知”第9.2款规定的情形之一</w:t>
      </w:r>
      <w:r>
        <w:rPr>
          <w:rFonts w:hint="eastAsia" w:ascii="宋体" w:hAnsi="宋体" w:cs="宋体"/>
          <w:kern w:val="0"/>
          <w:lang w:val="en-US" w:eastAsia="zh-CN"/>
        </w:rPr>
        <w:t>。</w:t>
      </w:r>
    </w:p>
    <w:p w14:paraId="49988753">
      <w:pPr>
        <w:snapToGrid w:val="0"/>
        <w:spacing w:line="380" w:lineRule="exact"/>
        <w:ind w:firstLine="420" w:firstLineChars="200"/>
        <w:rPr>
          <w:rFonts w:ascii="宋体" w:hAnsi="宋体"/>
          <w:szCs w:val="21"/>
        </w:rPr>
      </w:pPr>
      <w:r>
        <w:rPr>
          <w:rFonts w:hint="eastAsia" w:ascii="宋体" w:hAnsi="宋体"/>
          <w:szCs w:val="21"/>
        </w:rPr>
        <w:t>2、我公司拟派的项目经理按注册建造师的相关规定到岗履职和未被禁止参与投标。</w:t>
      </w:r>
    </w:p>
    <w:p w14:paraId="5736243C">
      <w:pPr>
        <w:snapToGrid w:val="0"/>
        <w:spacing w:line="380" w:lineRule="exact"/>
        <w:ind w:firstLine="420" w:firstLineChars="200"/>
        <w:rPr>
          <w:rFonts w:ascii="宋体" w:hAnsi="宋体"/>
          <w:szCs w:val="21"/>
        </w:rPr>
      </w:pPr>
      <w:r>
        <w:rPr>
          <w:rFonts w:hint="eastAsia" w:ascii="宋体" w:hAnsi="宋体"/>
          <w:szCs w:val="21"/>
        </w:rPr>
        <w:t>2.1拟派的项目经理中标后在本项目任职，签订合同时拟派的项目经理必须与投标文件中的项目经理一致，并满足办理施工许可手续的相关要求。不能按承诺到岗</w:t>
      </w:r>
      <w:r>
        <w:rPr>
          <w:rFonts w:hint="eastAsia" w:ascii="宋体" w:hAnsi="宋体"/>
          <w:szCs w:val="21"/>
          <w:lang w:val="en-US" w:eastAsia="zh-CN"/>
        </w:rPr>
        <w:t>履职</w:t>
      </w:r>
      <w:r>
        <w:rPr>
          <w:rFonts w:hint="eastAsia" w:ascii="宋体" w:hAnsi="宋体"/>
          <w:szCs w:val="21"/>
        </w:rPr>
        <w:t>的，</w:t>
      </w:r>
      <w:r>
        <w:rPr>
          <w:rFonts w:hint="eastAsia" w:ascii="宋体" w:hAnsi="宋体"/>
          <w:szCs w:val="21"/>
          <w:lang w:val="en-US" w:eastAsia="zh-CN"/>
        </w:rPr>
        <w:t>贵单位</w:t>
      </w:r>
      <w:r>
        <w:rPr>
          <w:rFonts w:hint="eastAsia" w:ascii="宋体" w:hAnsi="宋体"/>
          <w:szCs w:val="21"/>
        </w:rPr>
        <w:t>按合同相关条款</w:t>
      </w:r>
      <w:r>
        <w:rPr>
          <w:rFonts w:hint="eastAsia" w:ascii="宋体" w:hAnsi="宋体"/>
          <w:szCs w:val="21"/>
          <w:lang w:val="en-US" w:eastAsia="zh-CN"/>
        </w:rPr>
        <w:t>要求我公司承担责任</w:t>
      </w:r>
      <w:r>
        <w:rPr>
          <w:rFonts w:hint="eastAsia" w:ascii="宋体" w:hAnsi="宋体"/>
          <w:szCs w:val="21"/>
        </w:rPr>
        <w:t>并上报行政主管部门，给贵单位造成损失的，我公司依法承担赔偿责任</w:t>
      </w:r>
      <w:r>
        <w:rPr>
          <w:rFonts w:hint="eastAsia" w:ascii="宋体" w:hAnsi="宋体"/>
          <w:szCs w:val="21"/>
          <w:lang w:val="en-US" w:eastAsia="zh-CN"/>
        </w:rPr>
        <w:t>或违约责任</w:t>
      </w:r>
      <w:r>
        <w:rPr>
          <w:rFonts w:hint="eastAsia" w:ascii="宋体" w:hAnsi="宋体"/>
          <w:szCs w:val="21"/>
        </w:rPr>
        <w:t>。拟派的项目经理中标后不得随意更换。</w:t>
      </w:r>
    </w:p>
    <w:p w14:paraId="6135F74F">
      <w:pPr>
        <w:snapToGrid w:val="0"/>
        <w:spacing w:line="380" w:lineRule="exact"/>
        <w:ind w:firstLine="420" w:firstLineChars="200"/>
        <w:rPr>
          <w:rFonts w:ascii="宋体" w:hAnsi="宋体"/>
          <w:szCs w:val="21"/>
        </w:rPr>
      </w:pPr>
      <w:r>
        <w:rPr>
          <w:rFonts w:hint="eastAsia" w:ascii="宋体" w:hAnsi="宋体"/>
          <w:szCs w:val="21"/>
        </w:rPr>
        <w:t>2.2拟派的项目经理未被</w:t>
      </w:r>
      <w:r>
        <w:rPr>
          <w:rFonts w:hint="eastAsia" w:ascii="宋体" w:hAnsi="宋体"/>
          <w:szCs w:val="21"/>
          <w:lang w:val="en-US" w:eastAsia="zh-CN"/>
        </w:rPr>
        <w:t>有关</w:t>
      </w:r>
      <w:r>
        <w:rPr>
          <w:rFonts w:hint="eastAsia" w:ascii="宋体" w:hAnsi="宋体"/>
          <w:szCs w:val="21"/>
        </w:rPr>
        <w:t>部门暂停</w:t>
      </w:r>
      <w:r>
        <w:rPr>
          <w:rFonts w:hint="eastAsia" w:ascii="宋体" w:hAnsi="宋体"/>
          <w:szCs w:val="21"/>
          <w:lang w:val="en-US" w:eastAsia="zh-CN"/>
        </w:rPr>
        <w:t>其</w:t>
      </w:r>
      <w:r>
        <w:rPr>
          <w:rFonts w:hint="eastAsia" w:ascii="宋体" w:hAnsi="宋体"/>
          <w:szCs w:val="21"/>
        </w:rPr>
        <w:t>在渝承揽</w:t>
      </w:r>
      <w:r>
        <w:rPr>
          <w:rFonts w:hint="eastAsia" w:ascii="宋体" w:hAnsi="宋体"/>
          <w:szCs w:val="21"/>
          <w:lang w:val="en-US" w:eastAsia="zh-CN"/>
        </w:rPr>
        <w:t>的</w:t>
      </w:r>
      <w:r>
        <w:rPr>
          <w:rFonts w:hint="eastAsia" w:ascii="宋体" w:hAnsi="宋体"/>
          <w:szCs w:val="21"/>
        </w:rPr>
        <w:t>新业务</w:t>
      </w:r>
      <w:r>
        <w:rPr>
          <w:rFonts w:hint="eastAsia" w:ascii="宋体" w:hAnsi="宋体"/>
          <w:szCs w:val="21"/>
          <w:lang w:val="en-US" w:eastAsia="zh-CN"/>
        </w:rPr>
        <w:t>中任职</w:t>
      </w:r>
      <w:r>
        <w:rPr>
          <w:rFonts w:hint="eastAsia" w:ascii="宋体" w:hAnsi="宋体"/>
          <w:szCs w:val="21"/>
        </w:rPr>
        <w:t>，若</w:t>
      </w:r>
      <w:r>
        <w:rPr>
          <w:rFonts w:hint="eastAsia" w:ascii="宋体" w:hAnsi="宋体"/>
          <w:szCs w:val="21"/>
          <w:lang w:val="en-US" w:eastAsia="zh-CN"/>
        </w:rPr>
        <w:t>其</w:t>
      </w:r>
      <w:r>
        <w:rPr>
          <w:rFonts w:hint="eastAsia" w:ascii="宋体" w:hAnsi="宋体"/>
          <w:szCs w:val="21"/>
        </w:rPr>
        <w:t>被暂停</w:t>
      </w:r>
      <w:r>
        <w:rPr>
          <w:rFonts w:hint="eastAsia" w:ascii="宋体" w:hAnsi="宋体"/>
          <w:szCs w:val="21"/>
          <w:lang w:val="en-US" w:eastAsia="zh-CN"/>
        </w:rPr>
        <w:t>在渝承揽的新业务中任职但仍参加投标，将被否决投标</w:t>
      </w:r>
      <w:r>
        <w:rPr>
          <w:rFonts w:hint="eastAsia" w:ascii="宋体" w:hAnsi="宋体"/>
          <w:szCs w:val="21"/>
        </w:rPr>
        <w:t>；已取得中标候选人资格或中标资格的，贵单位有权取消我公司中标候选人资格或中标资格；给贵单位造成损失的，我公司依法承担赔偿责任</w:t>
      </w:r>
      <w:r>
        <w:rPr>
          <w:rFonts w:hint="eastAsia" w:ascii="宋体" w:hAnsi="宋体"/>
          <w:szCs w:val="21"/>
          <w:lang w:val="en-US" w:eastAsia="zh-CN"/>
        </w:rPr>
        <w:t>或违约责任</w:t>
      </w:r>
      <w:r>
        <w:rPr>
          <w:rFonts w:hint="eastAsia" w:ascii="宋体" w:hAnsi="宋体"/>
          <w:szCs w:val="21"/>
        </w:rPr>
        <w:t>。</w:t>
      </w:r>
    </w:p>
    <w:p w14:paraId="00163378">
      <w:pPr>
        <w:snapToGrid w:val="0"/>
        <w:spacing w:line="380" w:lineRule="exact"/>
        <w:ind w:firstLine="420" w:firstLineChars="200"/>
        <w:rPr>
          <w:rFonts w:ascii="宋体" w:hAnsi="宋体"/>
          <w:szCs w:val="21"/>
        </w:rPr>
      </w:pPr>
      <w:r>
        <w:rPr>
          <w:rFonts w:hint="eastAsia" w:ascii="宋体" w:hAnsi="宋体"/>
          <w:szCs w:val="21"/>
        </w:rPr>
        <w:t>2.3为保证我公司拟派的项目经理到本项目到岗履职，我公司还承诺：</w:t>
      </w:r>
    </w:p>
    <w:p w14:paraId="0763CAA0">
      <w:pPr>
        <w:snapToGrid w:val="0"/>
        <w:spacing w:line="38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若我公司拟派本项目的项目经理有在其他项目任职的情形的（或有在其他项目中标或拟中标的情形的），应在收到中标通知书后</w:t>
      </w:r>
      <w:r>
        <w:rPr>
          <w:rFonts w:hint="eastAsia" w:ascii="宋体" w:hAnsi="宋体"/>
          <w:szCs w:val="21"/>
          <w:u w:val="single"/>
        </w:rPr>
        <w:t xml:space="preserve"> 14 </w:t>
      </w:r>
      <w:r>
        <w:rPr>
          <w:rFonts w:hint="eastAsia" w:ascii="宋体" w:hAnsi="宋体"/>
          <w:szCs w:val="21"/>
        </w:rPr>
        <w:t>日</w:t>
      </w:r>
      <w:r>
        <w:rPr>
          <w:rFonts w:hint="eastAsia" w:ascii="宋体" w:hAnsi="宋体"/>
          <w:i/>
          <w:iCs/>
          <w:szCs w:val="21"/>
          <w:lang w:val="en-US" w:eastAsia="zh-CN"/>
        </w:rPr>
        <w:t>[提示：</w:t>
      </w:r>
      <w:r>
        <w:rPr>
          <w:rFonts w:hint="eastAsia" w:ascii="宋体" w:hAnsi="宋体"/>
          <w:i/>
          <w:iCs/>
          <w:szCs w:val="21"/>
        </w:rPr>
        <w:t>7～30日</w:t>
      </w:r>
      <w:r>
        <w:rPr>
          <w:rFonts w:hint="eastAsia" w:ascii="宋体" w:hAnsi="宋体"/>
          <w:i/>
          <w:iCs/>
          <w:szCs w:val="21"/>
          <w:lang w:val="en-US" w:eastAsia="zh-CN"/>
        </w:rPr>
        <w:t>]</w:t>
      </w:r>
      <w:r>
        <w:rPr>
          <w:rFonts w:hint="eastAsia" w:ascii="宋体" w:hAnsi="宋体"/>
          <w:szCs w:val="21"/>
        </w:rPr>
        <w:t>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2338648A">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14:paraId="6D761A24">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14:paraId="7C8CE675">
      <w:pPr>
        <w:snapToGrid w:val="0"/>
        <w:spacing w:line="380" w:lineRule="exact"/>
        <w:ind w:firstLine="420" w:firstLineChars="200"/>
        <w:rPr>
          <w:rFonts w:ascii="宋体" w:hAnsi="宋体"/>
          <w:szCs w:val="21"/>
        </w:rPr>
      </w:pPr>
      <w:r>
        <w:rPr>
          <w:rFonts w:hint="eastAsia" w:ascii="宋体" w:hAnsi="宋体"/>
          <w:szCs w:val="21"/>
        </w:rPr>
        <w:t>3、我公司若中标，在签订合同之前，将按照建设行政主管部门的要求组建施工项目部，配置项目管理班子，出具任命文件。任命文件应当明确施工项目部的职责、岗位设置、人员配备，并书面通知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szCs w:val="21"/>
          <w:lang w:eastAsia="zh-CN"/>
        </w:rPr>
        <w:t>贵单位</w:t>
      </w:r>
      <w:r>
        <w:rPr>
          <w:rFonts w:hint="eastAsia" w:ascii="宋体" w:hAnsi="宋体"/>
          <w:szCs w:val="21"/>
        </w:rPr>
        <w:t>。相关岗位管理人员应持有建设行政主管部门要求的岗位证书，并提供我公司为其缴纳的养老保险证明材料。中标后不能满足该要求的，</w:t>
      </w:r>
      <w:r>
        <w:rPr>
          <w:rFonts w:hint="eastAsia" w:ascii="宋体" w:hAnsi="宋体"/>
          <w:szCs w:val="21"/>
          <w:lang w:val="en-US" w:eastAsia="zh-CN"/>
        </w:rPr>
        <w:t>贵单位可</w:t>
      </w:r>
      <w:r>
        <w:rPr>
          <w:rFonts w:hint="eastAsia" w:ascii="宋体" w:hAnsi="宋体"/>
          <w:szCs w:val="21"/>
        </w:rPr>
        <w:t>取消我公司中标资格</w:t>
      </w:r>
      <w:r>
        <w:rPr>
          <w:rFonts w:hint="eastAsia" w:asciiTheme="minorEastAsia" w:hAnsiTheme="minorEastAsia" w:eastAsiaTheme="minorEastAsia" w:cstheme="minorEastAsia"/>
          <w:color w:val="auto"/>
          <w:szCs w:val="21"/>
          <w:highlight w:val="none"/>
        </w:rPr>
        <w:t>；签订合同后不满足该要求的，</w:t>
      </w:r>
      <w:r>
        <w:rPr>
          <w:rFonts w:hint="eastAsia" w:asciiTheme="minorEastAsia" w:hAnsiTheme="minorEastAsia" w:eastAsiaTheme="minorEastAsia" w:cstheme="minorEastAsia"/>
          <w:color w:val="auto"/>
          <w:szCs w:val="21"/>
          <w:highlight w:val="none"/>
          <w:lang w:val="en-US" w:eastAsia="zh-CN"/>
        </w:rPr>
        <w:t>贵单位</w:t>
      </w:r>
      <w:r>
        <w:rPr>
          <w:rFonts w:hint="eastAsia" w:asciiTheme="minorEastAsia" w:hAnsiTheme="minorEastAsia" w:eastAsiaTheme="minorEastAsia" w:cstheme="minorEastAsia"/>
          <w:color w:val="auto"/>
          <w:szCs w:val="21"/>
          <w:highlight w:val="none"/>
        </w:rPr>
        <w:t>按合同相关条款</w:t>
      </w:r>
      <w:r>
        <w:rPr>
          <w:rFonts w:hint="eastAsia" w:asciiTheme="minorEastAsia" w:hAnsiTheme="minorEastAsia" w:eastAsiaTheme="minorEastAsia" w:cstheme="minorEastAsia"/>
          <w:color w:val="auto"/>
          <w:szCs w:val="21"/>
          <w:highlight w:val="none"/>
          <w:lang w:val="en-US" w:eastAsia="zh-CN"/>
        </w:rPr>
        <w:t>要求我公司承担责任</w:t>
      </w:r>
      <w:r>
        <w:rPr>
          <w:rFonts w:hint="eastAsia" w:asciiTheme="minorEastAsia" w:hAnsiTheme="minorEastAsia" w:eastAsiaTheme="minorEastAsia" w:cstheme="minorEastAsia"/>
          <w:color w:val="auto"/>
          <w:szCs w:val="21"/>
          <w:highlight w:val="none"/>
        </w:rPr>
        <w:t>并上报行政主管部门；</w:t>
      </w:r>
      <w:r>
        <w:rPr>
          <w:rFonts w:hint="eastAsia" w:ascii="宋体" w:hAnsi="宋体"/>
          <w:szCs w:val="21"/>
        </w:rPr>
        <w:t>给</w:t>
      </w:r>
      <w:r>
        <w:rPr>
          <w:rFonts w:hint="eastAsia" w:ascii="宋体" w:hAnsi="宋体"/>
          <w:szCs w:val="21"/>
          <w:lang w:eastAsia="zh-CN"/>
        </w:rPr>
        <w:t>贵单位</w:t>
      </w:r>
      <w:r>
        <w:rPr>
          <w:rFonts w:hint="eastAsia" w:ascii="宋体" w:hAnsi="宋体"/>
          <w:szCs w:val="21"/>
        </w:rPr>
        <w:t>造成损失的，我公司依法承担赔偿责任</w:t>
      </w:r>
      <w:r>
        <w:rPr>
          <w:rFonts w:hint="eastAsia" w:ascii="宋体" w:hAnsi="宋体"/>
          <w:szCs w:val="21"/>
          <w:lang w:val="en-US" w:eastAsia="zh-CN"/>
        </w:rPr>
        <w:t>或违约责任</w:t>
      </w:r>
      <w:r>
        <w:rPr>
          <w:rFonts w:hint="eastAsia" w:ascii="宋体" w:hAnsi="宋体"/>
          <w:szCs w:val="21"/>
        </w:rPr>
        <w:t>。</w:t>
      </w:r>
    </w:p>
    <w:p w14:paraId="4BFE47F0">
      <w:pPr>
        <w:snapToGrid w:val="0"/>
        <w:spacing w:line="380" w:lineRule="exact"/>
        <w:ind w:firstLine="420" w:firstLineChars="200"/>
        <w:rPr>
          <w:rFonts w:ascii="宋体" w:hAnsi="宋体"/>
          <w:szCs w:val="21"/>
        </w:rPr>
      </w:pPr>
      <w:r>
        <w:rPr>
          <w:rFonts w:hint="eastAsia" w:ascii="宋体" w:hAnsi="宋体"/>
          <w:szCs w:val="21"/>
        </w:rPr>
        <w:t>4、</w:t>
      </w:r>
      <w:r>
        <w:rPr>
          <w:rFonts w:hint="eastAsia" w:ascii="宋体" w:hAnsi="宋体"/>
          <w:szCs w:val="21"/>
          <w:lang w:val="en-US" w:eastAsia="zh-CN"/>
        </w:rPr>
        <w:t>本投标文件</w:t>
      </w:r>
      <w:r>
        <w:rPr>
          <w:rFonts w:hint="eastAsia" w:ascii="宋体" w:hAnsi="宋体"/>
          <w:szCs w:val="21"/>
        </w:rPr>
        <w:t>中</w:t>
      </w:r>
      <w:r>
        <w:rPr>
          <w:rFonts w:hint="eastAsia" w:ascii="宋体" w:hAnsi="宋体"/>
          <w:szCs w:val="21"/>
          <w:lang w:val="en-US" w:eastAsia="zh-CN"/>
        </w:rPr>
        <w:t>的所有内容</w:t>
      </w:r>
      <w:r>
        <w:rPr>
          <w:rFonts w:hint="eastAsia" w:ascii="宋体" w:hAnsi="宋体"/>
          <w:szCs w:val="21"/>
        </w:rPr>
        <w:t>真实有效，不存在弄虚作假情形。</w:t>
      </w:r>
      <w:r>
        <w:rPr>
          <w:rFonts w:hint="eastAsia" w:ascii="宋体" w:hAnsi="宋体"/>
          <w:szCs w:val="21"/>
          <w:u w:val="none"/>
          <w:lang w:eastAsia="zh-CN"/>
        </w:rPr>
        <w:t>贵单位</w:t>
      </w:r>
      <w:r>
        <w:rPr>
          <w:rFonts w:hint="eastAsia" w:ascii="宋体" w:hAnsi="宋体"/>
          <w:szCs w:val="21"/>
          <w:u w:val="none"/>
        </w:rPr>
        <w:t>有权对我</w:t>
      </w:r>
      <w:r>
        <w:rPr>
          <w:rFonts w:hint="eastAsia" w:ascii="宋体" w:hAnsi="宋体"/>
          <w:szCs w:val="21"/>
          <w:u w:val="none"/>
          <w:lang w:eastAsia="zh-CN"/>
        </w:rPr>
        <w:t>公</w:t>
      </w:r>
      <w:r>
        <w:rPr>
          <w:rFonts w:hint="eastAsia" w:ascii="宋体" w:hAnsi="宋体"/>
          <w:szCs w:val="21"/>
          <w:u w:val="none"/>
        </w:rPr>
        <w:t>司提供的资料进行核实，若发现弄虚作假，</w:t>
      </w:r>
      <w:r>
        <w:rPr>
          <w:rFonts w:hint="eastAsia" w:ascii="宋体" w:hAnsi="宋体"/>
          <w:szCs w:val="21"/>
          <w:u w:val="none"/>
          <w:lang w:eastAsia="zh-CN"/>
        </w:rPr>
        <w:t>按相关规定</w:t>
      </w:r>
      <w:r>
        <w:rPr>
          <w:rFonts w:hint="eastAsia" w:ascii="宋体" w:hAnsi="宋体"/>
          <w:szCs w:val="21"/>
          <w:u w:val="none"/>
        </w:rPr>
        <w:t>取消</w:t>
      </w:r>
      <w:r>
        <w:rPr>
          <w:rFonts w:hint="eastAsia" w:ascii="宋体" w:hAnsi="宋体"/>
          <w:szCs w:val="21"/>
          <w:u w:val="none"/>
          <w:lang w:eastAsia="zh-CN"/>
        </w:rPr>
        <w:t>我公司</w:t>
      </w:r>
      <w:r>
        <w:rPr>
          <w:rFonts w:hint="eastAsia" w:ascii="宋体" w:hAnsi="宋体"/>
          <w:szCs w:val="21"/>
          <w:u w:val="none"/>
        </w:rPr>
        <w:t>中标资格，并按相关法律法规报招标投标监督部门，投标保证金以现金形式交纳的不予退还，以保函形式交纳的由保函开立人支付保函担保的与投标保证金等额的款项，我</w:t>
      </w:r>
      <w:r>
        <w:rPr>
          <w:rFonts w:hint="eastAsia" w:ascii="宋体" w:hAnsi="宋体"/>
          <w:szCs w:val="21"/>
          <w:u w:val="none"/>
          <w:lang w:eastAsia="zh-CN"/>
        </w:rPr>
        <w:t>公</w:t>
      </w:r>
      <w:r>
        <w:rPr>
          <w:rFonts w:hint="eastAsia" w:ascii="宋体" w:hAnsi="宋体"/>
          <w:szCs w:val="21"/>
          <w:u w:val="none"/>
        </w:rPr>
        <w:t>司自愿承担因此造成的相关责任并赔偿相应损失</w:t>
      </w:r>
      <w:r>
        <w:rPr>
          <w:rFonts w:hint="eastAsia" w:ascii="宋体" w:hAnsi="宋体"/>
          <w:szCs w:val="21"/>
        </w:rPr>
        <w:t>。</w:t>
      </w:r>
    </w:p>
    <w:p w14:paraId="5919F5A4">
      <w:pPr>
        <w:snapToGrid w:val="0"/>
        <w:spacing w:line="380" w:lineRule="exact"/>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、我公司的投标文件符合第二章 投标人须知第 1.3.1 项的规定。</w:t>
      </w:r>
    </w:p>
    <w:p w14:paraId="05A121C7">
      <w:pPr>
        <w:snapToGrid w:val="0"/>
        <w:spacing w:line="380" w:lineRule="exact"/>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、我公司的投标文件符合第四章 合同条款及格式规定，投标文件中没有</w:t>
      </w:r>
      <w:r>
        <w:rPr>
          <w:rFonts w:hint="eastAsia" w:ascii="宋体" w:hAnsi="宋体"/>
          <w:szCs w:val="21"/>
          <w:lang w:eastAsia="zh-CN"/>
        </w:rPr>
        <w:t>贵单位</w:t>
      </w:r>
      <w:r>
        <w:rPr>
          <w:rFonts w:hint="eastAsia" w:ascii="宋体" w:hAnsi="宋体"/>
          <w:szCs w:val="21"/>
        </w:rPr>
        <w:t>不能接受的条件。</w:t>
      </w:r>
    </w:p>
    <w:p w14:paraId="4C88A79C">
      <w:pPr>
        <w:snapToGrid w:val="0"/>
        <w:spacing w:line="380" w:lineRule="exact"/>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、我公司的投标文件符合第七章 技术标准和要求（如有）。</w:t>
      </w:r>
    </w:p>
    <w:p w14:paraId="4C8BA730">
      <w:pPr>
        <w:snapToGrid w:val="0"/>
        <w:spacing w:line="380" w:lineRule="exact"/>
        <w:ind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、我公司接受招标文件中关于“不平衡报价”的相关</w:t>
      </w:r>
      <w:r>
        <w:rPr>
          <w:rFonts w:hint="eastAsia" w:ascii="宋体" w:hAnsi="宋体"/>
          <w:szCs w:val="21"/>
          <w:lang w:val="en-US" w:eastAsia="zh-CN"/>
        </w:rPr>
        <w:t>要求</w:t>
      </w:r>
      <w:r>
        <w:rPr>
          <w:rFonts w:hint="eastAsia" w:ascii="宋体" w:hAnsi="宋体"/>
          <w:szCs w:val="21"/>
        </w:rPr>
        <w:t>（如有）。</w:t>
      </w:r>
    </w:p>
    <w:p w14:paraId="61465E3E">
      <w:pPr>
        <w:snapToGrid w:val="0"/>
        <w:spacing w:line="380" w:lineRule="exact"/>
        <w:ind w:firstLine="420" w:firstLineChars="200"/>
        <w:rPr>
          <w:rFonts w:hint="eastAsia" w:ascii="宋体" w:hAnsi="宋体"/>
          <w:szCs w:val="21"/>
        </w:rPr>
      </w:pPr>
      <w:r>
        <w:rPr>
          <w:rFonts w:hint="eastAsia" w:ascii="宋体" w:hAnsi="宋体"/>
          <w:szCs w:val="21"/>
          <w:lang w:val="en-US" w:eastAsia="zh-CN"/>
        </w:rPr>
        <w:t>9</w:t>
      </w:r>
      <w:r>
        <w:rPr>
          <w:rFonts w:hint="eastAsia" w:ascii="宋体" w:hAnsi="宋体"/>
          <w:szCs w:val="21"/>
        </w:rPr>
        <w:t>、我公司接受招标文件中关于“不允许负数报价”的相关要求（如有）。</w:t>
      </w:r>
    </w:p>
    <w:p w14:paraId="1F4E9887">
      <w:pPr>
        <w:snapToGrid w:val="0"/>
        <w:spacing w:line="380" w:lineRule="exact"/>
        <w:ind w:firstLine="420" w:firstLineChars="200"/>
        <w:rPr>
          <w:rFonts w:hint="eastAsia" w:ascii="宋体" w:hAnsi="宋体"/>
          <w:szCs w:val="21"/>
        </w:rPr>
      </w:pPr>
      <w:r>
        <w:rPr>
          <w:rFonts w:hint="eastAsia" w:ascii="宋体" w:hAnsi="宋体"/>
          <w:szCs w:val="21"/>
          <w:lang w:val="en-US" w:eastAsia="zh-CN"/>
        </w:rPr>
        <w:t>10</w:t>
      </w:r>
      <w:r>
        <w:rPr>
          <w:rFonts w:hint="eastAsia" w:ascii="宋体" w:hAnsi="宋体"/>
          <w:szCs w:val="21"/>
        </w:rPr>
        <w:t>、我公司接受招标文件中关于“不允许</w:t>
      </w:r>
      <w:r>
        <w:rPr>
          <w:rFonts w:hint="eastAsia" w:ascii="宋体" w:hAnsi="宋体"/>
          <w:szCs w:val="21"/>
          <w:lang w:val="en-US" w:eastAsia="zh-CN"/>
        </w:rPr>
        <w:t>零</w:t>
      </w:r>
      <w:r>
        <w:rPr>
          <w:rFonts w:hint="eastAsia" w:ascii="宋体" w:hAnsi="宋体"/>
          <w:szCs w:val="21"/>
        </w:rPr>
        <w:t>报价”的相关要求（如有）。</w:t>
      </w:r>
    </w:p>
    <w:p w14:paraId="041DEAE4">
      <w:pPr>
        <w:snapToGrid w:val="0"/>
        <w:spacing w:line="380" w:lineRule="exact"/>
        <w:ind w:firstLine="420" w:firstLineChars="200"/>
        <w:rPr>
          <w:rFonts w:hint="eastAsia" w:ascii="宋体" w:hAnsi="宋体" w:eastAsia="宋体"/>
          <w:szCs w:val="21"/>
          <w:lang w:eastAsia="zh-CN"/>
        </w:rPr>
      </w:pPr>
      <w:r>
        <w:rPr>
          <w:rFonts w:hint="eastAsia" w:ascii="宋体" w:hAnsi="宋体" w:cs="宋体"/>
          <w:lang w:val="en-US" w:eastAsia="zh-CN"/>
        </w:rPr>
        <w:t>11</w:t>
      </w:r>
      <w:r>
        <w:rPr>
          <w:rFonts w:hint="eastAsia" w:ascii="宋体" w:hAnsi="宋体" w:cs="宋体"/>
        </w:rPr>
        <w:t>、</w:t>
      </w:r>
      <w:r>
        <w:rPr>
          <w:rFonts w:hint="eastAsia" w:ascii="宋体" w:hAnsi="宋体" w:cs="宋体"/>
          <w:szCs w:val="21"/>
        </w:rPr>
        <w:t>其他承诺事项：</w:t>
      </w:r>
      <w:r>
        <w:rPr>
          <w:rFonts w:hint="eastAsia" w:ascii="宋体" w:hAnsi="宋体" w:cs="宋体"/>
          <w:szCs w:val="21"/>
          <w:u w:val="single"/>
        </w:rPr>
        <w:t xml:space="preserve"> 我公司</w:t>
      </w:r>
      <w:r>
        <w:rPr>
          <w:rFonts w:hint="eastAsia" w:ascii="宋体" w:hAnsi="宋体" w:cs="宋体"/>
          <w:szCs w:val="21"/>
          <w:u w:val="single"/>
          <w:lang w:val="en-US" w:eastAsia="zh-CN"/>
        </w:rPr>
        <w:t>自愿承诺：在中标后，若招标人需对我公司提供的业绩真实性进行核实，我公司自愿提供该业绩完整的合同协议书原件、增值税发票、工程款收款凭证（收款比例不低于合同总金额的80%）作为相关证明材料</w:t>
      </w:r>
      <w:r>
        <w:rPr>
          <w:rFonts w:hint="eastAsia" w:ascii="宋体" w:hAnsi="宋体" w:cs="宋体"/>
          <w:szCs w:val="21"/>
          <w:u w:val="single"/>
        </w:rPr>
        <w:t xml:space="preserve"> </w:t>
      </w:r>
      <w:r>
        <w:rPr>
          <w:rFonts w:hint="eastAsia" w:ascii="宋体" w:hAnsi="宋体" w:cs="宋体"/>
          <w:szCs w:val="21"/>
          <w:u w:val="none"/>
          <w:lang w:eastAsia="zh-CN"/>
        </w:rPr>
        <w:t>。</w:t>
      </w:r>
    </w:p>
    <w:p w14:paraId="24A7B81B">
      <w:pPr>
        <w:snapToGrid w:val="0"/>
        <w:spacing w:line="380" w:lineRule="exact"/>
        <w:ind w:firstLine="420" w:firstLineChars="200"/>
        <w:rPr>
          <w:rFonts w:ascii="宋体" w:hAnsi="宋体"/>
          <w:szCs w:val="21"/>
        </w:rPr>
      </w:pPr>
    </w:p>
    <w:p w14:paraId="132B858E">
      <w:pPr>
        <w:tabs>
          <w:tab w:val="left" w:pos="4200"/>
          <w:tab w:val="left" w:pos="462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74607763">
      <w:pPr>
        <w:tabs>
          <w:tab w:val="left" w:pos="630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4EC8C4D0">
      <w:pPr>
        <w:snapToGrid w:val="0"/>
        <w:spacing w:line="380" w:lineRule="exact"/>
        <w:ind w:firstLine="420" w:firstLineChars="200"/>
        <w:jc w:val="right"/>
        <w:rPr>
          <w:rFonts w:ascii="宋体" w:hAnsi="宋体"/>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057C7475"/>
    <w:p w14:paraId="0D45FADA">
      <w:r>
        <w:br w:type="page"/>
      </w:r>
    </w:p>
    <w:p w14:paraId="221226E1">
      <w:pPr>
        <w:pStyle w:val="5"/>
        <w:spacing w:before="0" w:line="360" w:lineRule="auto"/>
        <w:jc w:val="center"/>
        <w:rPr>
          <w:rFonts w:ascii="宋体" w:hAnsi="宋体"/>
        </w:rPr>
      </w:pPr>
      <w:bookmarkStart w:id="2134" w:name="_Toc23584"/>
      <w:bookmarkStart w:id="2135" w:name="_Toc6320"/>
      <w:r>
        <w:rPr>
          <w:rFonts w:hint="eastAsia" w:ascii="宋体" w:hAnsi="宋体"/>
          <w:b w:val="0"/>
        </w:rPr>
        <w:t>（</w:t>
      </w:r>
      <w:r>
        <w:rPr>
          <w:rFonts w:hint="eastAsia" w:ascii="宋体" w:hAnsi="宋体"/>
          <w:b w:val="0"/>
          <w:lang w:val="en-US" w:eastAsia="zh-CN"/>
        </w:rPr>
        <w:t>四</w:t>
      </w:r>
      <w:r>
        <w:rPr>
          <w:rFonts w:hint="eastAsia" w:ascii="宋体" w:hAnsi="宋体"/>
          <w:b w:val="0"/>
        </w:rPr>
        <w:t>）其他资料</w:t>
      </w:r>
      <w:bookmarkEnd w:id="2134"/>
      <w:bookmarkEnd w:id="2135"/>
    </w:p>
    <w:bookmarkEnd w:id="667"/>
    <w:bookmarkEnd w:id="668"/>
    <w:bookmarkEnd w:id="669"/>
    <w:p w14:paraId="7EA87287">
      <w:pPr>
        <w:spacing w:line="360" w:lineRule="auto"/>
        <w:ind w:firstLine="420" w:firstLineChars="200"/>
        <w:rPr>
          <w:rFonts w:ascii="宋体" w:hAnsi="宋体"/>
          <w:szCs w:val="21"/>
        </w:rPr>
      </w:pPr>
      <w:r>
        <w:rPr>
          <w:rFonts w:hint="eastAsia" w:ascii="宋体" w:hAnsi="宋体"/>
          <w:szCs w:val="21"/>
        </w:rPr>
        <w:t>1. 投标保证金</w:t>
      </w:r>
    </w:p>
    <w:p w14:paraId="77F00A5F">
      <w:pPr>
        <w:spacing w:line="360" w:lineRule="auto"/>
        <w:ind w:firstLine="420" w:firstLineChars="200"/>
        <w:rPr>
          <w:rFonts w:hint="eastAsia" w:ascii="宋体" w:hAnsi="宋体"/>
          <w:i w:val="0"/>
          <w:iCs/>
          <w:szCs w:val="21"/>
        </w:rPr>
      </w:pPr>
      <w:r>
        <w:rPr>
          <w:rFonts w:hint="eastAsia" w:ascii="宋体" w:hAnsi="宋体"/>
          <w:i w:val="0"/>
          <w:iCs/>
          <w:szCs w:val="21"/>
          <w:lang w:eastAsia="zh-CN"/>
        </w:rPr>
        <w:t>（</w:t>
      </w:r>
      <w:r>
        <w:rPr>
          <w:rFonts w:hint="eastAsia" w:ascii="宋体" w:hAnsi="宋体"/>
          <w:i w:val="0"/>
          <w:iCs/>
          <w:szCs w:val="21"/>
          <w:lang w:val="en-US" w:eastAsia="zh-CN"/>
        </w:rPr>
        <w:t>注</w:t>
      </w:r>
      <w:r>
        <w:rPr>
          <w:rFonts w:hint="eastAsia" w:ascii="宋体" w:hAnsi="宋体"/>
          <w:i w:val="0"/>
          <w:iCs/>
          <w:szCs w:val="21"/>
        </w:rPr>
        <w:t>：以转账支票或电汇形式交纳投标保证金的提供以下资料</w:t>
      </w:r>
      <w:r>
        <w:rPr>
          <w:rFonts w:hint="eastAsia" w:ascii="宋体" w:hAnsi="宋体"/>
          <w:i w:val="0"/>
          <w:iCs/>
          <w:szCs w:val="21"/>
          <w:lang w:eastAsia="zh-CN"/>
        </w:rPr>
        <w:t>）</w:t>
      </w:r>
    </w:p>
    <w:p w14:paraId="30ED39B7">
      <w:pPr>
        <w:spacing w:line="360" w:lineRule="auto"/>
        <w:ind w:firstLine="420" w:firstLineChars="200"/>
        <w:rPr>
          <w:rFonts w:ascii="宋体" w:hAnsi="宋体"/>
          <w:szCs w:val="21"/>
        </w:rPr>
      </w:pPr>
      <w:r>
        <w:rPr>
          <w:rFonts w:hint="eastAsia" w:ascii="宋体" w:hAnsi="宋体"/>
          <w:szCs w:val="21"/>
        </w:rPr>
        <w:t>（1）企业基本账户开户证明文件。</w:t>
      </w:r>
    </w:p>
    <w:p w14:paraId="7BFAC340">
      <w:pPr>
        <w:rPr>
          <w:rFonts w:ascii="宋体" w:hAnsi="宋体"/>
          <w:i/>
          <w:szCs w:val="21"/>
        </w:rPr>
      </w:pPr>
      <w:r>
        <w:rPr>
          <w:rFonts w:hint="eastAsia" w:ascii="宋体" w:hAnsi="宋体"/>
          <w:i/>
          <w:szCs w:val="21"/>
        </w:rPr>
        <w:br w:type="page"/>
      </w:r>
    </w:p>
    <w:p w14:paraId="06868A28">
      <w:pPr>
        <w:spacing w:line="360" w:lineRule="auto"/>
        <w:ind w:firstLine="420" w:firstLineChars="200"/>
        <w:rPr>
          <w:rFonts w:hint="eastAsia" w:ascii="宋体" w:hAnsi="宋体" w:eastAsia="宋体"/>
          <w:i w:val="0"/>
          <w:iCs/>
          <w:szCs w:val="21"/>
          <w:lang w:eastAsia="zh-CN"/>
        </w:rPr>
      </w:pPr>
      <w:r>
        <w:rPr>
          <w:rFonts w:hint="eastAsia" w:ascii="宋体" w:hAnsi="宋体"/>
          <w:i w:val="0"/>
          <w:iCs/>
          <w:szCs w:val="21"/>
          <w:lang w:eastAsia="zh-CN"/>
        </w:rPr>
        <w:t>（</w:t>
      </w:r>
      <w:r>
        <w:rPr>
          <w:rFonts w:hint="eastAsia" w:ascii="宋体" w:hAnsi="宋体"/>
          <w:i w:val="0"/>
          <w:iCs/>
          <w:szCs w:val="21"/>
          <w:lang w:val="en-US" w:eastAsia="zh-CN"/>
        </w:rPr>
        <w:t>注</w:t>
      </w:r>
      <w:r>
        <w:rPr>
          <w:rFonts w:hint="eastAsia" w:ascii="宋体" w:hAnsi="宋体"/>
          <w:i w:val="0"/>
          <w:iCs/>
          <w:szCs w:val="21"/>
        </w:rPr>
        <w:t>：以纸质投标保函形式交纳投标保证金的提供以下资料</w:t>
      </w:r>
      <w:r>
        <w:rPr>
          <w:rFonts w:hint="eastAsia" w:ascii="宋体" w:hAnsi="宋体"/>
          <w:i w:val="0"/>
          <w:iCs/>
          <w:szCs w:val="21"/>
          <w:lang w:eastAsia="zh-CN"/>
        </w:rPr>
        <w:t>）</w:t>
      </w:r>
    </w:p>
    <w:p w14:paraId="45AEEBFF">
      <w:pPr>
        <w:spacing w:line="360" w:lineRule="auto"/>
        <w:ind w:firstLine="420" w:firstLineChars="200"/>
        <w:rPr>
          <w:rFonts w:ascii="宋体" w:hAnsi="宋体"/>
          <w:szCs w:val="21"/>
        </w:rPr>
      </w:pPr>
      <w:r>
        <w:rPr>
          <w:rFonts w:hint="eastAsia" w:ascii="宋体" w:hAnsi="宋体"/>
          <w:szCs w:val="21"/>
        </w:rPr>
        <w:t>（1）纸质</w:t>
      </w:r>
      <w:r>
        <w:rPr>
          <w:rFonts w:hint="eastAsia" w:ascii="宋体" w:hAnsi="宋体"/>
          <w:szCs w:val="21"/>
          <w:lang w:val="en-US" w:eastAsia="zh-CN"/>
        </w:rPr>
        <w:t>投标</w:t>
      </w:r>
      <w:r>
        <w:rPr>
          <w:rFonts w:hint="eastAsia" w:ascii="宋体" w:hAnsi="宋体"/>
          <w:szCs w:val="21"/>
        </w:rPr>
        <w:t>保函</w:t>
      </w:r>
      <w:r>
        <w:rPr>
          <w:rFonts w:hint="eastAsia" w:ascii="宋体" w:hAnsi="宋体"/>
          <w:szCs w:val="21"/>
          <w:lang w:eastAsia="zh-CN"/>
        </w:rPr>
        <w:t>（</w:t>
      </w:r>
      <w:r>
        <w:rPr>
          <w:rFonts w:hint="eastAsia" w:ascii="宋体" w:hAnsi="宋体"/>
          <w:szCs w:val="21"/>
          <w:lang w:val="en-US" w:eastAsia="zh-CN"/>
        </w:rPr>
        <w:t>如有</w:t>
      </w:r>
      <w:r>
        <w:rPr>
          <w:rFonts w:hint="eastAsia" w:ascii="宋体" w:hAnsi="宋体"/>
          <w:szCs w:val="21"/>
          <w:lang w:eastAsia="zh-CN"/>
        </w:rPr>
        <w:t>）</w:t>
      </w:r>
    </w:p>
    <w:p w14:paraId="088D6A27">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投标保函示范文本</w:t>
      </w:r>
    </w:p>
    <w:p w14:paraId="6501B0E7">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40C4B68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u w:val="none"/>
        </w:rPr>
      </w:pPr>
      <w:r>
        <w:rPr>
          <w:rFonts w:hint="eastAsia" w:asciiTheme="minorEastAsia" w:hAnsiTheme="minorEastAsia" w:eastAsiaTheme="minorEastAsia" w:cstheme="minorEastAsia"/>
          <w:color w:val="auto"/>
          <w:szCs w:val="21"/>
          <w:u w:val="none"/>
        </w:rPr>
        <w:t>申请人：</w:t>
      </w:r>
      <w:r>
        <w:rPr>
          <w:rFonts w:hint="eastAsia" w:ascii="宋体" w:hAnsi="宋体" w:cs="宋体"/>
          <w:szCs w:val="21"/>
          <w:u w:val="single"/>
        </w:rPr>
        <w:t xml:space="preserve">                                          </w:t>
      </w:r>
    </w:p>
    <w:p w14:paraId="76B0464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u w:val="none"/>
        </w:rPr>
      </w:pPr>
      <w:r>
        <w:rPr>
          <w:rFonts w:hint="eastAsia" w:asciiTheme="minorEastAsia" w:hAnsiTheme="minorEastAsia" w:eastAsiaTheme="minorEastAsia" w:cstheme="minorEastAsia"/>
          <w:color w:val="auto"/>
          <w:szCs w:val="21"/>
          <w:u w:val="none"/>
        </w:rPr>
        <w:t>地  址：</w:t>
      </w:r>
      <w:r>
        <w:rPr>
          <w:rFonts w:hint="eastAsia" w:ascii="宋体" w:hAnsi="宋体" w:cs="宋体"/>
          <w:szCs w:val="21"/>
          <w:u w:val="single"/>
        </w:rPr>
        <w:t xml:space="preserve">                                          </w:t>
      </w:r>
    </w:p>
    <w:p w14:paraId="3A504F8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u w:val="none"/>
        </w:rPr>
      </w:pPr>
      <w:r>
        <w:rPr>
          <w:rFonts w:hint="eastAsia" w:asciiTheme="minorEastAsia" w:hAnsiTheme="minorEastAsia" w:eastAsiaTheme="minorEastAsia" w:cstheme="minorEastAsia"/>
          <w:color w:val="auto"/>
          <w:szCs w:val="21"/>
          <w:u w:val="none"/>
        </w:rPr>
        <w:t>受益人：</w:t>
      </w:r>
      <w:r>
        <w:rPr>
          <w:rFonts w:hint="eastAsia" w:ascii="宋体" w:hAnsi="宋体" w:cs="宋体"/>
          <w:szCs w:val="21"/>
          <w:u w:val="single"/>
        </w:rPr>
        <w:t xml:space="preserve">                                          </w:t>
      </w:r>
    </w:p>
    <w:p w14:paraId="26AE07D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u w:val="none"/>
        </w:rPr>
      </w:pPr>
      <w:r>
        <w:rPr>
          <w:rFonts w:hint="eastAsia" w:asciiTheme="minorEastAsia" w:hAnsiTheme="minorEastAsia" w:eastAsiaTheme="minorEastAsia" w:cstheme="minorEastAsia"/>
          <w:color w:val="auto"/>
          <w:szCs w:val="21"/>
          <w:u w:val="none"/>
        </w:rPr>
        <w:t>地  址：</w:t>
      </w:r>
      <w:r>
        <w:rPr>
          <w:rFonts w:hint="eastAsia" w:ascii="宋体" w:hAnsi="宋体" w:cs="宋体"/>
          <w:szCs w:val="21"/>
          <w:u w:val="single"/>
        </w:rPr>
        <w:t xml:space="preserve">                                          </w:t>
      </w:r>
    </w:p>
    <w:p w14:paraId="7AE782E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u w:val="none"/>
        </w:rPr>
      </w:pPr>
      <w:r>
        <w:rPr>
          <w:rFonts w:hint="eastAsia" w:asciiTheme="minorEastAsia" w:hAnsiTheme="minorEastAsia" w:eastAsiaTheme="minorEastAsia" w:cstheme="minorEastAsia"/>
          <w:color w:val="auto"/>
          <w:szCs w:val="21"/>
          <w:u w:val="none"/>
        </w:rPr>
        <w:t>开立人：</w:t>
      </w:r>
      <w:r>
        <w:rPr>
          <w:rFonts w:hint="eastAsia" w:ascii="宋体" w:hAnsi="宋体" w:cs="宋体"/>
          <w:szCs w:val="21"/>
          <w:u w:val="single"/>
        </w:rPr>
        <w:t xml:space="preserve">                                          </w:t>
      </w:r>
    </w:p>
    <w:p w14:paraId="290FC84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u w:val="none"/>
        </w:rPr>
        <w:t>地  址：</w:t>
      </w:r>
      <w:r>
        <w:rPr>
          <w:rFonts w:hint="eastAsia" w:ascii="宋体" w:hAnsi="宋体" w:cs="宋体"/>
          <w:szCs w:val="21"/>
          <w:u w:val="single"/>
        </w:rPr>
        <w:t xml:space="preserve">                                          </w:t>
      </w:r>
    </w:p>
    <w:p w14:paraId="4778266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（受益人名称）</w:t>
      </w:r>
      <w:r>
        <w:rPr>
          <w:rFonts w:hint="eastAsia" w:asciiTheme="minorEastAsia" w:hAnsiTheme="minorEastAsia" w:eastAsiaTheme="minorEastAsia" w:cstheme="minorEastAsia"/>
          <w:color w:val="auto"/>
          <w:kern w:val="2"/>
          <w:sz w:val="21"/>
          <w:szCs w:val="21"/>
          <w:lang w:eastAsia="zh-CN"/>
        </w:rPr>
        <w:t>：</w:t>
      </w:r>
    </w:p>
    <w:p w14:paraId="64540F0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Theme="minorEastAsia" w:hAnsiTheme="minorEastAsia" w:eastAsiaTheme="minorEastAsia" w:cstheme="minorEastAsia"/>
          <w:color w:val="auto"/>
          <w:spacing w:val="-6"/>
          <w:kern w:val="0"/>
          <w:sz w:val="21"/>
          <w:szCs w:val="21"/>
          <w:lang w:val="en-US" w:eastAsia="zh-CN" w:bidi="ar-SA"/>
        </w:rPr>
      </w:pPr>
      <w:r>
        <w:rPr>
          <w:rFonts w:hint="eastAsia" w:asciiTheme="minorEastAsia" w:hAnsiTheme="minorEastAsia" w:eastAsiaTheme="minorEastAsia" w:cstheme="minorEastAsia"/>
          <w:color w:val="auto"/>
          <w:spacing w:val="-6"/>
          <w:kern w:val="0"/>
          <w:sz w:val="21"/>
          <w:szCs w:val="21"/>
          <w:lang w:val="en-US" w:eastAsia="zh-CN" w:bidi="ar-SA"/>
        </w:rPr>
        <w:t>我方（即“开立人”）已获得通知，本保函申请人（即“投标人”）已响应贵方于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年</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日</w:t>
      </w:r>
      <w:r>
        <w:rPr>
          <w:rFonts w:hint="eastAsia" w:asciiTheme="minorEastAsia" w:hAnsiTheme="minorEastAsia" w:eastAsiaTheme="minorEastAsia" w:cstheme="minorEastAsia"/>
          <w:color w:val="auto"/>
          <w:spacing w:val="-6"/>
          <w:kern w:val="0"/>
          <w:sz w:val="21"/>
          <w:szCs w:val="21"/>
          <w:lang w:val="en-US" w:eastAsia="zh-CN" w:bidi="ar-SA"/>
        </w:rPr>
        <w:t>就</w:t>
      </w:r>
      <w:r>
        <w:rPr>
          <w:rFonts w:hint="eastAsia" w:asciiTheme="minorEastAsia" w:hAnsiTheme="minorEastAsia" w:eastAsiaTheme="minorEastAsia" w:cstheme="minorEastAsia"/>
          <w:color w:val="auto"/>
          <w:spacing w:val="-6"/>
          <w:kern w:val="0"/>
          <w:sz w:val="21"/>
          <w:szCs w:val="21"/>
          <w:u w:val="single"/>
          <w:lang w:val="en-US" w:eastAsia="zh-CN" w:bidi="ar-SA"/>
        </w:rPr>
        <w:t xml:space="preserve">                   </w:t>
      </w:r>
      <w:r>
        <w:rPr>
          <w:rFonts w:hint="eastAsia" w:asciiTheme="minorEastAsia" w:hAnsiTheme="minorEastAsia" w:eastAsiaTheme="minorEastAsia" w:cstheme="minorEastAsia"/>
          <w:color w:val="auto"/>
          <w:spacing w:val="-6"/>
          <w:kern w:val="0"/>
          <w:sz w:val="21"/>
          <w:szCs w:val="21"/>
          <w:lang w:val="en-US" w:eastAsia="zh-CN" w:bidi="ar-SA"/>
        </w:rPr>
        <w:t>（以下简称“本工程”）发出的招标文件以及后续发布的答疑补遗文件，并拟向招标人（即“受益人”）提交投标文件（即“基础交易”）。</w:t>
      </w:r>
    </w:p>
    <w:p w14:paraId="5B52072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Theme="minorEastAsia" w:hAnsiTheme="minorEastAsia" w:eastAsiaTheme="minorEastAsia" w:cstheme="minorEastAsia"/>
          <w:color w:val="auto"/>
          <w:kern w:val="0"/>
          <w:sz w:val="21"/>
          <w:szCs w:val="21"/>
          <w:u w:val="single"/>
          <w:lang w:val="en-US" w:eastAsia="zh-CN" w:bidi="ar-SA"/>
        </w:rPr>
        <w:t xml:space="preserve">    </w:t>
      </w:r>
      <w:r>
        <w:rPr>
          <w:rFonts w:hint="eastAsia" w:asciiTheme="minorEastAsia" w:hAnsiTheme="minorEastAsia" w:eastAsiaTheme="minorEastAsia" w:cstheme="minorEastAsia"/>
          <w:color w:val="auto"/>
          <w:kern w:val="0"/>
          <w:sz w:val="21"/>
          <w:szCs w:val="21"/>
          <w:lang w:val="en-US" w:eastAsia="zh-CN" w:bidi="ar-SA"/>
        </w:rPr>
        <w:t>元（¥</w:t>
      </w:r>
      <w:r>
        <w:rPr>
          <w:rFonts w:hint="eastAsia" w:asciiTheme="minorEastAsia" w:hAnsiTheme="minorEastAsia" w:eastAsiaTheme="minorEastAsia" w:cstheme="minorEastAsia"/>
          <w:color w:val="auto"/>
          <w:kern w:val="0"/>
          <w:sz w:val="21"/>
          <w:szCs w:val="21"/>
          <w:u w:val="single"/>
          <w:lang w:val="en-US" w:eastAsia="zh-CN" w:bidi="ar-SA"/>
        </w:rPr>
        <w:t xml:space="preserve">        </w:t>
      </w:r>
      <w:r>
        <w:rPr>
          <w:rFonts w:hint="eastAsia" w:asciiTheme="minorEastAsia" w:hAnsiTheme="minorEastAsia" w:eastAsiaTheme="minorEastAsia" w:cstheme="minorEastAsia"/>
          <w:color w:val="auto"/>
          <w:kern w:val="0"/>
          <w:sz w:val="21"/>
          <w:szCs w:val="21"/>
          <w:lang w:val="en-US" w:eastAsia="zh-CN" w:bidi="ar-SA"/>
        </w:rPr>
        <w:t>）。</w:t>
      </w:r>
    </w:p>
    <w:p w14:paraId="4A4972E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二、我方在投标人发生以下情形时承担保证担保责任：</w:t>
      </w:r>
    </w:p>
    <w:p w14:paraId="68C5D130">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xml:space="preserve">（1）投标人在开标后至投标有效期满之前撤销投标的； </w:t>
      </w:r>
    </w:p>
    <w:p w14:paraId="741A022E">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xml:space="preserve">（2）投标人在收到中标通知后，不能或拒绝在中标通知书规定的时间内与贵方签订合同； </w:t>
      </w:r>
    </w:p>
    <w:p w14:paraId="2FD70FBE">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（3）投标人在与贵方签订合同前，未在规定的时间内提交符合招标文件要求的履约担保；</w:t>
      </w:r>
    </w:p>
    <w:p w14:paraId="34451A87">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（4）投标人违反招标文件规定的其他情形。</w:t>
      </w:r>
    </w:p>
    <w:p w14:paraId="6DD7A33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三、本保函为不可撤销、不可转让的见索即付保函。本保函有效期自开立之日起至投标有效期届满之日后的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日</w:t>
      </w:r>
      <w:r>
        <w:rPr>
          <w:rFonts w:hint="eastAsia" w:asciiTheme="minorEastAsia" w:hAnsiTheme="minorEastAsia" w:eastAsiaTheme="minorEastAsia" w:cstheme="minorEastAsia"/>
          <w:color w:val="auto"/>
          <w:kern w:val="2"/>
          <w:sz w:val="21"/>
          <w:szCs w:val="21"/>
          <w:lang w:eastAsia="zh-CN"/>
        </w:rPr>
        <w:t>止（提示：建议</w:t>
      </w:r>
      <w:r>
        <w:rPr>
          <w:rFonts w:hint="eastAsia" w:asciiTheme="minorEastAsia" w:hAnsiTheme="minorEastAsia" w:eastAsiaTheme="minorEastAsia" w:cstheme="minorEastAsia"/>
          <w:color w:val="auto"/>
          <w:kern w:val="2"/>
          <w:sz w:val="21"/>
          <w:szCs w:val="21"/>
          <w:lang w:val="en-US" w:eastAsia="zh-CN"/>
        </w:rPr>
        <w:t>30日</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。投标有效期延长的，本保函有效期相应顺延，最迟不超过</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年</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日</w:t>
      </w:r>
      <w:r>
        <w:rPr>
          <w:rFonts w:hint="eastAsia" w:asciiTheme="minorEastAsia" w:hAnsiTheme="minorEastAsia" w:eastAsiaTheme="minorEastAsia" w:cstheme="minorEastAsia"/>
          <w:color w:val="auto"/>
          <w:kern w:val="2"/>
          <w:sz w:val="21"/>
          <w:szCs w:val="21"/>
          <w:lang w:eastAsia="zh-CN"/>
        </w:rPr>
        <w:t>（提示：建议按保函有效期不超过</w:t>
      </w:r>
      <w:r>
        <w:rPr>
          <w:rFonts w:hint="eastAsia" w:asciiTheme="minorEastAsia" w:hAnsiTheme="minorEastAsia" w:eastAsiaTheme="minorEastAsia" w:cstheme="minorEastAsia"/>
          <w:color w:val="auto"/>
          <w:kern w:val="2"/>
          <w:sz w:val="21"/>
          <w:szCs w:val="21"/>
          <w:lang w:val="en-US" w:eastAsia="zh-CN"/>
        </w:rPr>
        <w:t>270日考虑</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w:t>
      </w:r>
    </w:p>
    <w:p w14:paraId="1AA4DA8D">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四、</w:t>
      </w:r>
      <w:r>
        <w:rPr>
          <w:rFonts w:hint="eastAsia" w:asciiTheme="minorEastAsia" w:hAnsiTheme="minorEastAsia" w:eastAsiaTheme="minorEastAsia" w:cstheme="minorEastAsia"/>
          <w:color w:val="auto"/>
          <w:kern w:val="2"/>
          <w:sz w:val="21"/>
          <w:szCs w:val="21"/>
        </w:rPr>
        <w:t>我方承诺，在收到受益人发来的书面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个工作</w:t>
      </w:r>
      <w:r>
        <w:rPr>
          <w:rFonts w:hint="eastAsia" w:asciiTheme="minorEastAsia" w:hAnsiTheme="minorEastAsia" w:eastAsiaTheme="minorEastAsia" w:cstheme="minorEastAsia"/>
          <w:color w:val="auto"/>
          <w:kern w:val="2"/>
          <w:sz w:val="21"/>
          <w:szCs w:val="21"/>
        </w:rPr>
        <w:t>日</w:t>
      </w:r>
      <w:r>
        <w:rPr>
          <w:rFonts w:hint="eastAsia" w:asciiTheme="minorEastAsia" w:hAnsiTheme="minorEastAsia" w:eastAsiaTheme="minorEastAsia" w:cstheme="minorEastAsia"/>
          <w:color w:val="auto"/>
          <w:kern w:val="2"/>
          <w:sz w:val="21"/>
          <w:szCs w:val="21"/>
          <w:lang w:eastAsia="zh-CN"/>
        </w:rPr>
        <w:t>（提示：建议</w:t>
      </w:r>
      <w:r>
        <w:rPr>
          <w:rFonts w:hint="eastAsia" w:asciiTheme="minorEastAsia" w:hAnsiTheme="minorEastAsia" w:eastAsiaTheme="minorEastAsia" w:cstheme="minorEastAsia"/>
          <w:color w:val="auto"/>
          <w:kern w:val="2"/>
          <w:sz w:val="21"/>
          <w:szCs w:val="21"/>
          <w:lang w:val="en-US" w:eastAsia="zh-CN"/>
        </w:rPr>
        <w:t>10—15个工作日</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内无条件支付，前述书面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通知即为付款要求之单据，且应满足以下要求：</w:t>
      </w:r>
    </w:p>
    <w:p w14:paraId="238BECC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通知到达的日期在本保函的有效期内；</w:t>
      </w:r>
    </w:p>
    <w:p w14:paraId="08D1B89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（2）载明要求支付的金额；</w:t>
      </w:r>
    </w:p>
    <w:p w14:paraId="53EAED6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（3）载明申请人违反招投标文件规定的义务内容和具体条款；</w:t>
      </w:r>
    </w:p>
    <w:p w14:paraId="764BB23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（4）声明不存在招标文件规定免除申请人或我方支付责任的情形；</w:t>
      </w:r>
    </w:p>
    <w:p w14:paraId="63B9A79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spacing w:val="0"/>
          <w:kern w:val="2"/>
          <w:sz w:val="21"/>
          <w:szCs w:val="21"/>
          <w:lang w:eastAsia="zh-CN"/>
        </w:rPr>
        <w:t>（</w:t>
      </w:r>
      <w:r>
        <w:rPr>
          <w:rFonts w:hint="eastAsia" w:asciiTheme="minorEastAsia" w:hAnsiTheme="minorEastAsia" w:eastAsiaTheme="minorEastAsia" w:cstheme="minorEastAsia"/>
          <w:color w:val="auto"/>
          <w:spacing w:val="0"/>
          <w:kern w:val="2"/>
          <w:sz w:val="21"/>
          <w:szCs w:val="21"/>
          <w:lang w:val="en-US" w:eastAsia="zh-CN"/>
        </w:rPr>
        <w:t>5</w:t>
      </w:r>
      <w:r>
        <w:rPr>
          <w:rFonts w:hint="eastAsia" w:asciiTheme="minorEastAsia" w:hAnsiTheme="minorEastAsia" w:eastAsiaTheme="minorEastAsia" w:cstheme="minorEastAsia"/>
          <w:color w:val="auto"/>
          <w:spacing w:val="0"/>
          <w:kern w:val="2"/>
          <w:sz w:val="21"/>
          <w:szCs w:val="21"/>
          <w:lang w:eastAsia="zh-CN"/>
        </w:rPr>
        <w:t>）索赔</w:t>
      </w:r>
      <w:r>
        <w:rPr>
          <w:rFonts w:hint="eastAsia" w:asciiTheme="minorEastAsia" w:hAnsiTheme="minorEastAsia" w:eastAsiaTheme="minorEastAsia" w:cstheme="minorEastAsia"/>
          <w:color w:val="auto"/>
          <w:spacing w:val="0"/>
          <w:kern w:val="2"/>
          <w:sz w:val="21"/>
          <w:szCs w:val="21"/>
        </w:rPr>
        <w:t>通知应在本保函有效期内到达的地址是：</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w:t>
      </w:r>
    </w:p>
    <w:p w14:paraId="72785CC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受益人发出的书面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通知应由其为鉴明受益人法定代表人或授权代理人签</w:t>
      </w:r>
      <w:r>
        <w:rPr>
          <w:rFonts w:hint="eastAsia" w:asciiTheme="minorEastAsia" w:hAnsiTheme="minorEastAsia" w:eastAsiaTheme="minorEastAsia" w:cstheme="minorEastAsia"/>
          <w:color w:val="auto"/>
          <w:kern w:val="2"/>
          <w:sz w:val="21"/>
          <w:szCs w:val="21"/>
          <w:lang w:eastAsia="zh-CN"/>
        </w:rPr>
        <w:t>名</w:t>
      </w:r>
      <w:r>
        <w:rPr>
          <w:rFonts w:hint="eastAsia" w:asciiTheme="minorEastAsia" w:hAnsiTheme="minorEastAsia" w:eastAsiaTheme="minorEastAsia" w:cstheme="minorEastAsia"/>
          <w:color w:val="auto"/>
          <w:kern w:val="2"/>
          <w:sz w:val="21"/>
          <w:szCs w:val="21"/>
        </w:rPr>
        <w:t>并加盖公章。</w:t>
      </w:r>
    </w:p>
    <w:p w14:paraId="6CFB4FF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五、本保函项下的权利不得转让，不得设定担保。</w:t>
      </w:r>
      <w:r>
        <w:rPr>
          <w:rFonts w:hint="eastAsia" w:asciiTheme="minorEastAsia" w:hAnsiTheme="minorEastAsia" w:eastAsiaTheme="minorEastAsia" w:cstheme="minorEastAsia"/>
          <w:color w:val="auto"/>
          <w:kern w:val="2"/>
          <w:sz w:val="21"/>
          <w:szCs w:val="21"/>
          <w:lang w:eastAsia="zh-CN"/>
        </w:rPr>
        <w:t>贵方</w:t>
      </w:r>
      <w:r>
        <w:rPr>
          <w:rFonts w:hint="eastAsia" w:asciiTheme="minorEastAsia" w:hAnsiTheme="minorEastAsia" w:eastAsiaTheme="minorEastAsia" w:cstheme="minorEastAsia"/>
          <w:color w:val="auto"/>
          <w:kern w:val="2"/>
          <w:sz w:val="21"/>
          <w:szCs w:val="21"/>
        </w:rPr>
        <w:t>未经我方书面同意转让本保函或其项下任何权利，对我方不发生法律效力。</w:t>
      </w:r>
    </w:p>
    <w:p w14:paraId="3EF2FBA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六、本保函项下的基础交易不成立、不生效、无效、被撤销、被解除，不影响本保函的独立有效。 </w:t>
      </w:r>
    </w:p>
    <w:p w14:paraId="3A47906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七、受益人应在本保函到期后的</w:t>
      </w:r>
      <w:r>
        <w:rPr>
          <w:rFonts w:hint="eastAsia" w:asciiTheme="minorEastAsia" w:hAnsiTheme="minorEastAsia" w:eastAsiaTheme="minorEastAsia" w:cstheme="minorEastAsia"/>
          <w:color w:val="auto"/>
          <w:kern w:val="2"/>
          <w:sz w:val="21"/>
          <w:szCs w:val="21"/>
          <w:lang w:val="en-US" w:eastAsia="zh-CN"/>
        </w:rPr>
        <w:t>七</w:t>
      </w:r>
      <w:r>
        <w:rPr>
          <w:rFonts w:hint="eastAsia" w:asciiTheme="minorEastAsia" w:hAnsiTheme="minorEastAsia" w:eastAsiaTheme="minorEastAsia" w:cstheme="minorEastAsia"/>
          <w:color w:val="auto"/>
          <w:kern w:val="2"/>
          <w:sz w:val="21"/>
          <w:szCs w:val="21"/>
          <w:lang w:eastAsia="zh-CN"/>
        </w:rPr>
        <w:t>个工作</w:t>
      </w:r>
      <w:r>
        <w:rPr>
          <w:rFonts w:hint="eastAsia" w:asciiTheme="minorEastAsia" w:hAnsiTheme="minorEastAsia" w:eastAsiaTheme="minorEastAsia" w:cstheme="minorEastAsia"/>
          <w:color w:val="auto"/>
          <w:kern w:val="2"/>
          <w:sz w:val="21"/>
          <w:szCs w:val="21"/>
        </w:rPr>
        <w:t>日内将本保函正本退回我方注销，但是不论受益人是否按此要求将本保函正本退回我方，我方在本保函项下的义务和责任均在保函有效期到期后自动消灭。</w:t>
      </w:r>
    </w:p>
    <w:p w14:paraId="3CF4029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rPr>
        <w:t>八、</w:t>
      </w:r>
      <w:r>
        <w:rPr>
          <w:rFonts w:hint="eastAsia" w:asciiTheme="minorEastAsia" w:hAnsiTheme="minorEastAsia" w:eastAsiaTheme="minorEastAsia" w:cstheme="minorEastAsia"/>
          <w:color w:val="auto"/>
          <w:kern w:val="2"/>
          <w:sz w:val="21"/>
          <w:szCs w:val="21"/>
          <w:lang w:eastAsia="zh-CN"/>
        </w:rPr>
        <w:t>本保函的开具是我方真实意思表示，符合法律法规规定，我方同意遵守本保函约定并无条件承担担保责任。本保函与其他规定或条款不一致时，以本保函约定为准。</w:t>
      </w:r>
    </w:p>
    <w:p w14:paraId="2B579F7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九、</w:t>
      </w:r>
      <w:r>
        <w:rPr>
          <w:rFonts w:hint="eastAsia" w:asciiTheme="minorEastAsia" w:hAnsiTheme="minorEastAsia" w:eastAsiaTheme="minorEastAsia" w:cstheme="minorEastAsia"/>
          <w:color w:val="auto"/>
          <w:kern w:val="2"/>
          <w:sz w:val="21"/>
          <w:szCs w:val="21"/>
        </w:rPr>
        <w:t>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7F43C59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十</w:t>
      </w:r>
      <w:r>
        <w:rPr>
          <w:rFonts w:hint="eastAsia" w:asciiTheme="minorEastAsia" w:hAnsiTheme="minorEastAsia" w:eastAsiaTheme="minorEastAsia" w:cstheme="minorEastAsia"/>
          <w:color w:val="auto"/>
          <w:kern w:val="2"/>
          <w:sz w:val="21"/>
          <w:szCs w:val="21"/>
        </w:rPr>
        <w:t>、本保函自我方法定代表人或授权代表</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并加盖公章之日起生效。</w:t>
      </w:r>
    </w:p>
    <w:p w14:paraId="3A01B877">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none"/>
        </w:rPr>
      </w:pPr>
      <w:r>
        <w:rPr>
          <w:rFonts w:hint="eastAsia" w:asciiTheme="minorEastAsia" w:hAnsiTheme="minorEastAsia" w:eastAsiaTheme="minorEastAsia" w:cstheme="minorEastAsia"/>
          <w:color w:val="auto"/>
          <w:kern w:val="2"/>
          <w:sz w:val="21"/>
          <w:szCs w:val="21"/>
          <w:lang w:eastAsia="zh-CN"/>
        </w:rPr>
        <w:t>十一、本保函在重庆市辖区范围内的核验地点：</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；核验方式：</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i/>
          <w:iCs/>
          <w:color w:val="auto"/>
          <w:kern w:val="2"/>
          <w:sz w:val="21"/>
          <w:szCs w:val="21"/>
          <w:u w:val="single"/>
        </w:rPr>
        <w:t>[提示：招标人可以根据项目实际情况，填写本保函在重庆本地的核验方式，如现场核验等]</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none"/>
          <w:lang w:val="en-US" w:eastAsia="zh-CN"/>
        </w:rPr>
        <w:t>。</w:t>
      </w:r>
    </w:p>
    <w:p w14:paraId="3204D63D">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p>
    <w:p w14:paraId="2FE4082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开 立 人：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（公章）</w:t>
      </w:r>
    </w:p>
    <w:p w14:paraId="67818A7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法定代表人（或授权</w:t>
      </w:r>
      <w:r>
        <w:rPr>
          <w:rFonts w:hint="eastAsia" w:asciiTheme="minorEastAsia" w:hAnsiTheme="minorEastAsia" w:eastAsiaTheme="minorEastAsia" w:cstheme="minorEastAsia"/>
          <w:color w:val="auto"/>
          <w:kern w:val="2"/>
          <w:sz w:val="21"/>
          <w:szCs w:val="21"/>
          <w:lang w:eastAsia="zh-CN"/>
        </w:rPr>
        <w:t>代表</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w:t>
      </w:r>
    </w:p>
    <w:p w14:paraId="0635DE3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    址：</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361A754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邮政编码：</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312CCCC7">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电    话：</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6C29F5E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传    真：</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521BDBA5">
      <w:pPr>
        <w:spacing w:line="240" w:lineRule="auto"/>
        <w:ind w:firstLine="420" w:firstLineChars="200"/>
        <w:rPr>
          <w:rFonts w:hint="eastAsia" w:ascii="宋体" w:hAnsi="宋体"/>
          <w:szCs w:val="21"/>
        </w:rPr>
      </w:pPr>
      <w:r>
        <w:rPr>
          <w:rFonts w:hint="eastAsia" w:asciiTheme="minorEastAsia" w:hAnsiTheme="minorEastAsia" w:eastAsiaTheme="minorEastAsia" w:cstheme="minorEastAsia"/>
          <w:color w:val="auto"/>
          <w:kern w:val="2"/>
          <w:sz w:val="21"/>
          <w:szCs w:val="21"/>
        </w:rPr>
        <w:t xml:space="preserve">开立时间：    年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 xml:space="preserve">  月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 xml:space="preserve"> </w:t>
      </w:r>
      <w:r>
        <w:rPr>
          <w:rFonts w:hint="eastAsia" w:asciiTheme="minorEastAsia" w:hAnsiTheme="minorEastAsia" w:eastAsiaTheme="minorEastAsia" w:cstheme="minorEastAsia"/>
          <w:color w:val="auto"/>
          <w:kern w:val="2"/>
          <w:sz w:val="21"/>
          <w:szCs w:val="21"/>
          <w:lang w:eastAsia="zh-CN"/>
        </w:rPr>
        <w:t>日</w:t>
      </w:r>
      <w:r>
        <w:rPr>
          <w:rFonts w:hint="eastAsia" w:ascii="宋体" w:hAnsi="宋体"/>
          <w:szCs w:val="21"/>
        </w:rPr>
        <w:br w:type="page"/>
      </w:r>
    </w:p>
    <w:p w14:paraId="71F21A4D">
      <w:pPr>
        <w:spacing w:line="240" w:lineRule="auto"/>
        <w:ind w:firstLine="0" w:firstLineChars="0"/>
        <w:rPr>
          <w:rFonts w:ascii="宋体" w:hAnsi="宋体"/>
          <w:szCs w:val="21"/>
        </w:rPr>
      </w:pPr>
      <w:r>
        <w:rPr>
          <w:rFonts w:hint="eastAsia" w:ascii="宋体" w:hAnsi="宋体"/>
          <w:szCs w:val="21"/>
        </w:rPr>
        <w:t xml:space="preserve">2. </w:t>
      </w:r>
      <w:r>
        <w:rPr>
          <w:rFonts w:hint="eastAsia" w:ascii="宋体" w:hAnsi="宋体"/>
          <w:szCs w:val="21"/>
          <w:lang w:eastAsia="zh-CN"/>
        </w:rPr>
        <w:t>中小企业</w:t>
      </w:r>
      <w:r>
        <w:rPr>
          <w:rFonts w:hint="eastAsia" w:ascii="宋体" w:hAnsi="宋体"/>
          <w:szCs w:val="21"/>
        </w:rPr>
        <w:t>声明函</w:t>
      </w:r>
    </w:p>
    <w:p w14:paraId="63E612B3">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outlineLvl w:val="9"/>
        <w:rPr>
          <w:rFonts w:hint="eastAsia" w:eastAsia="宋体"/>
          <w:color w:val="auto"/>
          <w:sz w:val="28"/>
          <w:szCs w:val="28"/>
          <w:lang w:eastAsia="zh-CN"/>
        </w:rPr>
      </w:pPr>
      <w:r>
        <w:rPr>
          <w:rFonts w:hint="eastAsia" w:cs="宋体"/>
          <w:color w:val="auto"/>
          <w:sz w:val="24"/>
          <w:szCs w:val="24"/>
          <w:lang w:eastAsia="zh-CN"/>
        </w:rPr>
        <w:t>中小企业声明函（</w:t>
      </w:r>
      <w:r>
        <w:rPr>
          <w:rFonts w:hint="eastAsia" w:cs="宋体"/>
          <w:color w:val="auto"/>
          <w:sz w:val="24"/>
          <w:szCs w:val="24"/>
          <w:lang w:val="en-US" w:eastAsia="zh-CN"/>
        </w:rPr>
        <w:t>工程类</w:t>
      </w:r>
      <w:r>
        <w:rPr>
          <w:rFonts w:hint="eastAsia" w:cs="宋体"/>
          <w:color w:val="auto"/>
          <w:sz w:val="24"/>
          <w:szCs w:val="24"/>
          <w:lang w:eastAsia="zh-CN"/>
        </w:rPr>
        <w:t>）</w:t>
      </w:r>
    </w:p>
    <w:p w14:paraId="585F19C8">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p>
    <w:p w14:paraId="26B0CF1C">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联合体</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参加</w:t>
      </w:r>
      <w:r>
        <w:rPr>
          <w:rFonts w:hint="eastAsia" w:asciiTheme="minorEastAsia" w:hAnsiTheme="minorEastAsia" w:eastAsiaTheme="minorEastAsia" w:cstheme="minorEastAsia"/>
          <w:i/>
          <w:sz w:val="21"/>
          <w:szCs w:val="21"/>
          <w:u w:val="single"/>
        </w:rPr>
        <w:t>（单位名称）</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i/>
          <w:sz w:val="21"/>
          <w:szCs w:val="21"/>
          <w:u w:val="single"/>
        </w:rPr>
        <w:t>（项目名称）</w:t>
      </w:r>
      <w:r>
        <w:rPr>
          <w:rFonts w:hint="eastAsia" w:asciiTheme="minorEastAsia" w:hAnsiTheme="minorEastAsia" w:eastAsiaTheme="minorEastAsia" w:cstheme="minorEastAsia"/>
          <w:sz w:val="21"/>
          <w:szCs w:val="21"/>
        </w:rPr>
        <w:t>采购活动，符合政策要求的相关中小企业（含联合体中的中小企业、签订分包意向协议的中小企业）的具体情况如下：</w:t>
      </w:r>
    </w:p>
    <w:p w14:paraId="33F09C94">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sz w:val="21"/>
          <w:szCs w:val="21"/>
          <w:u w:val="single"/>
        </w:rPr>
        <w:t>（标的名称）</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i/>
          <w:sz w:val="21"/>
          <w:szCs w:val="21"/>
          <w:u w:val="single"/>
        </w:rPr>
        <w:t>（招标文件中明确的所属行业）</w:t>
      </w:r>
      <w:r>
        <w:rPr>
          <w:rFonts w:hint="eastAsia" w:asciiTheme="minorEastAsia" w:hAnsiTheme="minorEastAsia" w:eastAsiaTheme="minorEastAsia" w:cstheme="minorEastAsia"/>
          <w:sz w:val="21"/>
          <w:szCs w:val="21"/>
        </w:rPr>
        <w:t>；承建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承接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企业为</w:t>
      </w:r>
      <w:r>
        <w:rPr>
          <w:rFonts w:hint="eastAsia" w:asciiTheme="minorEastAsia" w:hAnsiTheme="minorEastAsia" w:eastAsiaTheme="minorEastAsia" w:cstheme="minorEastAsia"/>
          <w:i/>
          <w:sz w:val="21"/>
          <w:szCs w:val="21"/>
          <w:u w:val="single"/>
        </w:rPr>
        <w:t>（企业名称）</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i/>
          <w:sz w:val="21"/>
          <w:szCs w:val="21"/>
          <w:u w:val="single"/>
        </w:rPr>
        <w:t>（中型企业、小型企业、微型企业）</w:t>
      </w:r>
      <w:r>
        <w:rPr>
          <w:rFonts w:hint="eastAsia" w:asciiTheme="minorEastAsia" w:hAnsiTheme="minorEastAsia" w:eastAsiaTheme="minorEastAsia" w:cstheme="minorEastAsia"/>
          <w:sz w:val="21"/>
          <w:szCs w:val="21"/>
        </w:rPr>
        <w:t>；</w:t>
      </w:r>
    </w:p>
    <w:p w14:paraId="26D6B0F0">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sz w:val="21"/>
          <w:szCs w:val="21"/>
          <w:u w:val="single"/>
        </w:rPr>
        <w:t>（标的名称）</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i/>
          <w:sz w:val="21"/>
          <w:szCs w:val="21"/>
          <w:u w:val="single"/>
        </w:rPr>
        <w:t>（招标文件中明确的所属行业）</w:t>
      </w:r>
      <w:r>
        <w:rPr>
          <w:rFonts w:hint="eastAsia" w:asciiTheme="minorEastAsia" w:hAnsiTheme="minorEastAsia" w:eastAsiaTheme="minorEastAsia" w:cstheme="minorEastAsia"/>
          <w:sz w:val="21"/>
          <w:szCs w:val="21"/>
        </w:rPr>
        <w:t>；承建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承接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企业为</w:t>
      </w:r>
      <w:r>
        <w:rPr>
          <w:rFonts w:hint="eastAsia" w:asciiTheme="minorEastAsia" w:hAnsiTheme="minorEastAsia" w:eastAsiaTheme="minorEastAsia" w:cstheme="minorEastAsia"/>
          <w:i/>
          <w:sz w:val="21"/>
          <w:szCs w:val="21"/>
          <w:u w:val="single"/>
        </w:rPr>
        <w:t>（企业名称）</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i/>
          <w:sz w:val="21"/>
          <w:szCs w:val="21"/>
          <w:u w:val="single"/>
        </w:rPr>
        <w:t>（中型企业、小型企业、微型企业）</w:t>
      </w:r>
      <w:r>
        <w:rPr>
          <w:rFonts w:hint="eastAsia" w:asciiTheme="minorEastAsia" w:hAnsiTheme="minorEastAsia" w:eastAsiaTheme="minorEastAsia" w:cstheme="minorEastAsia"/>
          <w:sz w:val="21"/>
          <w:szCs w:val="21"/>
        </w:rPr>
        <w:t>；</w:t>
      </w:r>
    </w:p>
    <w:p w14:paraId="4EF5AAD2">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p w14:paraId="089CD270">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以上企业，不属于大企业的分支机构，不存在控股股东为大企业的情形，也不存在与大企业的负责人为同一人的情形。</w:t>
      </w:r>
    </w:p>
    <w:p w14:paraId="42ABB295">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本企业对上述声明内容的真实性负责。如有虚假，将依法承担相应责任。</w:t>
      </w:r>
    </w:p>
    <w:p w14:paraId="759C474E">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2DAE4A32">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355" w:firstLineChars="2550"/>
        <w:textAlignment w:val="auto"/>
        <w:rPr>
          <w:rFonts w:hint="default"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企业名称（盖章）：</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p>
    <w:p w14:paraId="268ECF27">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right="784" w:firstLine="5355" w:firstLineChars="2550"/>
        <w:textAlignment w:val="auto"/>
        <w:rPr>
          <w:rFonts w:hint="default"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日期：</w:t>
      </w:r>
      <w:r>
        <w:rPr>
          <w:rFonts w:hint="eastAsia" w:asciiTheme="minorEastAsia" w:hAnsiTheme="minorEastAsia" w:eastAsiaTheme="minorEastAsia" w:cstheme="minorEastAsia"/>
          <w:sz w:val="21"/>
          <w:szCs w:val="21"/>
          <w:u w:val="single"/>
          <w:lang w:val="en-US" w:eastAsia="zh-CN"/>
        </w:rPr>
        <w:t xml:space="preserve">                    </w:t>
      </w:r>
    </w:p>
    <w:p w14:paraId="4458D401">
      <w:pPr>
        <w:keepNext w:val="0"/>
        <w:keepLines w:val="0"/>
        <w:pageBreakBefore w:val="0"/>
        <w:widowControl w:val="0"/>
        <w:tabs>
          <w:tab w:val="left" w:pos="630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填写时应注意以下事项：</w:t>
      </w:r>
    </w:p>
    <w:p w14:paraId="7E53B9CA">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1.从业人员、营业收入、资产总额填报上一年度数据，无上一年度数据的新成立企业可不填报。</w:t>
      </w:r>
    </w:p>
    <w:p w14:paraId="5090AC96">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2.中小企业应当按照《中小企业划型标准规定》（工信部联企业〔2011〕300号），如实填写并提交《</w:t>
      </w:r>
      <w:r>
        <w:rPr>
          <w:rFonts w:hint="eastAsia" w:asciiTheme="minorEastAsia" w:hAnsiTheme="minorEastAsia" w:eastAsiaTheme="minorEastAsia" w:cstheme="minorEastAsia"/>
          <w:b w:val="0"/>
          <w:bCs w:val="0"/>
          <w:kern w:val="0"/>
          <w:sz w:val="21"/>
          <w:szCs w:val="21"/>
          <w:lang w:eastAsia="zh-CN"/>
        </w:rPr>
        <w:t>中小企业声明函</w:t>
      </w:r>
      <w:r>
        <w:rPr>
          <w:rFonts w:hint="eastAsia" w:asciiTheme="minorEastAsia" w:hAnsiTheme="minorEastAsia" w:eastAsiaTheme="minorEastAsia" w:cstheme="minorEastAsia"/>
          <w:b w:val="0"/>
          <w:bCs w:val="0"/>
          <w:kern w:val="0"/>
          <w:sz w:val="21"/>
          <w:szCs w:val="21"/>
        </w:rPr>
        <w:t>》。</w:t>
      </w:r>
    </w:p>
    <w:p w14:paraId="63175415">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3.行业类别由招标人在招标文件中明确，投标人填写《中小企业声明函》中所属行业时，应与招标文件明确的行业类别一致。</w:t>
      </w:r>
    </w:p>
    <w:p w14:paraId="5644FD9B">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4.本声明函“企业名称（盖章）”处为</w:t>
      </w:r>
      <w:r>
        <w:rPr>
          <w:rFonts w:hint="eastAsia" w:asciiTheme="minorEastAsia" w:hAnsiTheme="minorEastAsia" w:eastAsiaTheme="minorEastAsia" w:cstheme="minorEastAsia"/>
          <w:b w:val="0"/>
          <w:bCs w:val="0"/>
          <w:kern w:val="0"/>
          <w:sz w:val="21"/>
          <w:szCs w:val="21"/>
          <w:lang w:val="en-US" w:eastAsia="zh-CN"/>
        </w:rPr>
        <w:t>中小企业</w:t>
      </w:r>
      <w:r>
        <w:rPr>
          <w:rFonts w:hint="eastAsia" w:asciiTheme="minorEastAsia" w:hAnsiTheme="minorEastAsia" w:eastAsiaTheme="minorEastAsia" w:cstheme="minorEastAsia"/>
          <w:b w:val="0"/>
          <w:bCs w:val="0"/>
          <w:kern w:val="0"/>
          <w:sz w:val="21"/>
          <w:szCs w:val="21"/>
        </w:rPr>
        <w:t>盖章。</w:t>
      </w:r>
    </w:p>
    <w:p w14:paraId="4128F0FB">
      <w:pPr>
        <w:rPr>
          <w:rFonts w:ascii="宋体" w:hAnsi="宋体"/>
          <w:szCs w:val="21"/>
        </w:rPr>
      </w:pPr>
      <w:r>
        <w:rPr>
          <w:rFonts w:ascii="宋体" w:hAnsi="宋体"/>
          <w:szCs w:val="21"/>
        </w:rPr>
        <w:br w:type="page"/>
      </w:r>
    </w:p>
    <w:p w14:paraId="303CE4EA">
      <w:pPr>
        <w:keepNext w:val="0"/>
        <w:keepLines w:val="0"/>
        <w:pageBreakBefore w:val="0"/>
        <w:widowControl w:val="0"/>
        <w:tabs>
          <w:tab w:val="left" w:pos="630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注：各行业划型标准：</w:t>
      </w:r>
    </w:p>
    <w:p w14:paraId="544107F4">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29E63C4B">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FE77772">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DE46CB3">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65F7001">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0C550F1">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5AA9C5D">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B9958A8">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AC16841">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EE526BD">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9558BD0">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E625A7A">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B976FF2">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7422F3A">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00BE489">
      <w:pPr>
        <w:widowControl w:val="0"/>
        <w:tabs>
          <w:tab w:val="left" w:pos="6300"/>
        </w:tabs>
        <w:snapToGri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8785EEE">
      <w:pPr>
        <w:tabs>
          <w:tab w:val="left" w:pos="6300"/>
        </w:tabs>
        <w:snapToGrid w:val="0"/>
        <w:spacing w:line="360" w:lineRule="auto"/>
        <w:ind w:firstLine="420" w:firstLineChars="200"/>
        <w:jc w:val="left"/>
        <w:rPr>
          <w:rFonts w:hint="eastAsia" w:ascii="宋体" w:hAnsi="宋体"/>
          <w:szCs w:val="21"/>
          <w:lang w:val="en-US" w:eastAsia="zh-CN"/>
        </w:rPr>
      </w:pPr>
      <w:r>
        <w:rPr>
          <w:rFonts w:hint="eastAsia" w:asciiTheme="minorEastAsia" w:hAnsiTheme="minorEastAsia" w:eastAsiaTheme="minorEastAsia" w:cstheme="minorEastAsia"/>
          <w:kern w:val="0"/>
          <w:sz w:val="21"/>
          <w:szCs w:val="21"/>
        </w:rPr>
        <w:t>（十六）其他未列明行业。从业人员300人以下的为中小微型企业。其中，从业人员100人及以上的为中型企业；从业人员10人及以上的为小型企业；从业人员10人以下的为微型企业。</w:t>
      </w:r>
      <w:r>
        <w:rPr>
          <w:rFonts w:hint="eastAsia" w:ascii="宋体" w:hAnsi="宋体"/>
          <w:szCs w:val="21"/>
          <w:lang w:val="en-US" w:eastAsia="zh-CN"/>
        </w:rPr>
        <w:br w:type="page"/>
      </w:r>
    </w:p>
    <w:p w14:paraId="620FB41B">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w:t>
      </w:r>
      <w:r>
        <w:rPr>
          <w:rFonts w:hint="eastAsia"/>
          <w:highlight w:val="none"/>
        </w:rPr>
        <w:t>中小企业承担合同份额</w:t>
      </w:r>
      <w:r>
        <w:rPr>
          <w:rFonts w:hint="eastAsia"/>
          <w:highlight w:val="none"/>
          <w:lang w:val="en-US" w:eastAsia="zh-CN"/>
        </w:rPr>
        <w:t>承诺函</w:t>
      </w:r>
    </w:p>
    <w:p w14:paraId="7E5680EA">
      <w:pPr>
        <w:pStyle w:val="2"/>
        <w:spacing w:line="360" w:lineRule="auto"/>
        <w:jc w:val="center"/>
        <w:rPr>
          <w:rFonts w:hint="eastAsia" w:eastAsia="宋体"/>
          <w:highlight w:val="none"/>
          <w:lang w:val="en-US" w:eastAsia="zh-CN"/>
        </w:rPr>
      </w:pPr>
      <w:r>
        <w:rPr>
          <w:rFonts w:hint="eastAsia"/>
          <w:highlight w:val="none"/>
        </w:rPr>
        <w:t>中小企业承担合同份额</w:t>
      </w:r>
      <w:r>
        <w:rPr>
          <w:rFonts w:hint="eastAsia"/>
          <w:highlight w:val="none"/>
          <w:lang w:val="en-US" w:eastAsia="zh-CN"/>
        </w:rPr>
        <w:t>承诺函</w:t>
      </w:r>
    </w:p>
    <w:p w14:paraId="7ABD0F89">
      <w:pPr>
        <w:pStyle w:val="2"/>
        <w:spacing w:line="360" w:lineRule="auto"/>
        <w:jc w:val="center"/>
        <w:rPr>
          <w:rFonts w:hint="eastAsia" w:eastAsia="宋体"/>
          <w:highlight w:val="none"/>
          <w:lang w:val="en-US" w:eastAsia="zh-CN"/>
        </w:rPr>
      </w:pPr>
      <w:r>
        <w:rPr>
          <w:rFonts w:hint="eastAsia"/>
          <w:highlight w:val="none"/>
          <w:lang w:val="en-US" w:eastAsia="zh-CN"/>
        </w:rPr>
        <w:t>（</w:t>
      </w:r>
      <w:r>
        <w:rPr>
          <w:rFonts w:hint="eastAsia" w:ascii="宋体" w:hAnsi="宋体"/>
          <w:snapToGrid w:val="0"/>
          <w:kern w:val="0"/>
          <w:szCs w:val="21"/>
          <w:highlight w:val="none"/>
        </w:rPr>
        <w:t>以联合体</w:t>
      </w:r>
      <w:r>
        <w:rPr>
          <w:rFonts w:hint="eastAsia" w:ascii="宋体" w:hAnsi="宋体"/>
          <w:snapToGrid w:val="0"/>
          <w:kern w:val="0"/>
          <w:szCs w:val="21"/>
          <w:highlight w:val="none"/>
          <w:lang w:val="en-US" w:eastAsia="zh-CN"/>
        </w:rPr>
        <w:t>或分包</w:t>
      </w:r>
      <w:r>
        <w:rPr>
          <w:rFonts w:hint="eastAsia" w:ascii="宋体" w:hAnsi="宋体"/>
          <w:snapToGrid w:val="0"/>
          <w:kern w:val="0"/>
          <w:szCs w:val="21"/>
          <w:highlight w:val="none"/>
        </w:rPr>
        <w:t>形式面向中小企业</w:t>
      </w:r>
      <w:r>
        <w:rPr>
          <w:rFonts w:hint="eastAsia"/>
          <w:highlight w:val="none"/>
          <w:lang w:val="en-US" w:eastAsia="zh-CN"/>
        </w:rPr>
        <w:t>时采用</w:t>
      </w:r>
      <w:r>
        <w:rPr>
          <w:rFonts w:hint="eastAsia"/>
          <w:highlight w:val="none"/>
          <w:lang w:eastAsia="zh-CN"/>
        </w:rPr>
        <w:t>）</w:t>
      </w:r>
    </w:p>
    <w:p w14:paraId="4D952D5E">
      <w:pPr>
        <w:autoSpaceDE w:val="0"/>
        <w:autoSpaceDN w:val="0"/>
        <w:adjustRightInd w:val="0"/>
        <w:snapToGrid w:val="0"/>
        <w:spacing w:line="360" w:lineRule="auto"/>
        <w:rPr>
          <w:rFonts w:ascii="宋体" w:hAnsi="宋体" w:cs="宋体"/>
          <w:snapToGrid w:val="0"/>
          <w:kern w:val="0"/>
          <w:szCs w:val="21"/>
          <w:highlight w:val="none"/>
        </w:rPr>
      </w:pPr>
      <w:r>
        <w:rPr>
          <w:rFonts w:hint="eastAsia" w:ascii="宋体" w:hAnsi="宋体" w:cs="宋体"/>
          <w:snapToGrid w:val="0"/>
          <w:kern w:val="0"/>
          <w:szCs w:val="21"/>
          <w:highlight w:val="none"/>
          <w:u w:val="single"/>
        </w:rPr>
        <w:t xml:space="preserve">        （招标人名称）</w:t>
      </w:r>
      <w:r>
        <w:rPr>
          <w:rFonts w:hint="eastAsia" w:ascii="宋体" w:hAnsi="宋体" w:cs="宋体"/>
          <w:snapToGrid w:val="0"/>
          <w:kern w:val="0"/>
          <w:szCs w:val="21"/>
          <w:highlight w:val="none"/>
        </w:rPr>
        <w:t>：</w:t>
      </w:r>
    </w:p>
    <w:p w14:paraId="61F6E676">
      <w:pPr>
        <w:autoSpaceDE w:val="0"/>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u w:val="single"/>
          <w:lang w:val="en-US" w:eastAsia="zh-CN"/>
        </w:rPr>
        <w:t>投</w:t>
      </w:r>
      <w:r>
        <w:rPr>
          <w:rFonts w:hint="eastAsia" w:ascii="宋体" w:hAnsi="宋体" w:cs="宋体"/>
          <w:snapToGrid w:val="0"/>
          <w:kern w:val="0"/>
          <w:szCs w:val="21"/>
          <w:highlight w:val="none"/>
          <w:u w:val="single"/>
        </w:rPr>
        <w:t>标人名称）</w:t>
      </w:r>
      <w:r>
        <w:rPr>
          <w:rFonts w:hint="eastAsia" w:ascii="宋体" w:hAnsi="宋体" w:cs="宋体"/>
          <w:snapToGrid w:val="0"/>
          <w:kern w:val="0"/>
          <w:szCs w:val="21"/>
          <w:highlight w:val="none"/>
          <w:u w:val="none"/>
          <w:lang w:eastAsia="zh-CN"/>
        </w:rPr>
        <w:t>，</w:t>
      </w:r>
      <w:r>
        <w:rPr>
          <w:rFonts w:hint="eastAsia" w:ascii="宋体" w:hAnsi="宋体" w:cs="宋体"/>
          <w:snapToGrid w:val="0"/>
          <w:kern w:val="0"/>
          <w:szCs w:val="21"/>
          <w:highlight w:val="none"/>
          <w:u w:val="none"/>
          <w:lang w:val="en-US" w:eastAsia="zh-CN"/>
        </w:rPr>
        <w:t>承诺合同份额的</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u w:val="none"/>
          <w:lang w:val="en-US" w:eastAsia="zh-CN"/>
        </w:rPr>
        <w:t>%以上由</w:t>
      </w:r>
      <w:r>
        <w:rPr>
          <w:rFonts w:hint="eastAsia" w:ascii="宋体" w:hAnsi="宋体" w:cs="宋体"/>
          <w:snapToGrid w:val="0"/>
          <w:kern w:val="0"/>
          <w:szCs w:val="21"/>
          <w:highlight w:val="none"/>
          <w:lang w:val="en-US" w:eastAsia="zh-CN"/>
        </w:rPr>
        <w:t>中小企业实施</w:t>
      </w:r>
      <w:r>
        <w:rPr>
          <w:rFonts w:hint="eastAsia" w:ascii="宋体" w:hAnsi="宋体" w:cs="宋体"/>
          <w:snapToGrid w:val="0"/>
          <w:kern w:val="0"/>
          <w:szCs w:val="21"/>
          <w:highlight w:val="none"/>
        </w:rPr>
        <w:t>。</w:t>
      </w:r>
      <w:r>
        <w:rPr>
          <w:rFonts w:hint="eastAsia" w:ascii="宋体" w:hAnsi="宋体" w:cs="宋体"/>
          <w:i/>
          <w:iCs/>
          <w:snapToGrid w:val="0"/>
          <w:kern w:val="0"/>
          <w:szCs w:val="21"/>
          <w:highlight w:val="none"/>
        </w:rPr>
        <w:t>[提示：</w:t>
      </w:r>
      <w:r>
        <w:rPr>
          <w:rFonts w:hint="eastAsia" w:ascii="宋体" w:hAnsi="宋体" w:cs="宋体"/>
          <w:i/>
          <w:iCs/>
          <w:snapToGrid w:val="0"/>
          <w:kern w:val="0"/>
          <w:szCs w:val="21"/>
          <w:highlight w:val="none"/>
          <w:lang w:val="en-US" w:eastAsia="zh-CN"/>
        </w:rPr>
        <w:t>年度</w:t>
      </w:r>
      <w:r>
        <w:rPr>
          <w:rFonts w:hint="eastAsia" w:ascii="宋体" w:hAnsi="宋体" w:cs="宋体"/>
          <w:i/>
          <w:iCs/>
          <w:snapToGrid w:val="0"/>
          <w:kern w:val="0"/>
          <w:szCs w:val="21"/>
          <w:highlight w:val="none"/>
        </w:rPr>
        <w:t>执行不低于40%的比例</w:t>
      </w:r>
      <w:r>
        <w:rPr>
          <w:rFonts w:hint="eastAsia" w:ascii="宋体" w:hAnsi="宋体" w:cs="宋体"/>
          <w:i/>
          <w:iCs/>
          <w:snapToGrid w:val="0"/>
          <w:kern w:val="0"/>
          <w:szCs w:val="21"/>
          <w:highlight w:val="none"/>
          <w:lang w:eastAsia="zh-CN"/>
        </w:rPr>
        <w:t>。</w:t>
      </w:r>
      <w:r>
        <w:rPr>
          <w:rFonts w:hint="eastAsia" w:ascii="宋体" w:hAnsi="宋体" w:cs="宋体"/>
          <w:i/>
          <w:iCs/>
          <w:snapToGrid w:val="0"/>
          <w:kern w:val="0"/>
          <w:szCs w:val="21"/>
          <w:highlight w:val="none"/>
        </w:rPr>
        <w:t>]</w:t>
      </w:r>
    </w:p>
    <w:p w14:paraId="37819C04">
      <w:pPr>
        <w:autoSpaceDE w:val="0"/>
        <w:autoSpaceDN w:val="0"/>
        <w:adjustRightInd w:val="0"/>
        <w:snapToGrid w:val="0"/>
        <w:spacing w:line="360" w:lineRule="auto"/>
        <w:ind w:firstLine="420" w:firstLineChars="200"/>
        <w:rPr>
          <w:rFonts w:hint="eastAsia" w:ascii="宋体" w:hAnsi="宋体" w:cs="宋体"/>
          <w:snapToGrid w:val="0"/>
          <w:kern w:val="0"/>
          <w:szCs w:val="21"/>
          <w:highlight w:val="none"/>
        </w:rPr>
      </w:pPr>
    </w:p>
    <w:p w14:paraId="0C2E8897">
      <w:pPr>
        <w:autoSpaceDE w:val="0"/>
        <w:autoSpaceDN w:val="0"/>
        <w:adjustRightInd w:val="0"/>
        <w:snapToGrid w:val="0"/>
        <w:spacing w:line="360" w:lineRule="auto"/>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特此承诺。</w:t>
      </w:r>
    </w:p>
    <w:p w14:paraId="1D23599F">
      <w:pPr>
        <w:autoSpaceDE w:val="0"/>
        <w:autoSpaceDN w:val="0"/>
        <w:adjustRightInd w:val="0"/>
        <w:snapToGrid w:val="0"/>
        <w:spacing w:line="360" w:lineRule="auto"/>
        <w:ind w:firstLine="640"/>
        <w:rPr>
          <w:rFonts w:ascii="宋体" w:hAnsi="宋体" w:cs="宋体"/>
          <w:snapToGrid w:val="0"/>
          <w:kern w:val="0"/>
          <w:sz w:val="32"/>
          <w:szCs w:val="32"/>
          <w:highlight w:val="none"/>
        </w:rPr>
      </w:pPr>
    </w:p>
    <w:p w14:paraId="0578E8D9">
      <w:pPr>
        <w:autoSpaceDE w:val="0"/>
        <w:autoSpaceDN w:val="0"/>
        <w:adjustRightInd w:val="0"/>
        <w:snapToGrid w:val="0"/>
        <w:spacing w:line="360" w:lineRule="auto"/>
        <w:ind w:firstLine="640"/>
        <w:rPr>
          <w:rFonts w:ascii="宋体" w:hAnsi="宋体" w:cs="宋体"/>
          <w:snapToGrid w:val="0"/>
          <w:kern w:val="0"/>
          <w:sz w:val="32"/>
          <w:szCs w:val="32"/>
          <w:highlight w:val="none"/>
        </w:rPr>
      </w:pPr>
    </w:p>
    <w:p w14:paraId="139D6B51">
      <w:pPr>
        <w:autoSpaceDE w:val="0"/>
        <w:autoSpaceDN w:val="0"/>
        <w:adjustRightInd w:val="0"/>
        <w:snapToGrid w:val="0"/>
        <w:spacing w:line="360" w:lineRule="auto"/>
        <w:ind w:firstLine="640"/>
        <w:rPr>
          <w:rFonts w:ascii="宋体" w:hAnsi="宋体" w:cs="宋体"/>
          <w:snapToGrid w:val="0"/>
          <w:kern w:val="0"/>
          <w:sz w:val="32"/>
          <w:szCs w:val="32"/>
          <w:highlight w:val="none"/>
        </w:rPr>
      </w:pPr>
    </w:p>
    <w:p w14:paraId="66D85031">
      <w:pPr>
        <w:autoSpaceDE w:val="0"/>
        <w:autoSpaceDN w:val="0"/>
        <w:adjustRightInd w:val="0"/>
        <w:snapToGrid w:val="0"/>
        <w:spacing w:line="360" w:lineRule="auto"/>
        <w:ind w:firstLine="640"/>
        <w:rPr>
          <w:rFonts w:ascii="宋体" w:hAnsi="宋体" w:cs="宋体"/>
          <w:snapToGrid w:val="0"/>
          <w:kern w:val="0"/>
          <w:sz w:val="32"/>
          <w:szCs w:val="32"/>
          <w:highlight w:val="none"/>
        </w:rPr>
      </w:pPr>
    </w:p>
    <w:p w14:paraId="68B57C32">
      <w:pPr>
        <w:autoSpaceDE w:val="0"/>
        <w:autoSpaceDN w:val="0"/>
        <w:adjustRightInd w:val="0"/>
        <w:snapToGrid w:val="0"/>
        <w:spacing w:line="360" w:lineRule="auto"/>
        <w:ind w:firstLine="640"/>
        <w:rPr>
          <w:rFonts w:ascii="宋体" w:hAnsi="宋体" w:cs="宋体"/>
          <w:snapToGrid w:val="0"/>
          <w:kern w:val="0"/>
          <w:sz w:val="32"/>
          <w:szCs w:val="32"/>
          <w:highlight w:val="none"/>
        </w:rPr>
      </w:pPr>
    </w:p>
    <w:p w14:paraId="4D088638">
      <w:pPr>
        <w:tabs>
          <w:tab w:val="left" w:pos="4200"/>
          <w:tab w:val="left" w:pos="4620"/>
        </w:tabs>
        <w:autoSpaceDE w:val="0"/>
        <w:autoSpaceDN w:val="0"/>
        <w:adjustRightInd w:val="0"/>
        <w:snapToGrid w:val="0"/>
        <w:spacing w:line="360" w:lineRule="auto"/>
        <w:ind w:firstLine="420" w:firstLineChars="200"/>
        <w:jc w:val="right"/>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1913B814">
      <w:pPr>
        <w:tabs>
          <w:tab w:val="left" w:pos="6300"/>
        </w:tabs>
        <w:autoSpaceDE w:val="0"/>
        <w:autoSpaceDN w:val="0"/>
        <w:adjustRightInd w:val="0"/>
        <w:snapToGrid w:val="0"/>
        <w:spacing w:line="360" w:lineRule="auto"/>
        <w:ind w:firstLine="420" w:firstLineChars="200"/>
        <w:jc w:val="righ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662DC65B">
      <w:pPr>
        <w:tabs>
          <w:tab w:val="left" w:pos="7140"/>
          <w:tab w:val="left" w:pos="7560"/>
          <w:tab w:val="left" w:pos="8300"/>
        </w:tabs>
        <w:autoSpaceDE w:val="0"/>
        <w:autoSpaceDN w:val="0"/>
        <w:adjustRightInd w:val="0"/>
        <w:spacing w:line="360" w:lineRule="auto"/>
        <w:ind w:firstLine="420" w:firstLineChars="200"/>
        <w:jc w:val="right"/>
        <w:rPr>
          <w:rFonts w:ascii="宋体" w:hAnsi="宋体"/>
          <w:snapToGrid w:val="0"/>
          <w:kern w:val="0"/>
          <w:szCs w:val="21"/>
          <w:highlight w:val="none"/>
        </w:rPr>
      </w:pPr>
    </w:p>
    <w:p w14:paraId="57830182">
      <w:pPr>
        <w:spacing w:line="360" w:lineRule="auto"/>
        <w:ind w:firstLine="420" w:firstLineChars="200"/>
        <w:jc w:val="right"/>
        <w:rPr>
          <w:rFonts w:ascii="宋体" w:hAnsi="宋体"/>
          <w:kern w:val="0"/>
          <w:szCs w:val="21"/>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p>
    <w:p w14:paraId="42483411">
      <w:pPr>
        <w:spacing w:line="240" w:lineRule="auto"/>
        <w:ind w:firstLine="0" w:firstLineChars="0"/>
        <w:rPr>
          <w:rFonts w:hint="eastAsia" w:ascii="宋体" w:hAnsi="宋体"/>
          <w:szCs w:val="21"/>
          <w:lang w:val="en-US" w:eastAsia="zh-CN"/>
        </w:rPr>
      </w:pPr>
      <w:r>
        <w:rPr>
          <w:rFonts w:hint="eastAsia" w:ascii="宋体" w:hAnsi="宋体"/>
          <w:szCs w:val="21"/>
          <w:lang w:val="en-US" w:eastAsia="zh-CN"/>
        </w:rPr>
        <w:br w:type="page"/>
      </w:r>
    </w:p>
    <w:p w14:paraId="1FE19E2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b w:val="0"/>
          <w:lang w:val="en-US" w:eastAsia="zh-CN"/>
        </w:rPr>
      </w:pPr>
      <w:r>
        <w:rPr>
          <w:rFonts w:hint="eastAsia" w:ascii="宋体" w:hAnsi="宋体"/>
          <w:b w:val="0"/>
          <w:lang w:val="en-US" w:eastAsia="zh-CN"/>
        </w:rPr>
        <w:t>4.按照招标文件第二章投标人须知前附表第1.4.1项、第3.4款要求提供的资料。</w:t>
      </w:r>
    </w:p>
    <w:p w14:paraId="41F6EAAB">
      <w:pPr>
        <w:rPr>
          <w:rFonts w:ascii="宋体" w:hAnsi="宋体"/>
          <w:szCs w:val="21"/>
        </w:rPr>
      </w:pPr>
      <w:r>
        <w:rPr>
          <w:rFonts w:ascii="宋体" w:hAnsi="宋体"/>
          <w:szCs w:val="21"/>
        </w:rPr>
        <w:t>……</w:t>
      </w:r>
    </w:p>
    <w:p w14:paraId="57D82595">
      <w:pPr>
        <w:ind w:firstLine="420" w:firstLineChars="200"/>
      </w:pPr>
    </w:p>
    <w:sectPr>
      <w:pgSz w:w="11906" w:h="16838"/>
      <w:pgMar w:top="1304" w:right="1134" w:bottom="1304" w:left="130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简体">
    <w:altName w:val="方正书宋_GBK"/>
    <w:panose1 w:val="02000000000000000000"/>
    <w:charset w:val="86"/>
    <w:family w:val="auto"/>
    <w:pitch w:val="default"/>
    <w:sig w:usb0="00000000" w:usb1="00000000" w:usb2="00000012" w:usb3="00000000" w:csb0="00040001"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小标宋简体">
    <w:panose1 w:val="02000000000000000000"/>
    <w:charset w:val="86"/>
    <w:family w:val="script"/>
    <w:pitch w:val="default"/>
    <w:sig w:usb0="A00002BF" w:usb1="184F6CFA" w:usb2="00000012"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华文细黑">
    <w:altName w:val="汉仪中等线简"/>
    <w:panose1 w:val="02010600040101010101"/>
    <w:charset w:val="86"/>
    <w:family w:val="auto"/>
    <w:pitch w:val="default"/>
    <w:sig w:usb0="00000000" w:usb1="00000000" w:usb2="00000000" w:usb3="00000000" w:csb0="0004009F" w:csb1="DFD70000"/>
  </w:font>
  <w:font w:name="汉仪中等线简">
    <w:panose1 w:val="02010600000101010101"/>
    <w:charset w:val="86"/>
    <w:family w:val="auto"/>
    <w:pitch w:val="default"/>
    <w:sig w:usb0="00000001" w:usb1="080E0800" w:usb2="00000002"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MingLiU">
    <w:altName w:val="方正书宋_GBK"/>
    <w:panose1 w:val="02020509000000000000"/>
    <w:charset w:val="88"/>
    <w:family w:val="modern"/>
    <w:pitch w:val="default"/>
    <w:sig w:usb0="00000000" w:usb1="00000000" w:usb2="00000016" w:usb3="00000000" w:csb0="00100001" w:csb1="00000000"/>
  </w:font>
  <w:font w:name="Microsoft Sans Serif">
    <w:altName w:val="DejaVu Sans"/>
    <w:panose1 w:val="020B0604020202020204"/>
    <w:charset w:val="00"/>
    <w:family w:val="swiss"/>
    <w:pitch w:val="default"/>
    <w:sig w:usb0="00000000" w:usb1="00000000" w:usb2="00000029" w:usb3="00000000" w:csb0="200101FF" w:csb1="2028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78156">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49E29">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EC298">
                          <w:pPr>
                            <w:pStyle w:val="2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1EC298">
                    <w:pPr>
                      <w:pStyle w:val="2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E61D4">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3FE5E">
                          <w:pPr>
                            <w:pStyle w:val="29"/>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A3FE5E">
                    <w:pPr>
                      <w:pStyle w:val="29"/>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12A0C">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2C98377A">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28D23">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45"/>
    <w:rsid w:val="00001A09"/>
    <w:rsid w:val="00001B1E"/>
    <w:rsid w:val="000027C8"/>
    <w:rsid w:val="0000285A"/>
    <w:rsid w:val="00002D86"/>
    <w:rsid w:val="00003A3F"/>
    <w:rsid w:val="00004E5C"/>
    <w:rsid w:val="00005443"/>
    <w:rsid w:val="00005E79"/>
    <w:rsid w:val="000067A3"/>
    <w:rsid w:val="00014531"/>
    <w:rsid w:val="00014DF1"/>
    <w:rsid w:val="00015333"/>
    <w:rsid w:val="00015C9C"/>
    <w:rsid w:val="0001647D"/>
    <w:rsid w:val="0001650A"/>
    <w:rsid w:val="000165A8"/>
    <w:rsid w:val="0001665A"/>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DB4"/>
    <w:rsid w:val="00072AEF"/>
    <w:rsid w:val="00072C40"/>
    <w:rsid w:val="0007377C"/>
    <w:rsid w:val="00073E89"/>
    <w:rsid w:val="00074445"/>
    <w:rsid w:val="00074926"/>
    <w:rsid w:val="000753AE"/>
    <w:rsid w:val="0007662F"/>
    <w:rsid w:val="00077788"/>
    <w:rsid w:val="000777DB"/>
    <w:rsid w:val="00080479"/>
    <w:rsid w:val="00080C91"/>
    <w:rsid w:val="00081E58"/>
    <w:rsid w:val="00084056"/>
    <w:rsid w:val="00084085"/>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7BB7"/>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481C"/>
    <w:rsid w:val="001269FF"/>
    <w:rsid w:val="001303A1"/>
    <w:rsid w:val="001303B7"/>
    <w:rsid w:val="00131D1B"/>
    <w:rsid w:val="00132B99"/>
    <w:rsid w:val="00132BF1"/>
    <w:rsid w:val="001330BB"/>
    <w:rsid w:val="001339C6"/>
    <w:rsid w:val="00134327"/>
    <w:rsid w:val="001347A9"/>
    <w:rsid w:val="00135872"/>
    <w:rsid w:val="00136173"/>
    <w:rsid w:val="00136D1E"/>
    <w:rsid w:val="001377F8"/>
    <w:rsid w:val="00137F99"/>
    <w:rsid w:val="0014084B"/>
    <w:rsid w:val="001440F2"/>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2078"/>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62DC"/>
    <w:rsid w:val="00186401"/>
    <w:rsid w:val="00186442"/>
    <w:rsid w:val="001866A1"/>
    <w:rsid w:val="001923EA"/>
    <w:rsid w:val="00192735"/>
    <w:rsid w:val="00192FBA"/>
    <w:rsid w:val="00193696"/>
    <w:rsid w:val="00193EC6"/>
    <w:rsid w:val="0019411E"/>
    <w:rsid w:val="001947FB"/>
    <w:rsid w:val="00195720"/>
    <w:rsid w:val="001958B9"/>
    <w:rsid w:val="00196CDD"/>
    <w:rsid w:val="001975C9"/>
    <w:rsid w:val="001A065E"/>
    <w:rsid w:val="001A189F"/>
    <w:rsid w:val="001A293D"/>
    <w:rsid w:val="001A2A77"/>
    <w:rsid w:val="001A3908"/>
    <w:rsid w:val="001A3A5A"/>
    <w:rsid w:val="001A4457"/>
    <w:rsid w:val="001A5133"/>
    <w:rsid w:val="001A5EA1"/>
    <w:rsid w:val="001A6DCB"/>
    <w:rsid w:val="001A773A"/>
    <w:rsid w:val="001A77C4"/>
    <w:rsid w:val="001A7BE0"/>
    <w:rsid w:val="001B15C6"/>
    <w:rsid w:val="001B17D1"/>
    <w:rsid w:val="001B229E"/>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570"/>
    <w:rsid w:val="001C1E56"/>
    <w:rsid w:val="001C28B3"/>
    <w:rsid w:val="001C2CF6"/>
    <w:rsid w:val="001C4064"/>
    <w:rsid w:val="001C49F4"/>
    <w:rsid w:val="001C71D7"/>
    <w:rsid w:val="001D0F66"/>
    <w:rsid w:val="001D125F"/>
    <w:rsid w:val="001D16DA"/>
    <w:rsid w:val="001D17FB"/>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4651"/>
    <w:rsid w:val="00204D75"/>
    <w:rsid w:val="002050D7"/>
    <w:rsid w:val="002051B0"/>
    <w:rsid w:val="00205225"/>
    <w:rsid w:val="00205413"/>
    <w:rsid w:val="00205AEF"/>
    <w:rsid w:val="00205D72"/>
    <w:rsid w:val="0020686F"/>
    <w:rsid w:val="002076AA"/>
    <w:rsid w:val="0021027A"/>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5B9"/>
    <w:rsid w:val="00224A21"/>
    <w:rsid w:val="00225099"/>
    <w:rsid w:val="002250CA"/>
    <w:rsid w:val="0022607A"/>
    <w:rsid w:val="00226152"/>
    <w:rsid w:val="00226456"/>
    <w:rsid w:val="002264D0"/>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5F5A"/>
    <w:rsid w:val="00257031"/>
    <w:rsid w:val="00257CB4"/>
    <w:rsid w:val="002603C8"/>
    <w:rsid w:val="0026138C"/>
    <w:rsid w:val="00262012"/>
    <w:rsid w:val="00263DE8"/>
    <w:rsid w:val="0026466E"/>
    <w:rsid w:val="00264D7B"/>
    <w:rsid w:val="00264EBF"/>
    <w:rsid w:val="00265DD9"/>
    <w:rsid w:val="002667EA"/>
    <w:rsid w:val="00266C56"/>
    <w:rsid w:val="00267A99"/>
    <w:rsid w:val="002702C1"/>
    <w:rsid w:val="0027264B"/>
    <w:rsid w:val="002736CE"/>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E8D"/>
    <w:rsid w:val="002A68CD"/>
    <w:rsid w:val="002B13CB"/>
    <w:rsid w:val="002B14EA"/>
    <w:rsid w:val="002B1854"/>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3521"/>
    <w:rsid w:val="002E37F4"/>
    <w:rsid w:val="002E43A5"/>
    <w:rsid w:val="002E5665"/>
    <w:rsid w:val="002E7318"/>
    <w:rsid w:val="002E7617"/>
    <w:rsid w:val="002E7C56"/>
    <w:rsid w:val="002E7D8E"/>
    <w:rsid w:val="002F0408"/>
    <w:rsid w:val="002F06FF"/>
    <w:rsid w:val="002F210E"/>
    <w:rsid w:val="002F27B6"/>
    <w:rsid w:val="002F2B50"/>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735"/>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8C0"/>
    <w:rsid w:val="00356E07"/>
    <w:rsid w:val="0036056A"/>
    <w:rsid w:val="003639E8"/>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7A8"/>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3DC3"/>
    <w:rsid w:val="00593E6C"/>
    <w:rsid w:val="0059433A"/>
    <w:rsid w:val="00594ADE"/>
    <w:rsid w:val="00594ECA"/>
    <w:rsid w:val="00595505"/>
    <w:rsid w:val="005964EC"/>
    <w:rsid w:val="00596AB7"/>
    <w:rsid w:val="00596D1F"/>
    <w:rsid w:val="00597CA5"/>
    <w:rsid w:val="005A1261"/>
    <w:rsid w:val="005A1DB5"/>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41C5"/>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F2"/>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2A3C"/>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76"/>
    <w:rsid w:val="008A6CBE"/>
    <w:rsid w:val="008A7EE8"/>
    <w:rsid w:val="008B0DE7"/>
    <w:rsid w:val="008B1D38"/>
    <w:rsid w:val="008B280C"/>
    <w:rsid w:val="008B304A"/>
    <w:rsid w:val="008B32A3"/>
    <w:rsid w:val="008B3F1E"/>
    <w:rsid w:val="008B3FF9"/>
    <w:rsid w:val="008B4641"/>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7CA7"/>
    <w:rsid w:val="008F156B"/>
    <w:rsid w:val="008F191F"/>
    <w:rsid w:val="008F2F0A"/>
    <w:rsid w:val="008F55C0"/>
    <w:rsid w:val="008F5751"/>
    <w:rsid w:val="008F5B0A"/>
    <w:rsid w:val="008F5EA9"/>
    <w:rsid w:val="008F7C2F"/>
    <w:rsid w:val="00900130"/>
    <w:rsid w:val="00901034"/>
    <w:rsid w:val="00901911"/>
    <w:rsid w:val="009024D7"/>
    <w:rsid w:val="00902520"/>
    <w:rsid w:val="0090254C"/>
    <w:rsid w:val="00902D20"/>
    <w:rsid w:val="0090353E"/>
    <w:rsid w:val="0090392D"/>
    <w:rsid w:val="00904D25"/>
    <w:rsid w:val="00904E04"/>
    <w:rsid w:val="00906450"/>
    <w:rsid w:val="009067E6"/>
    <w:rsid w:val="0090683B"/>
    <w:rsid w:val="009076C9"/>
    <w:rsid w:val="00907B80"/>
    <w:rsid w:val="00910CA5"/>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F4F"/>
    <w:rsid w:val="009A41E9"/>
    <w:rsid w:val="009A4CB1"/>
    <w:rsid w:val="009A5014"/>
    <w:rsid w:val="009A58D9"/>
    <w:rsid w:val="009A66B4"/>
    <w:rsid w:val="009A6F18"/>
    <w:rsid w:val="009B0EBD"/>
    <w:rsid w:val="009B1893"/>
    <w:rsid w:val="009B24A4"/>
    <w:rsid w:val="009B2621"/>
    <w:rsid w:val="009B34E3"/>
    <w:rsid w:val="009B38A3"/>
    <w:rsid w:val="009B44FE"/>
    <w:rsid w:val="009B50F1"/>
    <w:rsid w:val="009B5107"/>
    <w:rsid w:val="009B6D2B"/>
    <w:rsid w:val="009C0007"/>
    <w:rsid w:val="009C0924"/>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981"/>
    <w:rsid w:val="009E0D44"/>
    <w:rsid w:val="009E114C"/>
    <w:rsid w:val="009E230A"/>
    <w:rsid w:val="009E30CC"/>
    <w:rsid w:val="009E3C16"/>
    <w:rsid w:val="009E4D7C"/>
    <w:rsid w:val="009E4DD0"/>
    <w:rsid w:val="009E5F04"/>
    <w:rsid w:val="009E7B97"/>
    <w:rsid w:val="009F00F6"/>
    <w:rsid w:val="009F09F3"/>
    <w:rsid w:val="009F0E84"/>
    <w:rsid w:val="009F130C"/>
    <w:rsid w:val="009F2D54"/>
    <w:rsid w:val="009F2F92"/>
    <w:rsid w:val="009F3395"/>
    <w:rsid w:val="009F4163"/>
    <w:rsid w:val="009F50DD"/>
    <w:rsid w:val="009F6DDF"/>
    <w:rsid w:val="009F70B8"/>
    <w:rsid w:val="00A009B3"/>
    <w:rsid w:val="00A00C92"/>
    <w:rsid w:val="00A02691"/>
    <w:rsid w:val="00A03272"/>
    <w:rsid w:val="00A06AAB"/>
    <w:rsid w:val="00A0758E"/>
    <w:rsid w:val="00A0783C"/>
    <w:rsid w:val="00A078F5"/>
    <w:rsid w:val="00A07E1C"/>
    <w:rsid w:val="00A11238"/>
    <w:rsid w:val="00A11F67"/>
    <w:rsid w:val="00A11FCC"/>
    <w:rsid w:val="00A12825"/>
    <w:rsid w:val="00A12B21"/>
    <w:rsid w:val="00A12E36"/>
    <w:rsid w:val="00A13146"/>
    <w:rsid w:val="00A132BF"/>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C0F"/>
    <w:rsid w:val="00A760F3"/>
    <w:rsid w:val="00A7624A"/>
    <w:rsid w:val="00A776C2"/>
    <w:rsid w:val="00A776D1"/>
    <w:rsid w:val="00A77E09"/>
    <w:rsid w:val="00A816AF"/>
    <w:rsid w:val="00A81720"/>
    <w:rsid w:val="00A818E4"/>
    <w:rsid w:val="00A82B19"/>
    <w:rsid w:val="00A83C04"/>
    <w:rsid w:val="00A83ED1"/>
    <w:rsid w:val="00A84DE6"/>
    <w:rsid w:val="00A85C63"/>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A0635"/>
    <w:rsid w:val="00AA068C"/>
    <w:rsid w:val="00AA1412"/>
    <w:rsid w:val="00AA162D"/>
    <w:rsid w:val="00AA21C4"/>
    <w:rsid w:val="00AA2A40"/>
    <w:rsid w:val="00AA36ED"/>
    <w:rsid w:val="00AA37B5"/>
    <w:rsid w:val="00AA4737"/>
    <w:rsid w:val="00AA4899"/>
    <w:rsid w:val="00AA48B5"/>
    <w:rsid w:val="00AA5262"/>
    <w:rsid w:val="00AA5AB7"/>
    <w:rsid w:val="00AA5BE3"/>
    <w:rsid w:val="00AA77EF"/>
    <w:rsid w:val="00AB019A"/>
    <w:rsid w:val="00AB22B2"/>
    <w:rsid w:val="00AB2877"/>
    <w:rsid w:val="00AB2F06"/>
    <w:rsid w:val="00AB315D"/>
    <w:rsid w:val="00AB3E95"/>
    <w:rsid w:val="00AB54CB"/>
    <w:rsid w:val="00AB661C"/>
    <w:rsid w:val="00AB689D"/>
    <w:rsid w:val="00AB7491"/>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6C2B"/>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82C"/>
    <w:rsid w:val="00B80280"/>
    <w:rsid w:val="00B80B44"/>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E0C"/>
    <w:rsid w:val="00BA03D4"/>
    <w:rsid w:val="00BA0EF1"/>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3443"/>
    <w:rsid w:val="00BB43C3"/>
    <w:rsid w:val="00BB45B4"/>
    <w:rsid w:val="00BB53C1"/>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20E6"/>
    <w:rsid w:val="00C521ED"/>
    <w:rsid w:val="00C522F3"/>
    <w:rsid w:val="00C536ED"/>
    <w:rsid w:val="00C539DD"/>
    <w:rsid w:val="00C541F9"/>
    <w:rsid w:val="00C543EE"/>
    <w:rsid w:val="00C543F3"/>
    <w:rsid w:val="00C55D19"/>
    <w:rsid w:val="00C5608D"/>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2108"/>
    <w:rsid w:val="00C8314F"/>
    <w:rsid w:val="00C8376F"/>
    <w:rsid w:val="00C83C87"/>
    <w:rsid w:val="00C8449B"/>
    <w:rsid w:val="00C8642F"/>
    <w:rsid w:val="00C86596"/>
    <w:rsid w:val="00C876E4"/>
    <w:rsid w:val="00C87CDF"/>
    <w:rsid w:val="00C90B07"/>
    <w:rsid w:val="00C9124D"/>
    <w:rsid w:val="00C9228D"/>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6071"/>
    <w:rsid w:val="00CE7253"/>
    <w:rsid w:val="00CE7D13"/>
    <w:rsid w:val="00CF0B5D"/>
    <w:rsid w:val="00CF2621"/>
    <w:rsid w:val="00CF2EA3"/>
    <w:rsid w:val="00CF2ED6"/>
    <w:rsid w:val="00CF31D7"/>
    <w:rsid w:val="00CF3926"/>
    <w:rsid w:val="00CF3DF7"/>
    <w:rsid w:val="00CF5476"/>
    <w:rsid w:val="00CF5A08"/>
    <w:rsid w:val="00CF5FCD"/>
    <w:rsid w:val="00CF6C04"/>
    <w:rsid w:val="00CF7883"/>
    <w:rsid w:val="00CF7F9F"/>
    <w:rsid w:val="00D0085C"/>
    <w:rsid w:val="00D00BA8"/>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5E24"/>
    <w:rsid w:val="00D56336"/>
    <w:rsid w:val="00D56FAE"/>
    <w:rsid w:val="00D5718E"/>
    <w:rsid w:val="00D5771F"/>
    <w:rsid w:val="00D577B2"/>
    <w:rsid w:val="00D604ED"/>
    <w:rsid w:val="00D60F10"/>
    <w:rsid w:val="00D62BF4"/>
    <w:rsid w:val="00D634FD"/>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3370"/>
    <w:rsid w:val="00DD376D"/>
    <w:rsid w:val="00DD4286"/>
    <w:rsid w:val="00DD4383"/>
    <w:rsid w:val="00DD43B9"/>
    <w:rsid w:val="00DD4F6F"/>
    <w:rsid w:val="00DD7853"/>
    <w:rsid w:val="00DE1399"/>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D68"/>
    <w:rsid w:val="00DF4C1E"/>
    <w:rsid w:val="00DF5151"/>
    <w:rsid w:val="00DF5373"/>
    <w:rsid w:val="00DF5BE1"/>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7141"/>
    <w:rsid w:val="00E27F67"/>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698C"/>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20D2"/>
    <w:rsid w:val="00EB2305"/>
    <w:rsid w:val="00EB3DE4"/>
    <w:rsid w:val="00EB4580"/>
    <w:rsid w:val="00EB4DDB"/>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B3F"/>
    <w:rsid w:val="00EF30BD"/>
    <w:rsid w:val="00EF3E73"/>
    <w:rsid w:val="00EF4F08"/>
    <w:rsid w:val="00EF5801"/>
    <w:rsid w:val="00EF63A9"/>
    <w:rsid w:val="00EF657C"/>
    <w:rsid w:val="00EF6DB2"/>
    <w:rsid w:val="00EF6F37"/>
    <w:rsid w:val="00F003BF"/>
    <w:rsid w:val="00F02DBA"/>
    <w:rsid w:val="00F0315C"/>
    <w:rsid w:val="00F0389C"/>
    <w:rsid w:val="00F04313"/>
    <w:rsid w:val="00F06086"/>
    <w:rsid w:val="00F0726F"/>
    <w:rsid w:val="00F07B12"/>
    <w:rsid w:val="00F07D69"/>
    <w:rsid w:val="00F1034D"/>
    <w:rsid w:val="00F1079F"/>
    <w:rsid w:val="00F117ED"/>
    <w:rsid w:val="00F11876"/>
    <w:rsid w:val="00F1193D"/>
    <w:rsid w:val="00F12A31"/>
    <w:rsid w:val="00F132B1"/>
    <w:rsid w:val="00F148C3"/>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861"/>
    <w:rsid w:val="00F37BD3"/>
    <w:rsid w:val="00F4040B"/>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0F8"/>
    <w:rsid w:val="00F61966"/>
    <w:rsid w:val="00F621E0"/>
    <w:rsid w:val="00F623EA"/>
    <w:rsid w:val="00F628A5"/>
    <w:rsid w:val="00F62992"/>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F047B"/>
    <w:rsid w:val="00FF0F14"/>
    <w:rsid w:val="00FF177B"/>
    <w:rsid w:val="00FF249C"/>
    <w:rsid w:val="00FF2551"/>
    <w:rsid w:val="00FF2EA1"/>
    <w:rsid w:val="00FF35F6"/>
    <w:rsid w:val="00FF5C39"/>
    <w:rsid w:val="00FF5D67"/>
    <w:rsid w:val="00FF6321"/>
    <w:rsid w:val="00FF7622"/>
    <w:rsid w:val="0118668B"/>
    <w:rsid w:val="013546C2"/>
    <w:rsid w:val="0135774A"/>
    <w:rsid w:val="013E2FDB"/>
    <w:rsid w:val="014B1572"/>
    <w:rsid w:val="01594F8E"/>
    <w:rsid w:val="0162388A"/>
    <w:rsid w:val="0164104B"/>
    <w:rsid w:val="01962396"/>
    <w:rsid w:val="01986A8A"/>
    <w:rsid w:val="01E22EEF"/>
    <w:rsid w:val="02094019"/>
    <w:rsid w:val="02180C4F"/>
    <w:rsid w:val="02323EE3"/>
    <w:rsid w:val="02395A7B"/>
    <w:rsid w:val="024876E8"/>
    <w:rsid w:val="024E4BFB"/>
    <w:rsid w:val="025A3D10"/>
    <w:rsid w:val="02E0504F"/>
    <w:rsid w:val="02E97045"/>
    <w:rsid w:val="02FB6E41"/>
    <w:rsid w:val="032C1F09"/>
    <w:rsid w:val="035A3286"/>
    <w:rsid w:val="039C14CE"/>
    <w:rsid w:val="039E364D"/>
    <w:rsid w:val="03DB4DEE"/>
    <w:rsid w:val="03E53FC5"/>
    <w:rsid w:val="03FB06D5"/>
    <w:rsid w:val="047707C7"/>
    <w:rsid w:val="047A1299"/>
    <w:rsid w:val="048B07CE"/>
    <w:rsid w:val="04B33CE6"/>
    <w:rsid w:val="04D12E16"/>
    <w:rsid w:val="04DE0149"/>
    <w:rsid w:val="04FD01C0"/>
    <w:rsid w:val="05095B77"/>
    <w:rsid w:val="051F4028"/>
    <w:rsid w:val="055E0BF4"/>
    <w:rsid w:val="05612529"/>
    <w:rsid w:val="0565770D"/>
    <w:rsid w:val="05A620A8"/>
    <w:rsid w:val="05C23407"/>
    <w:rsid w:val="05CB7AED"/>
    <w:rsid w:val="05ED5ADF"/>
    <w:rsid w:val="061E12BC"/>
    <w:rsid w:val="063D39AF"/>
    <w:rsid w:val="06A50151"/>
    <w:rsid w:val="06AB3EFB"/>
    <w:rsid w:val="06AB62C8"/>
    <w:rsid w:val="06C73992"/>
    <w:rsid w:val="07064C42"/>
    <w:rsid w:val="073A04FC"/>
    <w:rsid w:val="0744562C"/>
    <w:rsid w:val="0772543B"/>
    <w:rsid w:val="077305E3"/>
    <w:rsid w:val="07794DA8"/>
    <w:rsid w:val="07872C09"/>
    <w:rsid w:val="079F4F94"/>
    <w:rsid w:val="07C55136"/>
    <w:rsid w:val="07CD0531"/>
    <w:rsid w:val="07CD6A87"/>
    <w:rsid w:val="07D1037A"/>
    <w:rsid w:val="07E000D7"/>
    <w:rsid w:val="07E4144E"/>
    <w:rsid w:val="089C3DAF"/>
    <w:rsid w:val="08BF50D9"/>
    <w:rsid w:val="08D11764"/>
    <w:rsid w:val="08F46B39"/>
    <w:rsid w:val="08FA0F77"/>
    <w:rsid w:val="096E10A3"/>
    <w:rsid w:val="09922992"/>
    <w:rsid w:val="09ED0187"/>
    <w:rsid w:val="0A2843CF"/>
    <w:rsid w:val="0A3A5F39"/>
    <w:rsid w:val="0A530C57"/>
    <w:rsid w:val="0AEA5174"/>
    <w:rsid w:val="0B242CDB"/>
    <w:rsid w:val="0B2B217D"/>
    <w:rsid w:val="0B2D534F"/>
    <w:rsid w:val="0B7E6BC4"/>
    <w:rsid w:val="0B8A6050"/>
    <w:rsid w:val="0B963E5B"/>
    <w:rsid w:val="0B9A3222"/>
    <w:rsid w:val="0BBF6BB4"/>
    <w:rsid w:val="0BF12592"/>
    <w:rsid w:val="0BFD6E37"/>
    <w:rsid w:val="0C345EBE"/>
    <w:rsid w:val="0C531FF7"/>
    <w:rsid w:val="0C556F6C"/>
    <w:rsid w:val="0C7809C1"/>
    <w:rsid w:val="0CA2715E"/>
    <w:rsid w:val="0CD122CF"/>
    <w:rsid w:val="0D7D2F98"/>
    <w:rsid w:val="0D9F562E"/>
    <w:rsid w:val="0DC47AD7"/>
    <w:rsid w:val="0E0B3EC4"/>
    <w:rsid w:val="0E11230D"/>
    <w:rsid w:val="0E9D0974"/>
    <w:rsid w:val="0EA800E3"/>
    <w:rsid w:val="0EBB6CD6"/>
    <w:rsid w:val="0EC251D9"/>
    <w:rsid w:val="0ED111EF"/>
    <w:rsid w:val="0F1A3C82"/>
    <w:rsid w:val="0F3321D7"/>
    <w:rsid w:val="0F4A0140"/>
    <w:rsid w:val="0F9A617E"/>
    <w:rsid w:val="0FFF3EA0"/>
    <w:rsid w:val="108D44F3"/>
    <w:rsid w:val="10B60429"/>
    <w:rsid w:val="10D4508F"/>
    <w:rsid w:val="10DA16C3"/>
    <w:rsid w:val="10FF5858"/>
    <w:rsid w:val="113A1037"/>
    <w:rsid w:val="113D5343"/>
    <w:rsid w:val="11402131"/>
    <w:rsid w:val="11802E11"/>
    <w:rsid w:val="11E627C6"/>
    <w:rsid w:val="11F77F16"/>
    <w:rsid w:val="11FC7DD0"/>
    <w:rsid w:val="12144A4C"/>
    <w:rsid w:val="121E59E9"/>
    <w:rsid w:val="12274323"/>
    <w:rsid w:val="12792853"/>
    <w:rsid w:val="128E38FC"/>
    <w:rsid w:val="12977C5B"/>
    <w:rsid w:val="13170947"/>
    <w:rsid w:val="131979D7"/>
    <w:rsid w:val="133B281E"/>
    <w:rsid w:val="13753309"/>
    <w:rsid w:val="13C3253D"/>
    <w:rsid w:val="13F638FD"/>
    <w:rsid w:val="14827852"/>
    <w:rsid w:val="14C77127"/>
    <w:rsid w:val="14C96AB4"/>
    <w:rsid w:val="1502207E"/>
    <w:rsid w:val="1517452C"/>
    <w:rsid w:val="153D308F"/>
    <w:rsid w:val="156C4FA6"/>
    <w:rsid w:val="15703588"/>
    <w:rsid w:val="158647F4"/>
    <w:rsid w:val="15D96070"/>
    <w:rsid w:val="15F202E1"/>
    <w:rsid w:val="160216D0"/>
    <w:rsid w:val="1641787C"/>
    <w:rsid w:val="1649653A"/>
    <w:rsid w:val="166C3EE1"/>
    <w:rsid w:val="16860739"/>
    <w:rsid w:val="16AB203A"/>
    <w:rsid w:val="16E96F15"/>
    <w:rsid w:val="1705389A"/>
    <w:rsid w:val="173931F9"/>
    <w:rsid w:val="173A2937"/>
    <w:rsid w:val="174940E7"/>
    <w:rsid w:val="175A5A29"/>
    <w:rsid w:val="17656506"/>
    <w:rsid w:val="178D354C"/>
    <w:rsid w:val="17A66650"/>
    <w:rsid w:val="17E41028"/>
    <w:rsid w:val="17EA48C1"/>
    <w:rsid w:val="183E69BC"/>
    <w:rsid w:val="18701E4F"/>
    <w:rsid w:val="187B3DDE"/>
    <w:rsid w:val="1881346C"/>
    <w:rsid w:val="188F2709"/>
    <w:rsid w:val="189265D1"/>
    <w:rsid w:val="18A0023E"/>
    <w:rsid w:val="18A349BF"/>
    <w:rsid w:val="18B92AD3"/>
    <w:rsid w:val="18BE701B"/>
    <w:rsid w:val="18DE5562"/>
    <w:rsid w:val="19885908"/>
    <w:rsid w:val="19935E0F"/>
    <w:rsid w:val="19942E31"/>
    <w:rsid w:val="19D67B1E"/>
    <w:rsid w:val="1AC55489"/>
    <w:rsid w:val="1ADD7830"/>
    <w:rsid w:val="1B016E5B"/>
    <w:rsid w:val="1B256357"/>
    <w:rsid w:val="1B2C3AB0"/>
    <w:rsid w:val="1B4725E1"/>
    <w:rsid w:val="1B5E62E3"/>
    <w:rsid w:val="1B744924"/>
    <w:rsid w:val="1B876503"/>
    <w:rsid w:val="1B8A18C6"/>
    <w:rsid w:val="1BA54A8B"/>
    <w:rsid w:val="1C025315"/>
    <w:rsid w:val="1C4C471F"/>
    <w:rsid w:val="1C560620"/>
    <w:rsid w:val="1C620459"/>
    <w:rsid w:val="1C7366B7"/>
    <w:rsid w:val="1C9B1BC8"/>
    <w:rsid w:val="1CBC0110"/>
    <w:rsid w:val="1CBC1D09"/>
    <w:rsid w:val="1D130F0E"/>
    <w:rsid w:val="1D194B3E"/>
    <w:rsid w:val="1D2B3DD1"/>
    <w:rsid w:val="1D6B1484"/>
    <w:rsid w:val="1D7E4261"/>
    <w:rsid w:val="1DBA42CB"/>
    <w:rsid w:val="1DC00253"/>
    <w:rsid w:val="1E8E78CB"/>
    <w:rsid w:val="1EBD2DF7"/>
    <w:rsid w:val="1EF73F6B"/>
    <w:rsid w:val="1F1C0E6C"/>
    <w:rsid w:val="1F4D283F"/>
    <w:rsid w:val="1F520EA6"/>
    <w:rsid w:val="1F68071B"/>
    <w:rsid w:val="1F895A0A"/>
    <w:rsid w:val="203C5CAF"/>
    <w:rsid w:val="20990487"/>
    <w:rsid w:val="209B7CBB"/>
    <w:rsid w:val="209E5422"/>
    <w:rsid w:val="21163F6A"/>
    <w:rsid w:val="213D1A28"/>
    <w:rsid w:val="214F6293"/>
    <w:rsid w:val="21917BAD"/>
    <w:rsid w:val="21D05464"/>
    <w:rsid w:val="21F76D20"/>
    <w:rsid w:val="22385B62"/>
    <w:rsid w:val="227D483A"/>
    <w:rsid w:val="229C7278"/>
    <w:rsid w:val="232B3A85"/>
    <w:rsid w:val="236554EA"/>
    <w:rsid w:val="23BB3852"/>
    <w:rsid w:val="23E62F23"/>
    <w:rsid w:val="23E67023"/>
    <w:rsid w:val="240B4467"/>
    <w:rsid w:val="242F6B78"/>
    <w:rsid w:val="24463E25"/>
    <w:rsid w:val="245C6B98"/>
    <w:rsid w:val="248E3519"/>
    <w:rsid w:val="24C27484"/>
    <w:rsid w:val="24CB252C"/>
    <w:rsid w:val="24D455A6"/>
    <w:rsid w:val="250C2861"/>
    <w:rsid w:val="251531C2"/>
    <w:rsid w:val="25D9208B"/>
    <w:rsid w:val="25F00525"/>
    <w:rsid w:val="260236E8"/>
    <w:rsid w:val="26151691"/>
    <w:rsid w:val="261F0915"/>
    <w:rsid w:val="262C612C"/>
    <w:rsid w:val="2636365C"/>
    <w:rsid w:val="26485DDA"/>
    <w:rsid w:val="26C16EE4"/>
    <w:rsid w:val="26C4232B"/>
    <w:rsid w:val="26D24959"/>
    <w:rsid w:val="26FF3301"/>
    <w:rsid w:val="27084092"/>
    <w:rsid w:val="27126946"/>
    <w:rsid w:val="2713017F"/>
    <w:rsid w:val="271734C0"/>
    <w:rsid w:val="272125D8"/>
    <w:rsid w:val="272B2C33"/>
    <w:rsid w:val="27505101"/>
    <w:rsid w:val="27820BC2"/>
    <w:rsid w:val="27893664"/>
    <w:rsid w:val="278E1A78"/>
    <w:rsid w:val="27B30233"/>
    <w:rsid w:val="27F048EA"/>
    <w:rsid w:val="27FF53AE"/>
    <w:rsid w:val="28165599"/>
    <w:rsid w:val="282A104F"/>
    <w:rsid w:val="2830506B"/>
    <w:rsid w:val="283C7518"/>
    <w:rsid w:val="289F28B3"/>
    <w:rsid w:val="28AF8F85"/>
    <w:rsid w:val="28CE1560"/>
    <w:rsid w:val="291A6927"/>
    <w:rsid w:val="294F729A"/>
    <w:rsid w:val="29AC3D11"/>
    <w:rsid w:val="29BC3A9C"/>
    <w:rsid w:val="29C320D0"/>
    <w:rsid w:val="29C857B8"/>
    <w:rsid w:val="2A0132C5"/>
    <w:rsid w:val="2A027543"/>
    <w:rsid w:val="2A092AB2"/>
    <w:rsid w:val="2A674247"/>
    <w:rsid w:val="2A68533D"/>
    <w:rsid w:val="2A73762E"/>
    <w:rsid w:val="2A7E2845"/>
    <w:rsid w:val="2A98201C"/>
    <w:rsid w:val="2A991300"/>
    <w:rsid w:val="2AD65FF2"/>
    <w:rsid w:val="2AE64A3A"/>
    <w:rsid w:val="2AFC22F2"/>
    <w:rsid w:val="2B614843"/>
    <w:rsid w:val="2B6949ED"/>
    <w:rsid w:val="2B957A74"/>
    <w:rsid w:val="2B991A2E"/>
    <w:rsid w:val="2BB330B5"/>
    <w:rsid w:val="2BCD6D60"/>
    <w:rsid w:val="2BD8047D"/>
    <w:rsid w:val="2C1C5785"/>
    <w:rsid w:val="2C37731C"/>
    <w:rsid w:val="2C4C3FEA"/>
    <w:rsid w:val="2C502C7D"/>
    <w:rsid w:val="2C580CE5"/>
    <w:rsid w:val="2C6A0080"/>
    <w:rsid w:val="2C6E022A"/>
    <w:rsid w:val="2C982A9C"/>
    <w:rsid w:val="2CEC10E5"/>
    <w:rsid w:val="2CF162E8"/>
    <w:rsid w:val="2D0A64C3"/>
    <w:rsid w:val="2D87411D"/>
    <w:rsid w:val="2D9D1A03"/>
    <w:rsid w:val="2DF94778"/>
    <w:rsid w:val="2E0B420B"/>
    <w:rsid w:val="2E250BA1"/>
    <w:rsid w:val="2E2547BF"/>
    <w:rsid w:val="2E627409"/>
    <w:rsid w:val="2EEA75E2"/>
    <w:rsid w:val="2F1E5674"/>
    <w:rsid w:val="2F37683A"/>
    <w:rsid w:val="30062276"/>
    <w:rsid w:val="301C67E3"/>
    <w:rsid w:val="304A2C3E"/>
    <w:rsid w:val="31227DC2"/>
    <w:rsid w:val="31440443"/>
    <w:rsid w:val="31572FB9"/>
    <w:rsid w:val="31C01D69"/>
    <w:rsid w:val="31EE26C8"/>
    <w:rsid w:val="31F819E3"/>
    <w:rsid w:val="31FB698F"/>
    <w:rsid w:val="31FC7270"/>
    <w:rsid w:val="323A3E3E"/>
    <w:rsid w:val="3245483B"/>
    <w:rsid w:val="32C7765E"/>
    <w:rsid w:val="32CA2532"/>
    <w:rsid w:val="32D11F71"/>
    <w:rsid w:val="32D9029E"/>
    <w:rsid w:val="32E51725"/>
    <w:rsid w:val="336379DF"/>
    <w:rsid w:val="337067E5"/>
    <w:rsid w:val="33CF3597"/>
    <w:rsid w:val="33EB3CEE"/>
    <w:rsid w:val="347046D6"/>
    <w:rsid w:val="347D05BD"/>
    <w:rsid w:val="34AB4DE7"/>
    <w:rsid w:val="34B0337D"/>
    <w:rsid w:val="34B373AA"/>
    <w:rsid w:val="34BD2F98"/>
    <w:rsid w:val="34C9605D"/>
    <w:rsid w:val="34E76882"/>
    <w:rsid w:val="350D6E4B"/>
    <w:rsid w:val="350F5F0C"/>
    <w:rsid w:val="35431F27"/>
    <w:rsid w:val="35FD4B22"/>
    <w:rsid w:val="3607373D"/>
    <w:rsid w:val="3627678C"/>
    <w:rsid w:val="36746E1E"/>
    <w:rsid w:val="36896C72"/>
    <w:rsid w:val="36914F3A"/>
    <w:rsid w:val="36BC4AEB"/>
    <w:rsid w:val="36F529A6"/>
    <w:rsid w:val="373C6ED6"/>
    <w:rsid w:val="37434AEF"/>
    <w:rsid w:val="374C7A54"/>
    <w:rsid w:val="376161AC"/>
    <w:rsid w:val="37940A79"/>
    <w:rsid w:val="37AE2B10"/>
    <w:rsid w:val="37F073E0"/>
    <w:rsid w:val="38431C78"/>
    <w:rsid w:val="387029DF"/>
    <w:rsid w:val="387E353F"/>
    <w:rsid w:val="38F72B94"/>
    <w:rsid w:val="39517ED7"/>
    <w:rsid w:val="39534FCF"/>
    <w:rsid w:val="396D39E9"/>
    <w:rsid w:val="398B28D1"/>
    <w:rsid w:val="39CD3792"/>
    <w:rsid w:val="39D76AC2"/>
    <w:rsid w:val="3A3E4ECA"/>
    <w:rsid w:val="3A513525"/>
    <w:rsid w:val="3A6F3491"/>
    <w:rsid w:val="3A985175"/>
    <w:rsid w:val="3AB73588"/>
    <w:rsid w:val="3ABF338F"/>
    <w:rsid w:val="3AC96918"/>
    <w:rsid w:val="3ACD09A4"/>
    <w:rsid w:val="3AE414BC"/>
    <w:rsid w:val="3AF42E20"/>
    <w:rsid w:val="3B11419E"/>
    <w:rsid w:val="3B222B91"/>
    <w:rsid w:val="3B404BA3"/>
    <w:rsid w:val="3B8E0C0C"/>
    <w:rsid w:val="3BD40429"/>
    <w:rsid w:val="3C287BC5"/>
    <w:rsid w:val="3C512B18"/>
    <w:rsid w:val="3C825553"/>
    <w:rsid w:val="3C944844"/>
    <w:rsid w:val="3CBE27F6"/>
    <w:rsid w:val="3CDF2357"/>
    <w:rsid w:val="3D3A4C69"/>
    <w:rsid w:val="3D5D2570"/>
    <w:rsid w:val="3DC02AD4"/>
    <w:rsid w:val="3E4F523F"/>
    <w:rsid w:val="3EC22F0B"/>
    <w:rsid w:val="3EEB31F8"/>
    <w:rsid w:val="3EEE3672"/>
    <w:rsid w:val="3EFC0D98"/>
    <w:rsid w:val="3F004D6D"/>
    <w:rsid w:val="3F2175D6"/>
    <w:rsid w:val="3F4B667D"/>
    <w:rsid w:val="3F644550"/>
    <w:rsid w:val="3F670C29"/>
    <w:rsid w:val="3F910CA4"/>
    <w:rsid w:val="3FA32A44"/>
    <w:rsid w:val="3FDFE209"/>
    <w:rsid w:val="3FEE1B04"/>
    <w:rsid w:val="3FF141FF"/>
    <w:rsid w:val="400F6050"/>
    <w:rsid w:val="40132A87"/>
    <w:rsid w:val="401B42B1"/>
    <w:rsid w:val="401D42A1"/>
    <w:rsid w:val="403861BE"/>
    <w:rsid w:val="40565757"/>
    <w:rsid w:val="4086483C"/>
    <w:rsid w:val="40DD7C7A"/>
    <w:rsid w:val="40F232C5"/>
    <w:rsid w:val="415621B6"/>
    <w:rsid w:val="41650F9C"/>
    <w:rsid w:val="4196532A"/>
    <w:rsid w:val="41A056DA"/>
    <w:rsid w:val="42004864"/>
    <w:rsid w:val="424A5077"/>
    <w:rsid w:val="426C0506"/>
    <w:rsid w:val="42C81D3A"/>
    <w:rsid w:val="42C821DA"/>
    <w:rsid w:val="43232629"/>
    <w:rsid w:val="43657ED3"/>
    <w:rsid w:val="43863141"/>
    <w:rsid w:val="43B73360"/>
    <w:rsid w:val="43D12CBB"/>
    <w:rsid w:val="43D369D4"/>
    <w:rsid w:val="445115D2"/>
    <w:rsid w:val="44526384"/>
    <w:rsid w:val="447173A4"/>
    <w:rsid w:val="44836E6A"/>
    <w:rsid w:val="44B624A9"/>
    <w:rsid w:val="44FF0C3E"/>
    <w:rsid w:val="45156D9D"/>
    <w:rsid w:val="453A4E35"/>
    <w:rsid w:val="456E2077"/>
    <w:rsid w:val="45837DB9"/>
    <w:rsid w:val="458B3F14"/>
    <w:rsid w:val="45B705F7"/>
    <w:rsid w:val="45CA2A05"/>
    <w:rsid w:val="45D17A1D"/>
    <w:rsid w:val="46064ACA"/>
    <w:rsid w:val="46087E88"/>
    <w:rsid w:val="46346DD6"/>
    <w:rsid w:val="46372397"/>
    <w:rsid w:val="46536F4D"/>
    <w:rsid w:val="4693464D"/>
    <w:rsid w:val="46A5249C"/>
    <w:rsid w:val="473B0685"/>
    <w:rsid w:val="47411156"/>
    <w:rsid w:val="476D45C2"/>
    <w:rsid w:val="47733101"/>
    <w:rsid w:val="477D30ED"/>
    <w:rsid w:val="478F1D61"/>
    <w:rsid w:val="47AF75A2"/>
    <w:rsid w:val="47B343B5"/>
    <w:rsid w:val="480C5B3E"/>
    <w:rsid w:val="484C656D"/>
    <w:rsid w:val="48DC2D29"/>
    <w:rsid w:val="49133A09"/>
    <w:rsid w:val="492F1990"/>
    <w:rsid w:val="49376FD1"/>
    <w:rsid w:val="497273C6"/>
    <w:rsid w:val="49C30D39"/>
    <w:rsid w:val="4A331549"/>
    <w:rsid w:val="4A343C99"/>
    <w:rsid w:val="4A621E0C"/>
    <w:rsid w:val="4A642589"/>
    <w:rsid w:val="4A7B13BA"/>
    <w:rsid w:val="4A8E221A"/>
    <w:rsid w:val="4A921834"/>
    <w:rsid w:val="4ACA5CAA"/>
    <w:rsid w:val="4B7A2325"/>
    <w:rsid w:val="4BD03F9A"/>
    <w:rsid w:val="4BD741C5"/>
    <w:rsid w:val="4BF8613E"/>
    <w:rsid w:val="4C051C9C"/>
    <w:rsid w:val="4C0650FC"/>
    <w:rsid w:val="4C2F48E8"/>
    <w:rsid w:val="4C6548AF"/>
    <w:rsid w:val="4D0B6B9A"/>
    <w:rsid w:val="4D465B41"/>
    <w:rsid w:val="4D4A0B67"/>
    <w:rsid w:val="4DB8192E"/>
    <w:rsid w:val="4DB92B07"/>
    <w:rsid w:val="4E044168"/>
    <w:rsid w:val="4E3465C6"/>
    <w:rsid w:val="4E7D56CB"/>
    <w:rsid w:val="4EA973E8"/>
    <w:rsid w:val="4EAC070E"/>
    <w:rsid w:val="4EE028BD"/>
    <w:rsid w:val="4EFF0E96"/>
    <w:rsid w:val="4F0A765C"/>
    <w:rsid w:val="4F837F80"/>
    <w:rsid w:val="4FD46634"/>
    <w:rsid w:val="4FE56D34"/>
    <w:rsid w:val="50092009"/>
    <w:rsid w:val="500C03AD"/>
    <w:rsid w:val="501B3F38"/>
    <w:rsid w:val="508F2BFA"/>
    <w:rsid w:val="509C4042"/>
    <w:rsid w:val="50AE5B33"/>
    <w:rsid w:val="50B87237"/>
    <w:rsid w:val="50C529B2"/>
    <w:rsid w:val="50CF35DA"/>
    <w:rsid w:val="51185ECD"/>
    <w:rsid w:val="51193A29"/>
    <w:rsid w:val="511E40BF"/>
    <w:rsid w:val="51427A0F"/>
    <w:rsid w:val="514D16F8"/>
    <w:rsid w:val="516F2DB9"/>
    <w:rsid w:val="51AE5717"/>
    <w:rsid w:val="51BC2454"/>
    <w:rsid w:val="52124463"/>
    <w:rsid w:val="5224261C"/>
    <w:rsid w:val="52627DAB"/>
    <w:rsid w:val="52B85836"/>
    <w:rsid w:val="53227DDD"/>
    <w:rsid w:val="53287732"/>
    <w:rsid w:val="532B1F55"/>
    <w:rsid w:val="532C0CC6"/>
    <w:rsid w:val="5338000B"/>
    <w:rsid w:val="53460169"/>
    <w:rsid w:val="53492482"/>
    <w:rsid w:val="536F6135"/>
    <w:rsid w:val="537A6DDA"/>
    <w:rsid w:val="538602A2"/>
    <w:rsid w:val="53AF4785"/>
    <w:rsid w:val="53D64992"/>
    <w:rsid w:val="53D9491C"/>
    <w:rsid w:val="540E33C8"/>
    <w:rsid w:val="541C3E7D"/>
    <w:rsid w:val="542D463E"/>
    <w:rsid w:val="545D2B0A"/>
    <w:rsid w:val="547406A5"/>
    <w:rsid w:val="549C5E13"/>
    <w:rsid w:val="54A4710A"/>
    <w:rsid w:val="54CA0AEC"/>
    <w:rsid w:val="55512FE3"/>
    <w:rsid w:val="55660B92"/>
    <w:rsid w:val="55AB5E2E"/>
    <w:rsid w:val="561C05CB"/>
    <w:rsid w:val="56247D29"/>
    <w:rsid w:val="56272C6B"/>
    <w:rsid w:val="56276645"/>
    <w:rsid w:val="56366C36"/>
    <w:rsid w:val="566E7757"/>
    <w:rsid w:val="56B2378D"/>
    <w:rsid w:val="570E1B7D"/>
    <w:rsid w:val="573C6112"/>
    <w:rsid w:val="574949AA"/>
    <w:rsid w:val="575759DA"/>
    <w:rsid w:val="578F66E2"/>
    <w:rsid w:val="57BE1EF8"/>
    <w:rsid w:val="57E93BB8"/>
    <w:rsid w:val="580501AF"/>
    <w:rsid w:val="582B4AF2"/>
    <w:rsid w:val="58581DF1"/>
    <w:rsid w:val="587D13BE"/>
    <w:rsid w:val="588961CE"/>
    <w:rsid w:val="589658F5"/>
    <w:rsid w:val="5900275D"/>
    <w:rsid w:val="591612EA"/>
    <w:rsid w:val="591C7023"/>
    <w:rsid w:val="594F2A8B"/>
    <w:rsid w:val="595F280A"/>
    <w:rsid w:val="59692C51"/>
    <w:rsid w:val="59DD2FE2"/>
    <w:rsid w:val="5A0534C4"/>
    <w:rsid w:val="5A0F6842"/>
    <w:rsid w:val="5A29795E"/>
    <w:rsid w:val="5A2A4633"/>
    <w:rsid w:val="5A7D1893"/>
    <w:rsid w:val="5AB43F89"/>
    <w:rsid w:val="5AD9194A"/>
    <w:rsid w:val="5AF65560"/>
    <w:rsid w:val="5B4E5095"/>
    <w:rsid w:val="5BAD398F"/>
    <w:rsid w:val="5BAE468B"/>
    <w:rsid w:val="5BB503B7"/>
    <w:rsid w:val="5BBB7978"/>
    <w:rsid w:val="5BC273C6"/>
    <w:rsid w:val="5C2A0094"/>
    <w:rsid w:val="5C5E5FF3"/>
    <w:rsid w:val="5C99094F"/>
    <w:rsid w:val="5CD478FD"/>
    <w:rsid w:val="5D261D3E"/>
    <w:rsid w:val="5D431218"/>
    <w:rsid w:val="5D4361AE"/>
    <w:rsid w:val="5D4A08C1"/>
    <w:rsid w:val="5D7B111F"/>
    <w:rsid w:val="5D84663F"/>
    <w:rsid w:val="5DB8520C"/>
    <w:rsid w:val="5DF9782C"/>
    <w:rsid w:val="5E1D0CD6"/>
    <w:rsid w:val="5E520791"/>
    <w:rsid w:val="5E535EE5"/>
    <w:rsid w:val="5E7B2122"/>
    <w:rsid w:val="5E955889"/>
    <w:rsid w:val="5EA02EEC"/>
    <w:rsid w:val="5EC6593C"/>
    <w:rsid w:val="5F001174"/>
    <w:rsid w:val="5F1B0131"/>
    <w:rsid w:val="5F260275"/>
    <w:rsid w:val="5F57111D"/>
    <w:rsid w:val="5F6829C1"/>
    <w:rsid w:val="5F924CF6"/>
    <w:rsid w:val="5FAA1071"/>
    <w:rsid w:val="5FBD1614"/>
    <w:rsid w:val="5FC54B0F"/>
    <w:rsid w:val="5FF655F4"/>
    <w:rsid w:val="601F1DC2"/>
    <w:rsid w:val="603551EA"/>
    <w:rsid w:val="60626EEF"/>
    <w:rsid w:val="60A022FB"/>
    <w:rsid w:val="6105188D"/>
    <w:rsid w:val="61190549"/>
    <w:rsid w:val="61190CBA"/>
    <w:rsid w:val="612558FD"/>
    <w:rsid w:val="61533A4A"/>
    <w:rsid w:val="6181669C"/>
    <w:rsid w:val="619009B0"/>
    <w:rsid w:val="61DF2C4E"/>
    <w:rsid w:val="621F4EBE"/>
    <w:rsid w:val="62251304"/>
    <w:rsid w:val="62425977"/>
    <w:rsid w:val="625D353D"/>
    <w:rsid w:val="62617F52"/>
    <w:rsid w:val="627A3638"/>
    <w:rsid w:val="62B24FD0"/>
    <w:rsid w:val="62B36814"/>
    <w:rsid w:val="62D529B7"/>
    <w:rsid w:val="630B67BC"/>
    <w:rsid w:val="632E30CE"/>
    <w:rsid w:val="632F0616"/>
    <w:rsid w:val="63767625"/>
    <w:rsid w:val="63A40C8C"/>
    <w:rsid w:val="63A57962"/>
    <w:rsid w:val="63D50725"/>
    <w:rsid w:val="63DA5716"/>
    <w:rsid w:val="63E35EC0"/>
    <w:rsid w:val="63E45C9B"/>
    <w:rsid w:val="63FD5C20"/>
    <w:rsid w:val="645D0A4F"/>
    <w:rsid w:val="645D1B6C"/>
    <w:rsid w:val="64833B62"/>
    <w:rsid w:val="64AA535B"/>
    <w:rsid w:val="64BA6126"/>
    <w:rsid w:val="650E3DCC"/>
    <w:rsid w:val="652E734E"/>
    <w:rsid w:val="654939E3"/>
    <w:rsid w:val="65502038"/>
    <w:rsid w:val="65632BDF"/>
    <w:rsid w:val="6572002E"/>
    <w:rsid w:val="65A82464"/>
    <w:rsid w:val="65CC201A"/>
    <w:rsid w:val="65D01B96"/>
    <w:rsid w:val="65D501D1"/>
    <w:rsid w:val="66232D52"/>
    <w:rsid w:val="6673419F"/>
    <w:rsid w:val="66AA35BD"/>
    <w:rsid w:val="66D53C77"/>
    <w:rsid w:val="66EF02BB"/>
    <w:rsid w:val="66FF254C"/>
    <w:rsid w:val="670648FC"/>
    <w:rsid w:val="6792042E"/>
    <w:rsid w:val="67D3680C"/>
    <w:rsid w:val="67EB6046"/>
    <w:rsid w:val="682C6F01"/>
    <w:rsid w:val="684F7B59"/>
    <w:rsid w:val="68814B19"/>
    <w:rsid w:val="688D4417"/>
    <w:rsid w:val="68A77392"/>
    <w:rsid w:val="68CF1D29"/>
    <w:rsid w:val="68F54D97"/>
    <w:rsid w:val="691E277A"/>
    <w:rsid w:val="69210084"/>
    <w:rsid w:val="69243D5D"/>
    <w:rsid w:val="69332F86"/>
    <w:rsid w:val="693A4111"/>
    <w:rsid w:val="69490586"/>
    <w:rsid w:val="69C56C40"/>
    <w:rsid w:val="69E0646D"/>
    <w:rsid w:val="6A37523A"/>
    <w:rsid w:val="6A6A6FEF"/>
    <w:rsid w:val="6AAD2347"/>
    <w:rsid w:val="6AFD6A1C"/>
    <w:rsid w:val="6B5F47B0"/>
    <w:rsid w:val="6B664DD3"/>
    <w:rsid w:val="6B7617F3"/>
    <w:rsid w:val="6BB20337"/>
    <w:rsid w:val="6BC66D19"/>
    <w:rsid w:val="6BD965E4"/>
    <w:rsid w:val="6C093EDE"/>
    <w:rsid w:val="6C1B7974"/>
    <w:rsid w:val="6C2610FD"/>
    <w:rsid w:val="6C7653A8"/>
    <w:rsid w:val="6CE24969"/>
    <w:rsid w:val="6CE36C76"/>
    <w:rsid w:val="6CF50CA9"/>
    <w:rsid w:val="6D3214C6"/>
    <w:rsid w:val="6D4E6FA3"/>
    <w:rsid w:val="6D532409"/>
    <w:rsid w:val="6DA06F00"/>
    <w:rsid w:val="6DFC00C1"/>
    <w:rsid w:val="6E2E04FD"/>
    <w:rsid w:val="6E825190"/>
    <w:rsid w:val="6EA02F2B"/>
    <w:rsid w:val="6EB428FB"/>
    <w:rsid w:val="6ECD4657"/>
    <w:rsid w:val="6EFC09F4"/>
    <w:rsid w:val="6F074403"/>
    <w:rsid w:val="6F14165B"/>
    <w:rsid w:val="6F5613C4"/>
    <w:rsid w:val="6FA678F9"/>
    <w:rsid w:val="6FB4571F"/>
    <w:rsid w:val="6FEA51C5"/>
    <w:rsid w:val="6FF758AD"/>
    <w:rsid w:val="71217BD2"/>
    <w:rsid w:val="714E66D6"/>
    <w:rsid w:val="715F4A78"/>
    <w:rsid w:val="719C1094"/>
    <w:rsid w:val="719F468A"/>
    <w:rsid w:val="71A60416"/>
    <w:rsid w:val="72795112"/>
    <w:rsid w:val="72950CCE"/>
    <w:rsid w:val="72B77BD7"/>
    <w:rsid w:val="72D211EF"/>
    <w:rsid w:val="72DB02EA"/>
    <w:rsid w:val="72DF0017"/>
    <w:rsid w:val="732F620B"/>
    <w:rsid w:val="7365256C"/>
    <w:rsid w:val="736C3840"/>
    <w:rsid w:val="73A904F5"/>
    <w:rsid w:val="73D9426C"/>
    <w:rsid w:val="73E2490F"/>
    <w:rsid w:val="73FC71AB"/>
    <w:rsid w:val="747F47A2"/>
    <w:rsid w:val="74A03277"/>
    <w:rsid w:val="74FE30DA"/>
    <w:rsid w:val="757035C8"/>
    <w:rsid w:val="75795CFA"/>
    <w:rsid w:val="759620BF"/>
    <w:rsid w:val="759D68D9"/>
    <w:rsid w:val="75CB444F"/>
    <w:rsid w:val="75F64911"/>
    <w:rsid w:val="761B6471"/>
    <w:rsid w:val="76675513"/>
    <w:rsid w:val="76E874F8"/>
    <w:rsid w:val="76EA57D5"/>
    <w:rsid w:val="76F36F3F"/>
    <w:rsid w:val="76FF0577"/>
    <w:rsid w:val="774062D4"/>
    <w:rsid w:val="77842CAC"/>
    <w:rsid w:val="77863BCF"/>
    <w:rsid w:val="77A071CF"/>
    <w:rsid w:val="77C45DFF"/>
    <w:rsid w:val="77D42E52"/>
    <w:rsid w:val="782177E9"/>
    <w:rsid w:val="783B0996"/>
    <w:rsid w:val="78965467"/>
    <w:rsid w:val="78D422C7"/>
    <w:rsid w:val="78F95872"/>
    <w:rsid w:val="79072C58"/>
    <w:rsid w:val="790F6EB8"/>
    <w:rsid w:val="79325942"/>
    <w:rsid w:val="79D73173"/>
    <w:rsid w:val="79FD56A4"/>
    <w:rsid w:val="7A710D4A"/>
    <w:rsid w:val="7A9D0F2F"/>
    <w:rsid w:val="7AB46E49"/>
    <w:rsid w:val="7AE4454E"/>
    <w:rsid w:val="7AE846F5"/>
    <w:rsid w:val="7B2C7117"/>
    <w:rsid w:val="7B36584F"/>
    <w:rsid w:val="7B3F716E"/>
    <w:rsid w:val="7B4D0B73"/>
    <w:rsid w:val="7BAF3B5C"/>
    <w:rsid w:val="7BBF4F67"/>
    <w:rsid w:val="7BC6EB27"/>
    <w:rsid w:val="7C1754AC"/>
    <w:rsid w:val="7C5C3B46"/>
    <w:rsid w:val="7CA837B2"/>
    <w:rsid w:val="7D2C717C"/>
    <w:rsid w:val="7D351A13"/>
    <w:rsid w:val="7D406A16"/>
    <w:rsid w:val="7D4574AA"/>
    <w:rsid w:val="7DA341CC"/>
    <w:rsid w:val="7DED533C"/>
    <w:rsid w:val="7E116F41"/>
    <w:rsid w:val="7E1D5F4C"/>
    <w:rsid w:val="7E602535"/>
    <w:rsid w:val="7E7243E3"/>
    <w:rsid w:val="7E85113A"/>
    <w:rsid w:val="7EA31112"/>
    <w:rsid w:val="7EDB3D59"/>
    <w:rsid w:val="7EE115FC"/>
    <w:rsid w:val="7F3928AF"/>
    <w:rsid w:val="7F534513"/>
    <w:rsid w:val="7F8C4A96"/>
    <w:rsid w:val="7FA855CD"/>
    <w:rsid w:val="A4DF9F88"/>
    <w:rsid w:val="DFF67EDB"/>
    <w:rsid w:val="EF2F4052"/>
    <w:rsid w:val="F5FF273D"/>
    <w:rsid w:val="FBF5820C"/>
    <w:rsid w:val="FFCD4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0"/>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99"/>
    <w:qFormat/>
    <w:uiPriority w:val="0"/>
    <w:pPr>
      <w:keepNext/>
      <w:keepLines/>
      <w:spacing w:before="260" w:after="260" w:line="416" w:lineRule="auto"/>
      <w:outlineLvl w:val="2"/>
    </w:pPr>
    <w:rPr>
      <w:b/>
      <w:bCs/>
      <w:sz w:val="32"/>
      <w:szCs w:val="32"/>
    </w:rPr>
  </w:style>
  <w:style w:type="paragraph" w:styleId="6">
    <w:name w:val="heading 4"/>
    <w:basedOn w:val="1"/>
    <w:next w:val="1"/>
    <w:link w:val="158"/>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28"/>
    <w:qFormat/>
    <w:uiPriority w:val="0"/>
    <w:pPr>
      <w:keepNext/>
      <w:keepLines/>
      <w:ind w:firstLine="200" w:firstLineChars="200"/>
      <w:outlineLvl w:val="5"/>
    </w:pPr>
    <w:rPr>
      <w:rFonts w:hAnsi="Arial"/>
    </w:rPr>
  </w:style>
  <w:style w:type="paragraph" w:styleId="10">
    <w:name w:val="heading 7"/>
    <w:basedOn w:val="1"/>
    <w:next w:val="1"/>
    <w:link w:val="283"/>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2"/>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1"/>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25"/>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62"/>
    <w:qFormat/>
    <w:uiPriority w:val="0"/>
    <w:pPr>
      <w:shd w:val="clear" w:color="auto" w:fill="000080"/>
    </w:pPr>
  </w:style>
  <w:style w:type="paragraph" w:styleId="16">
    <w:name w:val="annotation text"/>
    <w:basedOn w:val="1"/>
    <w:link w:val="305"/>
    <w:qFormat/>
    <w:uiPriority w:val="99"/>
    <w:pPr>
      <w:jc w:val="left"/>
    </w:pPr>
  </w:style>
  <w:style w:type="paragraph" w:styleId="17">
    <w:name w:val="Body Text 3"/>
    <w:basedOn w:val="1"/>
    <w:link w:val="257"/>
    <w:qFormat/>
    <w:uiPriority w:val="0"/>
    <w:pPr>
      <w:spacing w:after="120"/>
    </w:pPr>
    <w:rPr>
      <w:sz w:val="16"/>
      <w:szCs w:val="16"/>
    </w:rPr>
  </w:style>
  <w:style w:type="paragraph" w:styleId="18">
    <w:name w:val="Body Text Indent"/>
    <w:basedOn w:val="1"/>
    <w:link w:val="24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02"/>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6"/>
    <w:qFormat/>
    <w:uiPriority w:val="0"/>
    <w:pPr>
      <w:ind w:left="100" w:leftChars="2500"/>
    </w:pPr>
  </w:style>
  <w:style w:type="paragraph" w:styleId="26">
    <w:name w:val="Body Text Indent 2"/>
    <w:basedOn w:val="1"/>
    <w:link w:val="237"/>
    <w:qFormat/>
    <w:uiPriority w:val="0"/>
    <w:pPr>
      <w:widowControl/>
      <w:spacing w:line="480" w:lineRule="auto"/>
      <w:ind w:firstLine="560"/>
      <w:jc w:val="left"/>
    </w:pPr>
    <w:rPr>
      <w:kern w:val="0"/>
      <w:sz w:val="28"/>
    </w:rPr>
  </w:style>
  <w:style w:type="paragraph" w:styleId="27">
    <w:name w:val="endnote text"/>
    <w:basedOn w:val="1"/>
    <w:link w:val="210"/>
    <w:qFormat/>
    <w:uiPriority w:val="0"/>
    <w:pPr>
      <w:widowControl/>
      <w:snapToGrid w:val="0"/>
      <w:jc w:val="left"/>
    </w:pPr>
    <w:rPr>
      <w:rFonts w:ascii="Arial" w:hAnsi="Arial" w:cs="Arial"/>
      <w:kern w:val="0"/>
      <w:sz w:val="20"/>
      <w:lang w:eastAsia="en-US"/>
    </w:rPr>
  </w:style>
  <w:style w:type="paragraph" w:styleId="28">
    <w:name w:val="Balloon Text"/>
    <w:basedOn w:val="1"/>
    <w:link w:val="205"/>
    <w:qFormat/>
    <w:uiPriority w:val="0"/>
    <w:rPr>
      <w:sz w:val="18"/>
      <w:szCs w:val="18"/>
    </w:rPr>
  </w:style>
  <w:style w:type="paragraph" w:styleId="29">
    <w:name w:val="footer"/>
    <w:basedOn w:val="1"/>
    <w:link w:val="197"/>
    <w:qFormat/>
    <w:uiPriority w:val="0"/>
    <w:pPr>
      <w:tabs>
        <w:tab w:val="center" w:pos="4153"/>
        <w:tab w:val="right" w:pos="8306"/>
      </w:tabs>
      <w:snapToGrid w:val="0"/>
      <w:jc w:val="left"/>
    </w:pPr>
    <w:rPr>
      <w:sz w:val="18"/>
      <w:szCs w:val="18"/>
    </w:rPr>
  </w:style>
  <w:style w:type="paragraph" w:styleId="30">
    <w:name w:val="header"/>
    <w:basedOn w:val="1"/>
    <w:link w:val="29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7"/>
    <w:qFormat/>
    <w:uiPriority w:val="0"/>
    <w:pPr>
      <w:widowControl/>
      <w:jc w:val="center"/>
    </w:pPr>
    <w:rPr>
      <w:kern w:val="0"/>
      <w:sz w:val="20"/>
      <w:u w:val="single"/>
      <w:lang w:eastAsia="en-US"/>
    </w:rPr>
  </w:style>
  <w:style w:type="paragraph" w:styleId="34">
    <w:name w:val="footnote text"/>
    <w:basedOn w:val="1"/>
    <w:link w:val="28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44"/>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31"/>
    <w:qFormat/>
    <w:uiPriority w:val="0"/>
    <w:rPr>
      <w:i/>
      <w:iCs/>
      <w:sz w:val="26"/>
    </w:rPr>
  </w:style>
  <w:style w:type="paragraph" w:styleId="40">
    <w:name w:val="HTML Preformatted"/>
    <w:basedOn w:val="1"/>
    <w:link w:val="16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6"/>
    <w:qFormat/>
    <w:uiPriority w:val="0"/>
    <w:pPr>
      <w:widowControl/>
      <w:jc w:val="center"/>
    </w:pPr>
    <w:rPr>
      <w:kern w:val="0"/>
      <w:sz w:val="20"/>
      <w:u w:val="single"/>
      <w:lang w:eastAsia="en-US"/>
    </w:rPr>
  </w:style>
  <w:style w:type="paragraph" w:styleId="44">
    <w:name w:val="annotation subject"/>
    <w:basedOn w:val="16"/>
    <w:next w:val="16"/>
    <w:link w:val="280"/>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List Paragraph"/>
    <w:basedOn w:val="1"/>
    <w:qFormat/>
    <w:uiPriority w:val="99"/>
    <w:pPr>
      <w:ind w:firstLine="420" w:firstLineChars="200"/>
    </w:pPr>
    <w:rPr>
      <w:sz w:val="28"/>
      <w:szCs w:val="28"/>
    </w:rPr>
  </w:style>
  <w:style w:type="paragraph" w:customStyle="1" w:styleId="57">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8">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59">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1">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2">
    <w:name w:val="1 Char"/>
    <w:basedOn w:val="1"/>
    <w:qFormat/>
    <w:uiPriority w:val="0"/>
    <w:pPr>
      <w:widowControl/>
      <w:spacing w:after="160" w:line="240" w:lineRule="exact"/>
      <w:jc w:val="left"/>
    </w:pPr>
    <w:rPr>
      <w:rFonts w:ascii="Calibri" w:hAnsi="Calibri"/>
      <w:szCs w:val="20"/>
    </w:rPr>
  </w:style>
  <w:style w:type="paragraph" w:customStyle="1" w:styleId="63">
    <w:name w:val="列表段落1"/>
    <w:basedOn w:val="1"/>
    <w:qFormat/>
    <w:uiPriority w:val="34"/>
    <w:pPr>
      <w:ind w:firstLine="420" w:firstLineChars="200"/>
    </w:pPr>
    <w:rPr>
      <w:rFonts w:ascii="Calibri" w:hAnsi="Calibri"/>
    </w:rPr>
  </w:style>
  <w:style w:type="paragraph" w:customStyle="1" w:styleId="64">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5">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6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7">
    <w:name w:val="TOC 标题2"/>
    <w:basedOn w:val="3"/>
    <w:next w:val="1"/>
    <w:unhideWhenUsed/>
    <w:qFormat/>
    <w:uiPriority w:val="0"/>
    <w:pPr>
      <w:outlineLvl w:val="9"/>
    </w:pPr>
    <w:rPr>
      <w:rFonts w:ascii="Calibri" w:hAnsi="Calibri"/>
    </w:rPr>
  </w:style>
  <w:style w:type="paragraph" w:customStyle="1" w:styleId="68">
    <w:name w:val="样式1"/>
    <w:basedOn w:val="1"/>
    <w:next w:val="6"/>
    <w:qFormat/>
    <w:uiPriority w:val="0"/>
    <w:pPr>
      <w:spacing w:line="360" w:lineRule="auto"/>
      <w:ind w:firstLine="420" w:firstLineChars="200"/>
    </w:pPr>
    <w:rPr>
      <w:rFonts w:ascii="宋体" w:hAnsi="宋体"/>
      <w:szCs w:val="21"/>
    </w:rPr>
  </w:style>
  <w:style w:type="paragraph" w:customStyle="1" w:styleId="69">
    <w:name w:val="列出段落1"/>
    <w:basedOn w:val="1"/>
    <w:qFormat/>
    <w:uiPriority w:val="0"/>
    <w:pPr>
      <w:ind w:firstLine="420" w:firstLineChars="200"/>
    </w:pPr>
    <w:rPr>
      <w:sz w:val="28"/>
      <w:szCs w:val="28"/>
    </w:rPr>
  </w:style>
  <w:style w:type="paragraph" w:customStyle="1" w:styleId="7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1">
    <w:name w:val="pa-27"/>
    <w:basedOn w:val="1"/>
    <w:qFormat/>
    <w:uiPriority w:val="0"/>
    <w:pPr>
      <w:widowControl/>
      <w:spacing w:line="360" w:lineRule="atLeast"/>
      <w:ind w:firstLine="420"/>
    </w:pPr>
    <w:rPr>
      <w:rFonts w:ascii="宋体" w:hAnsi="宋体" w:cs="宋体"/>
      <w:kern w:val="0"/>
      <w:sz w:val="24"/>
    </w:rPr>
  </w:style>
  <w:style w:type="paragraph" w:customStyle="1" w:styleId="72">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_Style 72"/>
    <w:qFormat/>
    <w:uiPriority w:val="0"/>
    <w:rPr>
      <w:rFonts w:ascii="Times New Roman" w:hAnsi="Times New Roman" w:eastAsia="宋体" w:cs="Times New Roman"/>
      <w:kern w:val="2"/>
      <w:sz w:val="21"/>
      <w:szCs w:val="24"/>
      <w:lang w:val="en-US" w:eastAsia="zh-CN" w:bidi="ar-SA"/>
    </w:rPr>
  </w:style>
  <w:style w:type="paragraph" w:customStyle="1" w:styleId="7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5">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6">
    <w:name w:val="Char Char Char Char"/>
    <w:basedOn w:val="15"/>
    <w:qFormat/>
    <w:uiPriority w:val="0"/>
    <w:pPr>
      <w:spacing w:line="360" w:lineRule="auto"/>
      <w:ind w:firstLine="200" w:firstLineChars="200"/>
    </w:pPr>
    <w:rPr>
      <w:rFonts w:ascii="Tahoma" w:hAnsi="Tahoma"/>
      <w:sz w:val="24"/>
    </w:rPr>
  </w:style>
  <w:style w:type="paragraph" w:customStyle="1" w:styleId="77">
    <w:name w:val="表格内容"/>
    <w:basedOn w:val="1"/>
    <w:qFormat/>
    <w:uiPriority w:val="0"/>
    <w:pPr>
      <w:suppressLineNumbers/>
      <w:suppressAutoHyphens/>
    </w:pPr>
  </w:style>
  <w:style w:type="paragraph" w:customStyle="1" w:styleId="7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0">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
    <w:name w:val="Intense Quote"/>
    <w:basedOn w:val="1"/>
    <w:next w:val="1"/>
    <w:link w:val="275"/>
    <w:qFormat/>
    <w:uiPriority w:val="0"/>
    <w:pPr>
      <w:pBdr>
        <w:bottom w:val="single" w:color="4F81BD" w:sz="4" w:space="4"/>
      </w:pBdr>
      <w:spacing w:before="200" w:after="280"/>
      <w:ind w:left="936" w:right="936"/>
    </w:pPr>
    <w:rPr>
      <w:b/>
      <w:bCs/>
      <w:i/>
      <w:iCs/>
      <w:color w:val="4F81BD"/>
      <w:szCs w:val="22"/>
    </w:rPr>
  </w:style>
  <w:style w:type="paragraph" w:customStyle="1" w:styleId="82">
    <w:name w:val="表体"/>
    <w:basedOn w:val="1"/>
    <w:next w:val="1"/>
    <w:qFormat/>
    <w:uiPriority w:val="0"/>
    <w:pPr>
      <w:spacing w:line="0" w:lineRule="atLeast"/>
    </w:pPr>
    <w:rPr>
      <w:rFonts w:ascii="Calibri" w:hAnsi="Calibri"/>
      <w:b/>
      <w:snapToGrid w:val="0"/>
      <w:szCs w:val="20"/>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pa-34"/>
    <w:basedOn w:val="1"/>
    <w:qFormat/>
    <w:uiPriority w:val="0"/>
    <w:pPr>
      <w:widowControl/>
      <w:spacing w:line="360" w:lineRule="atLeast"/>
      <w:ind w:firstLine="420"/>
      <w:jc w:val="left"/>
    </w:pPr>
    <w:rPr>
      <w:rFonts w:ascii="宋体" w:hAnsi="宋体" w:cs="宋体"/>
      <w:kern w:val="0"/>
      <w:sz w:val="24"/>
    </w:rPr>
  </w:style>
  <w:style w:type="paragraph" w:customStyle="1" w:styleId="85">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7">
    <w:name w:val="p16"/>
    <w:basedOn w:val="1"/>
    <w:qFormat/>
    <w:uiPriority w:val="0"/>
    <w:pPr>
      <w:widowControl/>
    </w:pPr>
    <w:rPr>
      <w:rFonts w:ascii="Calibri" w:hAnsi="Calibri" w:cs="宋体"/>
      <w:kern w:val="0"/>
      <w:szCs w:val="21"/>
    </w:rPr>
  </w:style>
  <w:style w:type="paragraph" w:customStyle="1" w:styleId="8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9">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1">
    <w:name w:val="标题4"/>
    <w:basedOn w:val="4"/>
    <w:next w:val="20"/>
    <w:link w:val="286"/>
    <w:qFormat/>
    <w:uiPriority w:val="0"/>
    <w:pPr>
      <w:spacing w:line="413" w:lineRule="auto"/>
    </w:pPr>
    <w:rPr>
      <w:rFonts w:ascii="Arial" w:hAnsi="Arial"/>
      <w:kern w:val="0"/>
      <w:sz w:val="24"/>
    </w:rPr>
  </w:style>
  <w:style w:type="paragraph" w:customStyle="1" w:styleId="92">
    <w:name w:val="Char Char"/>
    <w:basedOn w:val="1"/>
    <w:qFormat/>
    <w:uiPriority w:val="0"/>
    <w:pPr>
      <w:widowControl/>
      <w:jc w:val="left"/>
    </w:pPr>
    <w:rPr>
      <w:rFonts w:ascii="Verdana" w:hAnsi="Verdana" w:eastAsia="Times New Roman"/>
      <w:kern w:val="0"/>
      <w:sz w:val="16"/>
      <w:szCs w:val="20"/>
      <w:lang w:eastAsia="en-US"/>
    </w:rPr>
  </w:style>
  <w:style w:type="paragraph" w:customStyle="1" w:styleId="9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5">
    <w:name w:val="WW-表格内容"/>
    <w:basedOn w:val="1"/>
    <w:qFormat/>
    <w:uiPriority w:val="0"/>
    <w:pPr>
      <w:suppressLineNumbers/>
      <w:suppressAutoHyphens/>
    </w:pPr>
  </w:style>
  <w:style w:type="paragraph" w:customStyle="1" w:styleId="96">
    <w:name w:val="Char"/>
    <w:basedOn w:val="1"/>
    <w:qFormat/>
    <w:uiPriority w:val="0"/>
  </w:style>
  <w:style w:type="paragraph" w:customStyle="1" w:styleId="9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98">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99">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1">
    <w:name w:val="Char9 Char Char Char Char Char Char"/>
    <w:basedOn w:val="15"/>
    <w:qFormat/>
    <w:uiPriority w:val="0"/>
    <w:pPr>
      <w:spacing w:line="360" w:lineRule="auto"/>
      <w:ind w:firstLine="200" w:firstLineChars="200"/>
    </w:pPr>
    <w:rPr>
      <w:rFonts w:ascii="Tahoma" w:hAnsi="Tahoma"/>
      <w:sz w:val="24"/>
    </w:rPr>
  </w:style>
  <w:style w:type="paragraph" w:customStyle="1" w:styleId="10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3">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4">
    <w:name w:val="p15"/>
    <w:basedOn w:val="1"/>
    <w:qFormat/>
    <w:uiPriority w:val="0"/>
    <w:pPr>
      <w:widowControl/>
      <w:spacing w:after="120"/>
    </w:pPr>
    <w:rPr>
      <w:kern w:val="0"/>
      <w:szCs w:val="21"/>
    </w:rPr>
  </w:style>
  <w:style w:type="paragraph" w:customStyle="1" w:styleId="105">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6">
    <w:name w:val="正  文"/>
    <w:basedOn w:val="1"/>
    <w:qFormat/>
    <w:uiPriority w:val="0"/>
    <w:pPr>
      <w:spacing w:line="360" w:lineRule="auto"/>
      <w:ind w:firstLine="200" w:firstLineChars="200"/>
    </w:pPr>
    <w:rPr>
      <w:rFonts w:ascii="宋体" w:hAnsi="Calibri"/>
      <w:sz w:val="24"/>
    </w:rPr>
  </w:style>
  <w:style w:type="paragraph" w:customStyle="1" w:styleId="107">
    <w:name w:val="列出段落11"/>
    <w:basedOn w:val="1"/>
    <w:qFormat/>
    <w:uiPriority w:val="0"/>
    <w:pPr>
      <w:ind w:firstLine="420" w:firstLineChars="200"/>
    </w:pPr>
    <w:rPr>
      <w:sz w:val="28"/>
      <w:szCs w:val="28"/>
    </w:rPr>
  </w:style>
  <w:style w:type="paragraph" w:customStyle="1" w:styleId="10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0">
    <w:name w:val="_Style 96"/>
    <w:semiHidden/>
    <w:qFormat/>
    <w:uiPriority w:val="99"/>
    <w:rPr>
      <w:rFonts w:ascii="Calibri" w:hAnsi="Calibri" w:eastAsia="宋体" w:cs="Times New Roman"/>
      <w:kern w:val="2"/>
      <w:sz w:val="21"/>
      <w:szCs w:val="24"/>
      <w:lang w:val="en-US" w:eastAsia="zh-CN" w:bidi="ar-SA"/>
    </w:rPr>
  </w:style>
  <w:style w:type="paragraph" w:customStyle="1" w:styleId="111">
    <w:name w:val="表格文字"/>
    <w:basedOn w:val="1"/>
    <w:qFormat/>
    <w:uiPriority w:val="0"/>
    <w:pPr>
      <w:adjustRightInd w:val="0"/>
      <w:spacing w:line="420" w:lineRule="atLeast"/>
      <w:jc w:val="left"/>
      <w:textAlignment w:val="baseline"/>
    </w:pPr>
    <w:rPr>
      <w:kern w:val="0"/>
      <w:szCs w:val="20"/>
    </w:rPr>
  </w:style>
  <w:style w:type="paragraph" w:customStyle="1" w:styleId="112">
    <w:name w:val="表格"/>
    <w:basedOn w:val="1"/>
    <w:qFormat/>
    <w:uiPriority w:val="0"/>
    <w:pPr>
      <w:jc w:val="center"/>
      <w:textAlignment w:val="center"/>
    </w:pPr>
    <w:rPr>
      <w:rFonts w:ascii="华文细黑" w:hAnsi="华文细黑"/>
      <w:kern w:val="0"/>
      <w:szCs w:val="20"/>
    </w:rPr>
  </w:style>
  <w:style w:type="paragraph" w:customStyle="1" w:styleId="113">
    <w:name w:val="Char1"/>
    <w:basedOn w:val="1"/>
    <w:qFormat/>
    <w:uiPriority w:val="0"/>
  </w:style>
  <w:style w:type="paragraph" w:customStyle="1" w:styleId="114">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5">
    <w:name w:val="引用2"/>
    <w:basedOn w:val="1"/>
    <w:next w:val="1"/>
    <w:link w:val="238"/>
    <w:qFormat/>
    <w:uiPriority w:val="0"/>
    <w:rPr>
      <w:i/>
      <w:iCs/>
      <w:color w:val="000000"/>
    </w:rPr>
  </w:style>
  <w:style w:type="paragraph" w:customStyle="1" w:styleId="116">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17">
    <w:name w:val="Quote"/>
    <w:basedOn w:val="1"/>
    <w:next w:val="1"/>
    <w:link w:val="188"/>
    <w:qFormat/>
    <w:uiPriority w:val="0"/>
    <w:rPr>
      <w:i/>
      <w:iCs/>
      <w:color w:val="000000"/>
      <w:szCs w:val="22"/>
    </w:rPr>
  </w:style>
  <w:style w:type="paragraph" w:customStyle="1" w:styleId="118">
    <w:name w:val="修订1"/>
    <w:qFormat/>
    <w:uiPriority w:val="0"/>
    <w:rPr>
      <w:rFonts w:ascii="Times New Roman" w:hAnsi="Times New Roman" w:eastAsia="宋体" w:cs="Times New Roman"/>
      <w:kern w:val="2"/>
      <w:sz w:val="21"/>
      <w:szCs w:val="24"/>
      <w:lang w:val="en-US" w:eastAsia="zh-CN" w:bidi="ar-SA"/>
    </w:rPr>
  </w:style>
  <w:style w:type="paragraph" w:customStyle="1" w:styleId="11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0">
    <w:name w:val="Char2"/>
    <w:basedOn w:val="1"/>
    <w:qFormat/>
    <w:uiPriority w:val="0"/>
    <w:rPr>
      <w:rFonts w:ascii="Calibri" w:hAnsi="Calibri"/>
    </w:rPr>
  </w:style>
  <w:style w:type="paragraph" w:customStyle="1" w:styleId="121">
    <w:name w:val="标题5"/>
    <w:basedOn w:val="5"/>
    <w:link w:val="284"/>
    <w:qFormat/>
    <w:uiPriority w:val="0"/>
    <w:pPr>
      <w:spacing w:line="413" w:lineRule="auto"/>
    </w:pPr>
    <w:rPr>
      <w:rFonts w:ascii="Arial" w:hAnsi="Arial"/>
      <w:kern w:val="0"/>
      <w:sz w:val="24"/>
    </w:rPr>
  </w:style>
  <w:style w:type="paragraph" w:customStyle="1" w:styleId="12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表格标题"/>
    <w:basedOn w:val="77"/>
    <w:qFormat/>
    <w:uiPriority w:val="0"/>
  </w:style>
  <w:style w:type="paragraph" w:customStyle="1" w:styleId="12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6">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7">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WW-表格标题"/>
    <w:basedOn w:val="95"/>
    <w:qFormat/>
    <w:uiPriority w:val="0"/>
  </w:style>
  <w:style w:type="paragraph" w:customStyle="1" w:styleId="13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2">
    <w:name w:val="明显引用1"/>
    <w:basedOn w:val="1"/>
    <w:next w:val="1"/>
    <w:link w:val="248"/>
    <w:qFormat/>
    <w:uiPriority w:val="30"/>
    <w:pPr>
      <w:pBdr>
        <w:bottom w:val="single" w:color="4F81BD" w:sz="4" w:space="4"/>
      </w:pBdr>
      <w:spacing w:before="200" w:after="280"/>
      <w:ind w:left="936" w:right="936"/>
    </w:pPr>
    <w:rPr>
      <w:b/>
      <w:bCs/>
      <w:i/>
      <w:iCs/>
      <w:color w:val="4F81BD"/>
      <w:szCs w:val="20"/>
    </w:rPr>
  </w:style>
  <w:style w:type="paragraph" w:customStyle="1" w:styleId="133">
    <w:name w:val="标准样式1"/>
    <w:basedOn w:val="1"/>
    <w:qFormat/>
    <w:uiPriority w:val="0"/>
    <w:pPr>
      <w:spacing w:line="600" w:lineRule="exact"/>
      <w:ind w:firstLine="567"/>
    </w:pPr>
    <w:rPr>
      <w:rFonts w:ascii="Calibri" w:hAnsi="Calibri"/>
      <w:sz w:val="28"/>
    </w:rPr>
  </w:style>
  <w:style w:type="paragraph" w:customStyle="1" w:styleId="134">
    <w:name w:val="Char3"/>
    <w:basedOn w:val="1"/>
    <w:qFormat/>
    <w:uiPriority w:val="0"/>
  </w:style>
  <w:style w:type="paragraph" w:customStyle="1" w:styleId="13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6">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7">
    <w:name w:val="引用1"/>
    <w:basedOn w:val="1"/>
    <w:next w:val="1"/>
    <w:link w:val="262"/>
    <w:qFormat/>
    <w:uiPriority w:val="29"/>
    <w:rPr>
      <w:i/>
      <w:iCs/>
      <w:color w:val="000000"/>
      <w:szCs w:val="20"/>
    </w:rPr>
  </w:style>
  <w:style w:type="paragraph" w:customStyle="1" w:styleId="138">
    <w:name w:val="_Style 87"/>
    <w:basedOn w:val="1"/>
    <w:qFormat/>
    <w:uiPriority w:val="99"/>
    <w:pPr>
      <w:ind w:firstLine="420" w:firstLineChars="200"/>
    </w:pPr>
    <w:rPr>
      <w:rFonts w:ascii="Calibri" w:hAnsi="Calibri"/>
      <w:sz w:val="28"/>
      <w:szCs w:val="28"/>
    </w:rPr>
  </w:style>
  <w:style w:type="paragraph" w:customStyle="1" w:styleId="139">
    <w:name w:val="自定样式1"/>
    <w:basedOn w:val="1"/>
    <w:qFormat/>
    <w:uiPriority w:val="0"/>
    <w:pPr>
      <w:suppressAutoHyphens/>
      <w:jc w:val="center"/>
    </w:pPr>
    <w:rPr>
      <w:rFonts w:ascii="宋体" w:hAnsi="宋体"/>
      <w:color w:val="000000"/>
      <w:sz w:val="18"/>
    </w:rPr>
  </w:style>
  <w:style w:type="paragraph" w:customStyle="1" w:styleId="14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2">
    <w:name w:val="未处理的提及1"/>
    <w:unhideWhenUsed/>
    <w:qFormat/>
    <w:uiPriority w:val="99"/>
    <w:rPr>
      <w:color w:val="808080"/>
      <w:shd w:val="clear" w:color="auto" w:fill="E6E6E6"/>
    </w:rPr>
  </w:style>
  <w:style w:type="character" w:customStyle="1" w:styleId="143">
    <w:name w:val="正文文本 3 Char"/>
    <w:qFormat/>
    <w:uiPriority w:val="0"/>
    <w:rPr>
      <w:kern w:val="2"/>
      <w:sz w:val="16"/>
      <w:szCs w:val="16"/>
    </w:rPr>
  </w:style>
  <w:style w:type="character" w:customStyle="1" w:styleId="144">
    <w:name w:val="正文文本缩进 Char2"/>
    <w:semiHidden/>
    <w:qFormat/>
    <w:uiPriority w:val="99"/>
    <w:rPr>
      <w:rFonts w:ascii="Calibri" w:hAnsi="Calibri" w:eastAsia="宋体" w:cs="Times New Roman"/>
      <w:szCs w:val="24"/>
    </w:rPr>
  </w:style>
  <w:style w:type="character" w:customStyle="1" w:styleId="145">
    <w:name w:val="标题 3 Char"/>
    <w:qFormat/>
    <w:uiPriority w:val="0"/>
    <w:rPr>
      <w:rFonts w:ascii="仿宋_GB2312" w:hAnsi="Calibri" w:eastAsia="仿宋_GB2312" w:cs="Times New Roman"/>
      <w:b/>
      <w:kern w:val="0"/>
      <w:sz w:val="24"/>
      <w:szCs w:val="28"/>
    </w:rPr>
  </w:style>
  <w:style w:type="character" w:customStyle="1" w:styleId="146">
    <w:name w:val="批注框文本 Char2"/>
    <w:qFormat/>
    <w:uiPriority w:val="99"/>
    <w:rPr>
      <w:kern w:val="2"/>
      <w:sz w:val="18"/>
      <w:szCs w:val="18"/>
    </w:rPr>
  </w:style>
  <w:style w:type="character" w:customStyle="1" w:styleId="147">
    <w:name w:val="textcontents"/>
    <w:qFormat/>
    <w:uiPriority w:val="0"/>
    <w:rPr>
      <w:rFonts w:cs="Times New Roman"/>
    </w:rPr>
  </w:style>
  <w:style w:type="character" w:customStyle="1" w:styleId="148">
    <w:name w:val="ht1"/>
    <w:qFormat/>
    <w:uiPriority w:val="0"/>
    <w:rPr>
      <w:rFonts w:ascii="黑体" w:eastAsia="黑体"/>
      <w:b/>
      <w:bCs/>
    </w:rPr>
  </w:style>
  <w:style w:type="character" w:customStyle="1" w:styleId="149">
    <w:name w:val="标题 Char"/>
    <w:qFormat/>
    <w:uiPriority w:val="0"/>
    <w:rPr>
      <w:rFonts w:ascii="Cambria" w:hAnsi="Cambria" w:eastAsia="宋体" w:cs="Times New Roman"/>
      <w:b/>
      <w:bCs/>
      <w:kern w:val="2"/>
      <w:sz w:val="32"/>
      <w:szCs w:val="32"/>
    </w:rPr>
  </w:style>
  <w:style w:type="character" w:customStyle="1" w:styleId="150">
    <w:name w:val="14t1"/>
    <w:qFormat/>
    <w:uiPriority w:val="0"/>
    <w:rPr>
      <w:rFonts w:hint="eastAsia" w:ascii="宋体" w:hAnsi="宋体" w:eastAsia="宋体"/>
      <w:sz w:val="11"/>
      <w:szCs w:val="11"/>
    </w:rPr>
  </w:style>
  <w:style w:type="character" w:customStyle="1" w:styleId="151">
    <w:name w:val="Char Char36"/>
    <w:qFormat/>
    <w:uiPriority w:val="0"/>
    <w:rPr>
      <w:rFonts w:ascii="仿宋_GB2312" w:eastAsia="仿宋_GB2312" w:cs="MingLiU"/>
      <w:b/>
      <w:sz w:val="24"/>
      <w:szCs w:val="28"/>
    </w:rPr>
  </w:style>
  <w:style w:type="character" w:customStyle="1" w:styleId="152">
    <w:name w:val="文档结构图 Char"/>
    <w:qFormat/>
    <w:uiPriority w:val="0"/>
    <w:rPr>
      <w:rFonts w:ascii="宋体"/>
      <w:kern w:val="2"/>
      <w:sz w:val="18"/>
      <w:szCs w:val="18"/>
    </w:rPr>
  </w:style>
  <w:style w:type="character" w:customStyle="1" w:styleId="153">
    <w:name w:val="普通文字 Char Char2"/>
    <w:qFormat/>
    <w:uiPriority w:val="0"/>
    <w:rPr>
      <w:rFonts w:ascii="宋体" w:hAnsi="Courier New"/>
      <w:kern w:val="2"/>
      <w:sz w:val="28"/>
      <w:szCs w:val="28"/>
    </w:rPr>
  </w:style>
  <w:style w:type="character" w:customStyle="1" w:styleId="154">
    <w:name w:val="HTML 预设格式 Char"/>
    <w:qFormat/>
    <w:uiPriority w:val="0"/>
    <w:rPr>
      <w:rFonts w:ascii="宋体" w:hAnsi="宋体" w:eastAsia="宋体" w:cs="宋体"/>
      <w:color w:val="000000"/>
      <w:sz w:val="24"/>
      <w:szCs w:val="24"/>
    </w:rPr>
  </w:style>
  <w:style w:type="character" w:customStyle="1" w:styleId="155">
    <w:name w:val="纯文本 Char"/>
    <w:qFormat/>
    <w:uiPriority w:val="0"/>
    <w:rPr>
      <w:rFonts w:ascii="宋体" w:hAnsi="Courier New"/>
      <w:sz w:val="28"/>
      <w:szCs w:val="28"/>
    </w:rPr>
  </w:style>
  <w:style w:type="character" w:customStyle="1" w:styleId="156">
    <w:name w:val="批注框文本 Char"/>
    <w:qFormat/>
    <w:uiPriority w:val="0"/>
    <w:rPr>
      <w:sz w:val="18"/>
      <w:szCs w:val="18"/>
    </w:rPr>
  </w:style>
  <w:style w:type="character" w:customStyle="1" w:styleId="157">
    <w:name w:val="页脚 Char"/>
    <w:qFormat/>
    <w:uiPriority w:val="0"/>
    <w:rPr>
      <w:sz w:val="18"/>
      <w:szCs w:val="18"/>
    </w:rPr>
  </w:style>
  <w:style w:type="character" w:customStyle="1" w:styleId="158">
    <w:name w:val="标题 4 字符"/>
    <w:link w:val="6"/>
    <w:qFormat/>
    <w:uiPriority w:val="0"/>
    <w:rPr>
      <w:rFonts w:ascii="宋体" w:hAnsi="宋体" w:eastAsia="宋体" w:cs="宋体"/>
      <w:b/>
      <w:bCs/>
      <w:sz w:val="24"/>
      <w:szCs w:val="24"/>
      <w:lang w:val="en-US" w:eastAsia="zh-CN" w:bidi="ar-SA"/>
    </w:rPr>
  </w:style>
  <w:style w:type="character" w:customStyle="1" w:styleId="159">
    <w:name w:val="正文文本缩进 3 Char"/>
    <w:qFormat/>
    <w:uiPriority w:val="0"/>
    <w:rPr>
      <w:kern w:val="2"/>
      <w:sz w:val="16"/>
      <w:szCs w:val="16"/>
    </w:rPr>
  </w:style>
  <w:style w:type="character" w:customStyle="1" w:styleId="160">
    <w:name w:val="标题 8 Char"/>
    <w:qFormat/>
    <w:uiPriority w:val="0"/>
    <w:rPr>
      <w:rFonts w:ascii="Arial" w:hAnsi="Arial" w:eastAsia="黑体" w:cs="Times New Roman"/>
      <w:sz w:val="24"/>
      <w:szCs w:val="24"/>
    </w:rPr>
  </w:style>
  <w:style w:type="character" w:customStyle="1" w:styleId="161">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2">
    <w:name w:val="文档结构图 字符"/>
    <w:link w:val="15"/>
    <w:qFormat/>
    <w:uiPriority w:val="0"/>
    <w:rPr>
      <w:rFonts w:eastAsia="宋体"/>
      <w:kern w:val="2"/>
      <w:sz w:val="21"/>
      <w:szCs w:val="24"/>
      <w:lang w:val="en-US" w:eastAsia="zh-CN" w:bidi="ar-SA"/>
    </w:rPr>
  </w:style>
  <w:style w:type="character" w:customStyle="1" w:styleId="163">
    <w:name w:val="正文文本缩进 2 Char1"/>
    <w:qFormat/>
    <w:uiPriority w:val="0"/>
    <w:rPr>
      <w:sz w:val="28"/>
      <w:szCs w:val="24"/>
    </w:rPr>
  </w:style>
  <w:style w:type="character" w:customStyle="1" w:styleId="164">
    <w:name w:val="标题 5 Char1"/>
    <w:qFormat/>
    <w:uiPriority w:val="0"/>
    <w:rPr>
      <w:rFonts w:ascii="宋体" w:hAnsi="宋体" w:eastAsia="宋体" w:cs="宋体"/>
      <w:b/>
      <w:bCs/>
      <w:sz w:val="20"/>
      <w:szCs w:val="20"/>
    </w:rPr>
  </w:style>
  <w:style w:type="character" w:customStyle="1" w:styleId="165">
    <w:name w:val="批注文字 Char"/>
    <w:qFormat/>
    <w:uiPriority w:val="0"/>
    <w:rPr>
      <w:rFonts w:ascii="Times New Roman" w:hAnsi="Times New Roman" w:eastAsia="宋体" w:cs="Times New Roman"/>
      <w:kern w:val="2"/>
      <w:sz w:val="21"/>
      <w:szCs w:val="24"/>
    </w:rPr>
  </w:style>
  <w:style w:type="character" w:customStyle="1" w:styleId="166">
    <w:name w:val="日期 字符"/>
    <w:link w:val="25"/>
    <w:qFormat/>
    <w:uiPriority w:val="0"/>
    <w:rPr>
      <w:rFonts w:eastAsia="宋体"/>
      <w:kern w:val="2"/>
      <w:sz w:val="21"/>
      <w:szCs w:val="24"/>
      <w:lang w:val="en-US" w:eastAsia="zh-CN" w:bidi="ar-SA"/>
    </w:rPr>
  </w:style>
  <w:style w:type="character" w:customStyle="1" w:styleId="167">
    <w:name w:val="style121"/>
    <w:qFormat/>
    <w:uiPriority w:val="0"/>
    <w:rPr>
      <w:rFonts w:hint="eastAsia" w:ascii="宋体" w:hAnsi="宋体" w:eastAsia="宋体"/>
      <w:sz w:val="18"/>
      <w:szCs w:val="18"/>
    </w:rPr>
  </w:style>
  <w:style w:type="character" w:customStyle="1" w:styleId="168">
    <w:name w:val="Section Char"/>
    <w:qFormat/>
    <w:uiPriority w:val="0"/>
    <w:rPr>
      <w:rFonts w:ascii="仿宋_GB2312" w:eastAsia="仿宋_GB2312" w:cs="MingLiU"/>
      <w:b/>
      <w:sz w:val="24"/>
      <w:szCs w:val="28"/>
      <w:lang w:val="en-US" w:eastAsia="zh-CN" w:bidi="ar-SA"/>
    </w:rPr>
  </w:style>
  <w:style w:type="character" w:customStyle="1" w:styleId="169">
    <w:name w:val="正文文本 3 Char1"/>
    <w:qFormat/>
    <w:uiPriority w:val="0"/>
    <w:rPr>
      <w:kern w:val="2"/>
      <w:sz w:val="16"/>
      <w:szCs w:val="16"/>
    </w:rPr>
  </w:style>
  <w:style w:type="character" w:customStyle="1" w:styleId="170">
    <w:name w:val="文档结构图 Char1"/>
    <w:qFormat/>
    <w:uiPriority w:val="0"/>
    <w:rPr>
      <w:rFonts w:ascii="宋体"/>
      <w:kern w:val="2"/>
      <w:sz w:val="18"/>
      <w:szCs w:val="18"/>
    </w:rPr>
  </w:style>
  <w:style w:type="character" w:customStyle="1" w:styleId="171">
    <w:name w:val="_Style 170"/>
    <w:qFormat/>
    <w:uiPriority w:val="0"/>
    <w:rPr>
      <w:i/>
      <w:iCs/>
      <w:color w:val="808080"/>
    </w:rPr>
  </w:style>
  <w:style w:type="character" w:customStyle="1" w:styleId="172">
    <w:name w:val="_Style 171"/>
    <w:qFormat/>
    <w:uiPriority w:val="0"/>
    <w:rPr>
      <w:b/>
      <w:bCs/>
      <w:smallCaps/>
      <w:color w:val="C0504D"/>
      <w:spacing w:val="5"/>
      <w:u w:val="single"/>
    </w:rPr>
  </w:style>
  <w:style w:type="character" w:customStyle="1" w:styleId="173">
    <w:name w:val="标题 9 Char"/>
    <w:qFormat/>
    <w:uiPriority w:val="0"/>
    <w:rPr>
      <w:rFonts w:ascii="Arial" w:hAnsi="Arial" w:eastAsia="黑体" w:cs="Times New Roman"/>
      <w:szCs w:val="21"/>
    </w:rPr>
  </w:style>
  <w:style w:type="character" w:customStyle="1" w:styleId="174">
    <w:name w:val="页眉 Char1"/>
    <w:semiHidden/>
    <w:qFormat/>
    <w:uiPriority w:val="99"/>
    <w:rPr>
      <w:kern w:val="2"/>
      <w:sz w:val="18"/>
      <w:szCs w:val="18"/>
    </w:rPr>
  </w:style>
  <w:style w:type="character" w:customStyle="1" w:styleId="175">
    <w:name w:val="_Style 174"/>
    <w:qFormat/>
    <w:uiPriority w:val="0"/>
    <w:rPr>
      <w:b/>
      <w:bCs/>
      <w:i/>
      <w:iCs/>
      <w:color w:val="4F81BD"/>
    </w:rPr>
  </w:style>
  <w:style w:type="character" w:customStyle="1" w:styleId="176">
    <w:name w:val="Char Char35"/>
    <w:qFormat/>
    <w:uiPriority w:val="0"/>
    <w:rPr>
      <w:rFonts w:ascii="仿宋_GB2312" w:eastAsia="仿宋_GB2312" w:cs="MingLiU"/>
      <w:b/>
      <w:sz w:val="24"/>
      <w:szCs w:val="28"/>
    </w:rPr>
  </w:style>
  <w:style w:type="character" w:customStyle="1" w:styleId="177">
    <w:name w:val="日期 Char2"/>
    <w:qFormat/>
    <w:uiPriority w:val="99"/>
    <w:rPr>
      <w:kern w:val="2"/>
      <w:sz w:val="21"/>
      <w:szCs w:val="24"/>
    </w:rPr>
  </w:style>
  <w:style w:type="character" w:customStyle="1" w:styleId="178">
    <w:name w:val="Char Char22"/>
    <w:qFormat/>
    <w:uiPriority w:val="0"/>
    <w:rPr>
      <w:b/>
      <w:bCs/>
      <w:kern w:val="2"/>
      <w:sz w:val="32"/>
      <w:szCs w:val="32"/>
    </w:rPr>
  </w:style>
  <w:style w:type="character" w:customStyle="1" w:styleId="179">
    <w:name w:val="正文文本缩进 2 Char2"/>
    <w:semiHidden/>
    <w:qFormat/>
    <w:uiPriority w:val="99"/>
    <w:rPr>
      <w:rFonts w:ascii="Calibri" w:hAnsi="Calibri" w:eastAsia="宋体" w:cs="Times New Roman"/>
      <w:szCs w:val="24"/>
    </w:rPr>
  </w:style>
  <w:style w:type="character" w:customStyle="1" w:styleId="180">
    <w:name w:val="明显强调1"/>
    <w:qFormat/>
    <w:uiPriority w:val="0"/>
    <w:rPr>
      <w:b/>
      <w:bCs/>
      <w:i/>
      <w:iCs/>
      <w:color w:val="4F81BD"/>
    </w:rPr>
  </w:style>
  <w:style w:type="character" w:customStyle="1" w:styleId="181">
    <w:name w:val="Char Char14"/>
    <w:qFormat/>
    <w:uiPriority w:val="0"/>
    <w:rPr>
      <w:kern w:val="2"/>
      <w:sz w:val="18"/>
      <w:szCs w:val="18"/>
    </w:rPr>
  </w:style>
  <w:style w:type="character" w:customStyle="1" w:styleId="182">
    <w:name w:val="s3"/>
    <w:qFormat/>
    <w:uiPriority w:val="0"/>
  </w:style>
  <w:style w:type="character" w:customStyle="1" w:styleId="183">
    <w:name w:val="标题 1 Char"/>
    <w:qFormat/>
    <w:uiPriority w:val="0"/>
    <w:rPr>
      <w:rFonts w:ascii="Times New Roman" w:hAnsi="Times New Roman" w:eastAsia="宋体" w:cs="Times New Roman"/>
      <w:b/>
      <w:bCs/>
      <w:kern w:val="44"/>
      <w:sz w:val="44"/>
      <w:szCs w:val="44"/>
    </w:rPr>
  </w:style>
  <w:style w:type="character" w:customStyle="1" w:styleId="184">
    <w:name w:val="日期 Char3"/>
    <w:semiHidden/>
    <w:qFormat/>
    <w:uiPriority w:val="99"/>
    <w:rPr>
      <w:rFonts w:ascii="Calibri" w:hAnsi="Calibri" w:eastAsia="宋体" w:cs="Times New Roman"/>
      <w:szCs w:val="24"/>
    </w:rPr>
  </w:style>
  <w:style w:type="character" w:customStyle="1" w:styleId="185">
    <w:name w:val="标题 1 字符"/>
    <w:link w:val="3"/>
    <w:qFormat/>
    <w:uiPriority w:val="0"/>
    <w:rPr>
      <w:rFonts w:eastAsia="宋体"/>
      <w:b/>
      <w:bCs/>
      <w:kern w:val="44"/>
      <w:sz w:val="44"/>
      <w:szCs w:val="44"/>
      <w:lang w:val="en-US" w:eastAsia="zh-CN" w:bidi="ar-SA"/>
    </w:rPr>
  </w:style>
  <w:style w:type="character" w:customStyle="1" w:styleId="186">
    <w:name w:val="title11"/>
    <w:qFormat/>
    <w:uiPriority w:val="0"/>
    <w:rPr>
      <w:b/>
      <w:bCs/>
      <w:color w:val="FFFFFF"/>
      <w:sz w:val="11"/>
      <w:szCs w:val="11"/>
    </w:rPr>
  </w:style>
  <w:style w:type="character" w:customStyle="1" w:styleId="187">
    <w:name w:val="明显引用 Char2"/>
    <w:qFormat/>
    <w:uiPriority w:val="99"/>
    <w:rPr>
      <w:b/>
      <w:bCs/>
      <w:i/>
      <w:iCs/>
      <w:color w:val="4F81BD"/>
      <w:kern w:val="2"/>
      <w:sz w:val="21"/>
      <w:szCs w:val="24"/>
    </w:rPr>
  </w:style>
  <w:style w:type="character" w:customStyle="1" w:styleId="188">
    <w:name w:val="引用 字符"/>
    <w:link w:val="117"/>
    <w:qFormat/>
    <w:uiPriority w:val="0"/>
    <w:rPr>
      <w:i/>
      <w:iCs/>
      <w:color w:val="000000"/>
      <w:kern w:val="2"/>
      <w:sz w:val="21"/>
      <w:szCs w:val="22"/>
      <w:lang w:bidi="ar-SA"/>
    </w:rPr>
  </w:style>
  <w:style w:type="character" w:customStyle="1" w:styleId="189">
    <w:name w:val="批注框文本 Char3"/>
    <w:semiHidden/>
    <w:qFormat/>
    <w:uiPriority w:val="99"/>
    <w:rPr>
      <w:rFonts w:ascii="Calibri" w:hAnsi="Calibri" w:eastAsia="宋体" w:cs="Times New Roman"/>
      <w:sz w:val="18"/>
      <w:szCs w:val="18"/>
    </w:rPr>
  </w:style>
  <w:style w:type="character" w:customStyle="1" w:styleId="190">
    <w:name w:val="标题 2 字符"/>
    <w:link w:val="4"/>
    <w:qFormat/>
    <w:uiPriority w:val="0"/>
    <w:rPr>
      <w:rFonts w:ascii="Cambria" w:hAnsi="Cambria" w:eastAsia="宋体"/>
      <w:b/>
      <w:bCs/>
      <w:kern w:val="2"/>
      <w:sz w:val="32"/>
      <w:szCs w:val="32"/>
      <w:lang w:val="en-US" w:eastAsia="zh-CN" w:bidi="ar-SA"/>
    </w:rPr>
  </w:style>
  <w:style w:type="character" w:customStyle="1" w:styleId="191">
    <w:name w:val="Char Char33"/>
    <w:qFormat/>
    <w:uiPriority w:val="0"/>
    <w:rPr>
      <w:rFonts w:ascii="仿宋_GB2312" w:eastAsia="仿宋_GB2312" w:cs="MingLiU"/>
      <w:b/>
      <w:sz w:val="24"/>
      <w:szCs w:val="28"/>
    </w:rPr>
  </w:style>
  <w:style w:type="character" w:customStyle="1" w:styleId="192">
    <w:name w:val="标题 2 Char"/>
    <w:qFormat/>
    <w:uiPriority w:val="0"/>
    <w:rPr>
      <w:rFonts w:ascii="仿宋_GB2312" w:hAnsi="Calibri" w:eastAsia="仿宋_GB2312" w:cs="Times New Roman"/>
      <w:b/>
      <w:spacing w:val="1"/>
      <w:w w:val="99"/>
      <w:kern w:val="0"/>
      <w:sz w:val="28"/>
      <w:szCs w:val="32"/>
    </w:rPr>
  </w:style>
  <w:style w:type="character" w:customStyle="1" w:styleId="193">
    <w:name w:val="l1"/>
    <w:basedOn w:val="47"/>
    <w:qFormat/>
    <w:uiPriority w:val="0"/>
  </w:style>
  <w:style w:type="character" w:customStyle="1" w:styleId="194">
    <w:name w:val="手改 Char Char"/>
    <w:qFormat/>
    <w:uiPriority w:val="0"/>
    <w:rPr>
      <w:kern w:val="2"/>
      <w:sz w:val="21"/>
      <w:szCs w:val="24"/>
    </w:rPr>
  </w:style>
  <w:style w:type="character" w:customStyle="1" w:styleId="195">
    <w:name w:val="style21"/>
    <w:qFormat/>
    <w:uiPriority w:val="0"/>
    <w:rPr>
      <w:b/>
      <w:bCs/>
      <w:sz w:val="28"/>
      <w:szCs w:val="28"/>
    </w:rPr>
  </w:style>
  <w:style w:type="character" w:customStyle="1" w:styleId="196">
    <w:name w:val="Char Char24"/>
    <w:qFormat/>
    <w:uiPriority w:val="0"/>
    <w:rPr>
      <w:b/>
      <w:bCs/>
      <w:kern w:val="44"/>
      <w:sz w:val="44"/>
      <w:szCs w:val="44"/>
    </w:rPr>
  </w:style>
  <w:style w:type="character" w:customStyle="1" w:styleId="197">
    <w:name w:val="页脚 字符"/>
    <w:link w:val="29"/>
    <w:qFormat/>
    <w:uiPriority w:val="0"/>
    <w:rPr>
      <w:rFonts w:eastAsia="宋体"/>
      <w:kern w:val="2"/>
      <w:sz w:val="18"/>
      <w:szCs w:val="18"/>
      <w:lang w:val="en-US" w:eastAsia="zh-CN" w:bidi="ar-SA"/>
    </w:rPr>
  </w:style>
  <w:style w:type="character" w:customStyle="1" w:styleId="198">
    <w:name w:val="_Style 197"/>
    <w:qFormat/>
    <w:uiPriority w:val="0"/>
    <w:rPr>
      <w:b/>
      <w:bCs/>
      <w:smallCaps/>
      <w:spacing w:val="5"/>
    </w:rPr>
  </w:style>
  <w:style w:type="character" w:customStyle="1" w:styleId="199">
    <w:name w:val="纯文本 Char1"/>
    <w:qFormat/>
    <w:uiPriority w:val="0"/>
    <w:rPr>
      <w:rFonts w:ascii="宋体" w:hAnsi="Courier New" w:cs="Courier New"/>
      <w:kern w:val="2"/>
      <w:sz w:val="21"/>
      <w:szCs w:val="21"/>
    </w:rPr>
  </w:style>
  <w:style w:type="character" w:customStyle="1" w:styleId="200">
    <w:name w:val="尾注文本 Char"/>
    <w:qFormat/>
    <w:uiPriority w:val="0"/>
    <w:rPr>
      <w:kern w:val="2"/>
      <w:sz w:val="21"/>
      <w:szCs w:val="24"/>
    </w:rPr>
  </w:style>
  <w:style w:type="character" w:customStyle="1" w:styleId="201">
    <w:name w:val="日期 Char1"/>
    <w:qFormat/>
    <w:uiPriority w:val="0"/>
    <w:rPr>
      <w:kern w:val="2"/>
      <w:sz w:val="21"/>
      <w:szCs w:val="22"/>
    </w:rPr>
  </w:style>
  <w:style w:type="character" w:customStyle="1" w:styleId="202">
    <w:name w:val="纯文本 字符"/>
    <w:link w:val="23"/>
    <w:qFormat/>
    <w:uiPriority w:val="0"/>
    <w:rPr>
      <w:rFonts w:ascii="宋体" w:hAnsi="Courier New" w:eastAsia="宋体" w:cs="Courier New"/>
      <w:kern w:val="2"/>
      <w:sz w:val="21"/>
      <w:szCs w:val="21"/>
      <w:lang w:val="en-US" w:eastAsia="zh-CN" w:bidi="ar-SA"/>
    </w:rPr>
  </w:style>
  <w:style w:type="character" w:customStyle="1" w:styleId="203">
    <w:name w:val="正文文本 Char1"/>
    <w:qFormat/>
    <w:uiPriority w:val="0"/>
    <w:rPr>
      <w:kern w:val="2"/>
      <w:sz w:val="21"/>
      <w:szCs w:val="22"/>
    </w:rPr>
  </w:style>
  <w:style w:type="character" w:customStyle="1" w:styleId="204">
    <w:name w:val="标题 9 Char1"/>
    <w:qFormat/>
    <w:uiPriority w:val="0"/>
    <w:rPr>
      <w:rFonts w:ascii="Times New Roman" w:hAnsi="Times New Roman" w:eastAsia="仿宋_GB2312" w:cs="Times New Roman"/>
      <w:sz w:val="30"/>
      <w:szCs w:val="20"/>
    </w:rPr>
  </w:style>
  <w:style w:type="character" w:customStyle="1" w:styleId="205">
    <w:name w:val="批注框文本 字符"/>
    <w:link w:val="28"/>
    <w:qFormat/>
    <w:uiPriority w:val="0"/>
    <w:rPr>
      <w:rFonts w:eastAsia="宋体"/>
      <w:kern w:val="2"/>
      <w:sz w:val="18"/>
      <w:szCs w:val="18"/>
      <w:lang w:val="en-US" w:eastAsia="zh-CN" w:bidi="ar-SA"/>
    </w:rPr>
  </w:style>
  <w:style w:type="character" w:customStyle="1" w:styleId="206">
    <w:name w:val="脚注文本 Char1"/>
    <w:qFormat/>
    <w:uiPriority w:val="0"/>
    <w:rPr>
      <w:rFonts w:ascii="Arial" w:hAnsi="Arial" w:cs="Arial"/>
      <w:sz w:val="18"/>
      <w:szCs w:val="18"/>
      <w:lang w:eastAsia="en-US"/>
    </w:rPr>
  </w:style>
  <w:style w:type="character" w:customStyle="1" w:styleId="207">
    <w:name w:val="正文文本缩进 Char"/>
    <w:qFormat/>
    <w:uiPriority w:val="0"/>
    <w:rPr>
      <w:rFonts w:ascii="黑体" w:hAnsi="宋体" w:eastAsia="黑体"/>
      <w:color w:val="000000"/>
      <w:sz w:val="28"/>
      <w:szCs w:val="32"/>
    </w:rPr>
  </w:style>
  <w:style w:type="character" w:customStyle="1" w:styleId="208">
    <w:name w:val="HTML 预设格式 Char1"/>
    <w:qFormat/>
    <w:uiPriority w:val="0"/>
    <w:rPr>
      <w:rFonts w:ascii="宋体" w:hAnsi="宋体" w:cs="宋体"/>
      <w:color w:val="000000"/>
      <w:sz w:val="24"/>
      <w:szCs w:val="24"/>
    </w:rPr>
  </w:style>
  <w:style w:type="character" w:customStyle="1" w:styleId="209">
    <w:name w:val="引用 Char3"/>
    <w:qFormat/>
    <w:uiPriority w:val="29"/>
    <w:rPr>
      <w:rFonts w:ascii="Calibri" w:hAnsi="Calibri" w:eastAsia="宋体" w:cs="Times New Roman"/>
      <w:i/>
      <w:iCs/>
      <w:color w:val="000000"/>
      <w:szCs w:val="24"/>
    </w:rPr>
  </w:style>
  <w:style w:type="character" w:customStyle="1" w:styleId="210">
    <w:name w:val="尾注文本 字符"/>
    <w:link w:val="27"/>
    <w:qFormat/>
    <w:uiPriority w:val="0"/>
    <w:rPr>
      <w:rFonts w:ascii="Arial" w:hAnsi="Arial" w:eastAsia="宋体" w:cs="Arial"/>
      <w:szCs w:val="24"/>
      <w:lang w:val="en-US" w:eastAsia="en-US" w:bidi="ar-SA"/>
    </w:rPr>
  </w:style>
  <w:style w:type="character" w:customStyle="1" w:styleId="211">
    <w:name w:val="标题 7 Char1"/>
    <w:qFormat/>
    <w:uiPriority w:val="0"/>
    <w:rPr>
      <w:rFonts w:ascii="Times New Roman" w:hAnsi="Times New Roman" w:eastAsia="仿宋_GB2312" w:cs="Times New Roman"/>
      <w:sz w:val="30"/>
      <w:szCs w:val="20"/>
    </w:rPr>
  </w:style>
  <w:style w:type="character" w:customStyle="1" w:styleId="212">
    <w:name w:val="普通文字 Char Char1"/>
    <w:qFormat/>
    <w:uiPriority w:val="0"/>
    <w:rPr>
      <w:rFonts w:ascii="宋体" w:hAnsi="Courier New"/>
      <w:kern w:val="2"/>
      <w:sz w:val="28"/>
      <w:szCs w:val="28"/>
    </w:rPr>
  </w:style>
  <w:style w:type="character" w:customStyle="1" w:styleId="213">
    <w:name w:val="明显参考1"/>
    <w:qFormat/>
    <w:uiPriority w:val="0"/>
    <w:rPr>
      <w:b/>
      <w:bCs/>
      <w:smallCaps/>
      <w:color w:val="C0504D"/>
      <w:spacing w:val="5"/>
      <w:u w:val="single"/>
    </w:rPr>
  </w:style>
  <w:style w:type="character" w:customStyle="1" w:styleId="214">
    <w:name w:val="正文文本缩进 Char1"/>
    <w:qFormat/>
    <w:uiPriority w:val="0"/>
    <w:rPr>
      <w:kern w:val="2"/>
      <w:sz w:val="21"/>
      <w:szCs w:val="24"/>
    </w:rPr>
  </w:style>
  <w:style w:type="character" w:customStyle="1" w:styleId="215">
    <w:name w:val="页眉 Char"/>
    <w:qFormat/>
    <w:uiPriority w:val="0"/>
    <w:rPr>
      <w:sz w:val="18"/>
      <w:szCs w:val="18"/>
    </w:rPr>
  </w:style>
  <w:style w:type="character" w:customStyle="1" w:styleId="216">
    <w:name w:val="style31"/>
    <w:qFormat/>
    <w:uiPriority w:val="0"/>
    <w:rPr>
      <w:sz w:val="10"/>
      <w:szCs w:val="10"/>
    </w:rPr>
  </w:style>
  <w:style w:type="character" w:customStyle="1" w:styleId="217">
    <w:name w:val="日期 Char"/>
    <w:qFormat/>
    <w:uiPriority w:val="0"/>
    <w:rPr>
      <w:rFonts w:eastAsia="宋体"/>
      <w:szCs w:val="24"/>
    </w:rPr>
  </w:style>
  <w:style w:type="character" w:customStyle="1" w:styleId="218">
    <w:name w:val="标题 1 Char1"/>
    <w:qFormat/>
    <w:uiPriority w:val="0"/>
    <w:rPr>
      <w:rFonts w:ascii="Times New Roman" w:hAnsi="Times New Roman" w:eastAsia="宋体" w:cs="Times New Roman"/>
      <w:b/>
      <w:bCs/>
      <w:kern w:val="44"/>
      <w:sz w:val="44"/>
      <w:szCs w:val="44"/>
    </w:rPr>
  </w:style>
  <w:style w:type="character" w:customStyle="1" w:styleId="219">
    <w:name w:val="main_tdbg_7601"/>
    <w:qFormat/>
    <w:uiPriority w:val="0"/>
    <w:rPr>
      <w:sz w:val="14"/>
      <w:szCs w:val="14"/>
    </w:rPr>
  </w:style>
  <w:style w:type="character" w:customStyle="1" w:styleId="220">
    <w:name w:val="尾注文本 Char1"/>
    <w:qFormat/>
    <w:uiPriority w:val="0"/>
    <w:rPr>
      <w:rFonts w:ascii="Arial" w:hAnsi="Arial" w:cs="Arial"/>
      <w:szCs w:val="24"/>
      <w:lang w:eastAsia="en-US"/>
    </w:rPr>
  </w:style>
  <w:style w:type="character" w:customStyle="1" w:styleId="221">
    <w:name w:val="副标题 Char2"/>
    <w:qFormat/>
    <w:uiPriority w:val="11"/>
    <w:rPr>
      <w:rFonts w:ascii="Cambria" w:hAnsi="Cambria" w:eastAsia="宋体" w:cs="Times New Roman"/>
      <w:b/>
      <w:bCs/>
      <w:kern w:val="28"/>
      <w:sz w:val="32"/>
      <w:szCs w:val="32"/>
    </w:rPr>
  </w:style>
  <w:style w:type="character" w:customStyle="1" w:styleId="222">
    <w:name w:val="正文文本缩进 3 Char2"/>
    <w:semiHidden/>
    <w:qFormat/>
    <w:uiPriority w:val="99"/>
    <w:rPr>
      <w:rFonts w:ascii="Calibri" w:hAnsi="Calibri" w:eastAsia="宋体" w:cs="Times New Roman"/>
      <w:sz w:val="16"/>
      <w:szCs w:val="16"/>
    </w:rPr>
  </w:style>
  <w:style w:type="character" w:customStyle="1" w:styleId="223">
    <w:name w:val="Char Char34"/>
    <w:qFormat/>
    <w:uiPriority w:val="0"/>
    <w:rPr>
      <w:rFonts w:ascii="仿宋_GB2312" w:eastAsia="仿宋_GB2312" w:cs="MingLiU"/>
      <w:b/>
      <w:spacing w:val="1"/>
      <w:w w:val="99"/>
      <w:sz w:val="28"/>
      <w:szCs w:val="32"/>
    </w:rPr>
  </w:style>
  <w:style w:type="character" w:customStyle="1" w:styleId="224">
    <w:name w:val="docpro"/>
    <w:basedOn w:val="47"/>
    <w:qFormat/>
    <w:uiPriority w:val="0"/>
  </w:style>
  <w:style w:type="character" w:customStyle="1" w:styleId="225">
    <w:name w:val="正文文本 字符"/>
    <w:link w:val="2"/>
    <w:qFormat/>
    <w:uiPriority w:val="0"/>
    <w:rPr>
      <w:rFonts w:eastAsia="宋体"/>
      <w:kern w:val="2"/>
      <w:sz w:val="21"/>
      <w:szCs w:val="24"/>
      <w:lang w:val="en-US" w:eastAsia="zh-CN" w:bidi="ar-SA"/>
    </w:rPr>
  </w:style>
  <w:style w:type="character" w:customStyle="1" w:styleId="226">
    <w:name w:val="ITTHEADER1 Char"/>
    <w:qFormat/>
    <w:uiPriority w:val="0"/>
    <w:rPr>
      <w:rFonts w:eastAsia="黑体"/>
      <w:kern w:val="2"/>
      <w:sz w:val="44"/>
      <w:szCs w:val="44"/>
      <w:lang w:val="en-US" w:eastAsia="zh-CN" w:bidi="ar-SA"/>
    </w:rPr>
  </w:style>
  <w:style w:type="character" w:customStyle="1" w:styleId="227">
    <w:name w:val="副标题 Char"/>
    <w:qFormat/>
    <w:uiPriority w:val="0"/>
    <w:rPr>
      <w:rFonts w:ascii="Cambria" w:hAnsi="Cambria" w:eastAsia="宋体" w:cs="Times New Roman"/>
      <w:b/>
      <w:bCs/>
      <w:kern w:val="28"/>
      <w:sz w:val="32"/>
      <w:szCs w:val="32"/>
    </w:rPr>
  </w:style>
  <w:style w:type="character" w:customStyle="1" w:styleId="228">
    <w:name w:val="标题 6 字符"/>
    <w:link w:val="8"/>
    <w:qFormat/>
    <w:uiPriority w:val="0"/>
    <w:rPr>
      <w:rFonts w:hAnsi="Arial" w:eastAsia="仿宋_GB2312"/>
      <w:sz w:val="30"/>
      <w:lang w:val="en-US" w:eastAsia="zh-CN" w:bidi="ar-SA"/>
    </w:rPr>
  </w:style>
  <w:style w:type="character" w:customStyle="1" w:styleId="229">
    <w:name w:val="标题 Char2"/>
    <w:qFormat/>
    <w:uiPriority w:val="10"/>
    <w:rPr>
      <w:rFonts w:ascii="Cambria" w:hAnsi="Cambria" w:eastAsia="宋体" w:cs="Times New Roman"/>
      <w:b/>
      <w:bCs/>
      <w:sz w:val="32"/>
      <w:szCs w:val="32"/>
    </w:rPr>
  </w:style>
  <w:style w:type="character" w:customStyle="1" w:styleId="230">
    <w:name w:val="正文文本 Char2"/>
    <w:qFormat/>
    <w:uiPriority w:val="99"/>
    <w:rPr>
      <w:kern w:val="2"/>
      <w:sz w:val="21"/>
      <w:szCs w:val="24"/>
    </w:rPr>
  </w:style>
  <w:style w:type="character" w:customStyle="1" w:styleId="231">
    <w:name w:val="正文文本 2 字符"/>
    <w:link w:val="39"/>
    <w:qFormat/>
    <w:uiPriority w:val="0"/>
    <w:rPr>
      <w:i/>
      <w:iCs/>
      <w:kern w:val="2"/>
      <w:sz w:val="26"/>
      <w:szCs w:val="24"/>
    </w:rPr>
  </w:style>
  <w:style w:type="character" w:customStyle="1" w:styleId="232">
    <w:name w:val="0d1471"/>
    <w:qFormat/>
    <w:uiPriority w:val="0"/>
    <w:rPr>
      <w:color w:val="000000"/>
      <w:sz w:val="11"/>
      <w:szCs w:val="11"/>
      <w:u w:val="none"/>
    </w:rPr>
  </w:style>
  <w:style w:type="character" w:customStyle="1" w:styleId="233">
    <w:name w:val="批注主题 Char"/>
    <w:qFormat/>
    <w:uiPriority w:val="0"/>
    <w:rPr>
      <w:rFonts w:ascii="宋体" w:hAnsi="宋体" w:eastAsia="宋体"/>
      <w:kern w:val="2"/>
      <w:sz w:val="24"/>
      <w:szCs w:val="28"/>
      <w:lang w:val="en-US" w:eastAsia="zh-CN" w:bidi="ar-SA"/>
    </w:rPr>
  </w:style>
  <w:style w:type="character" w:customStyle="1" w:styleId="234">
    <w:name w:val="正文文本 2 Char1"/>
    <w:semiHidden/>
    <w:qFormat/>
    <w:uiPriority w:val="99"/>
    <w:rPr>
      <w:rFonts w:ascii="Calibri" w:hAnsi="Calibri" w:eastAsia="宋体" w:cs="Times New Roman"/>
      <w:szCs w:val="24"/>
    </w:rPr>
  </w:style>
  <w:style w:type="character" w:customStyle="1" w:styleId="235">
    <w:name w:val="批注框文本 Char1"/>
    <w:qFormat/>
    <w:uiPriority w:val="0"/>
    <w:rPr>
      <w:kern w:val="2"/>
      <w:sz w:val="18"/>
      <w:szCs w:val="18"/>
    </w:rPr>
  </w:style>
  <w:style w:type="character" w:customStyle="1" w:styleId="236">
    <w:name w:val="标题 字符"/>
    <w:link w:val="43"/>
    <w:qFormat/>
    <w:uiPriority w:val="0"/>
    <w:rPr>
      <w:rFonts w:eastAsia="宋体"/>
      <w:szCs w:val="24"/>
      <w:u w:val="single"/>
      <w:lang w:val="en-US" w:eastAsia="en-US" w:bidi="ar-SA"/>
    </w:rPr>
  </w:style>
  <w:style w:type="character" w:customStyle="1" w:styleId="237">
    <w:name w:val="正文文本缩进 2 字符"/>
    <w:link w:val="26"/>
    <w:qFormat/>
    <w:uiPriority w:val="0"/>
    <w:rPr>
      <w:rFonts w:eastAsia="宋体"/>
      <w:sz w:val="28"/>
      <w:szCs w:val="24"/>
      <w:lang w:val="en-US" w:eastAsia="zh-CN" w:bidi="ar-SA"/>
    </w:rPr>
  </w:style>
  <w:style w:type="character" w:customStyle="1" w:styleId="238">
    <w:name w:val="引用 Char"/>
    <w:link w:val="115"/>
    <w:qFormat/>
    <w:uiPriority w:val="0"/>
    <w:rPr>
      <w:rFonts w:ascii="Times New Roman" w:hAnsi="Times New Roman" w:eastAsia="宋体" w:cs="Times New Roman"/>
      <w:i/>
      <w:iCs/>
      <w:color w:val="000000"/>
      <w:kern w:val="2"/>
      <w:sz w:val="21"/>
      <w:szCs w:val="24"/>
    </w:rPr>
  </w:style>
  <w:style w:type="character" w:customStyle="1" w:styleId="239">
    <w:name w:val="font161"/>
    <w:qFormat/>
    <w:uiPriority w:val="0"/>
    <w:rPr>
      <w:b/>
      <w:bCs/>
      <w:sz w:val="32"/>
      <w:szCs w:val="32"/>
    </w:rPr>
  </w:style>
  <w:style w:type="character" w:customStyle="1" w:styleId="240">
    <w:name w:val="正文文本缩进 字符"/>
    <w:link w:val="18"/>
    <w:qFormat/>
    <w:uiPriority w:val="0"/>
    <w:rPr>
      <w:rFonts w:eastAsia="宋体"/>
      <w:kern w:val="2"/>
      <w:sz w:val="21"/>
      <w:szCs w:val="24"/>
      <w:lang w:val="en-US" w:eastAsia="zh-CN" w:bidi="ar-SA"/>
    </w:rPr>
  </w:style>
  <w:style w:type="character" w:customStyle="1" w:styleId="241">
    <w:name w:val="标题 9 字符"/>
    <w:link w:val="12"/>
    <w:qFormat/>
    <w:uiPriority w:val="0"/>
    <w:rPr>
      <w:rFonts w:eastAsia="仿宋_GB2312"/>
      <w:sz w:val="30"/>
      <w:lang w:val="en-US" w:eastAsia="zh-CN" w:bidi="ar-SA"/>
    </w:rPr>
  </w:style>
  <w:style w:type="character" w:customStyle="1" w:styleId="242">
    <w:name w:val="标题 8 字符"/>
    <w:link w:val="11"/>
    <w:qFormat/>
    <w:uiPriority w:val="0"/>
    <w:rPr>
      <w:rFonts w:hAnsi="Arial" w:eastAsia="仿宋_GB2312"/>
      <w:sz w:val="30"/>
      <w:lang w:val="en-US" w:eastAsia="zh-CN" w:bidi="ar-SA"/>
    </w:rPr>
  </w:style>
  <w:style w:type="character" w:customStyle="1" w:styleId="243">
    <w:name w:val="Char Char32"/>
    <w:qFormat/>
    <w:uiPriority w:val="0"/>
    <w:rPr>
      <w:rFonts w:ascii="仿宋_GB2312" w:eastAsia="仿宋_GB2312" w:cs="MingLiU"/>
      <w:b/>
      <w:spacing w:val="1"/>
      <w:w w:val="99"/>
      <w:sz w:val="28"/>
      <w:szCs w:val="32"/>
    </w:rPr>
  </w:style>
  <w:style w:type="character" w:customStyle="1" w:styleId="244">
    <w:name w:val="正文文本缩进 3 字符"/>
    <w:link w:val="36"/>
    <w:qFormat/>
    <w:uiPriority w:val="0"/>
    <w:rPr>
      <w:rFonts w:ascii="宋体" w:hAnsi="宋体" w:eastAsia="宋体"/>
      <w:kern w:val="2"/>
      <w:sz w:val="28"/>
      <w:szCs w:val="28"/>
      <w:lang w:val="en-US" w:eastAsia="zh-CN" w:bidi="ar-SA"/>
    </w:rPr>
  </w:style>
  <w:style w:type="character" w:customStyle="1" w:styleId="245">
    <w:name w:val="标题 2 Char1"/>
    <w:qFormat/>
    <w:uiPriority w:val="0"/>
    <w:rPr>
      <w:rFonts w:ascii="Cambria" w:hAnsi="Cambria" w:eastAsia="宋体" w:cs="Times New Roman"/>
      <w:b/>
      <w:bCs/>
      <w:kern w:val="2"/>
      <w:sz w:val="32"/>
      <w:szCs w:val="32"/>
    </w:rPr>
  </w:style>
  <w:style w:type="character" w:customStyle="1" w:styleId="246">
    <w:name w:val="ss16"/>
    <w:qFormat/>
    <w:uiPriority w:val="0"/>
    <w:rPr>
      <w:rFonts w:hint="eastAsia" w:ascii="宋体" w:hAnsi="宋体" w:eastAsia="宋体"/>
      <w:color w:val="000000"/>
      <w:sz w:val="9"/>
      <w:szCs w:val="9"/>
    </w:rPr>
  </w:style>
  <w:style w:type="character" w:customStyle="1" w:styleId="247">
    <w:name w:val="批注主题 Char3"/>
    <w:semiHidden/>
    <w:qFormat/>
    <w:uiPriority w:val="99"/>
    <w:rPr>
      <w:rFonts w:ascii="Calibri" w:hAnsi="Calibri" w:eastAsia="宋体" w:cs="Times New Roman"/>
      <w:b/>
      <w:bCs/>
      <w:szCs w:val="24"/>
    </w:rPr>
  </w:style>
  <w:style w:type="character" w:customStyle="1" w:styleId="248">
    <w:name w:val="明显引用 Char1"/>
    <w:link w:val="132"/>
    <w:qFormat/>
    <w:uiPriority w:val="30"/>
    <w:rPr>
      <w:b/>
      <w:bCs/>
      <w:i/>
      <w:iCs/>
      <w:color w:val="4F81BD"/>
      <w:kern w:val="2"/>
      <w:sz w:val="21"/>
    </w:rPr>
  </w:style>
  <w:style w:type="character" w:customStyle="1" w:styleId="249">
    <w:name w:val="HTML 预设格式 Char2"/>
    <w:semiHidden/>
    <w:qFormat/>
    <w:uiPriority w:val="99"/>
    <w:rPr>
      <w:rFonts w:ascii="Courier New" w:hAnsi="Courier New" w:eastAsia="宋体" w:cs="Courier New"/>
      <w:sz w:val="20"/>
      <w:szCs w:val="20"/>
    </w:rPr>
  </w:style>
  <w:style w:type="character" w:customStyle="1" w:styleId="250">
    <w:name w:val="Char Char17"/>
    <w:qFormat/>
    <w:uiPriority w:val="0"/>
    <w:rPr>
      <w:kern w:val="2"/>
      <w:sz w:val="26"/>
      <w:szCs w:val="24"/>
    </w:rPr>
  </w:style>
  <w:style w:type="character" w:customStyle="1" w:styleId="251">
    <w:name w:val="标题 3 Char1"/>
    <w:qFormat/>
    <w:uiPriority w:val="0"/>
    <w:rPr>
      <w:rFonts w:ascii="Times New Roman" w:hAnsi="Times New Roman" w:eastAsia="宋体" w:cs="Times New Roman"/>
      <w:b/>
      <w:bCs/>
      <w:kern w:val="2"/>
      <w:sz w:val="32"/>
      <w:szCs w:val="32"/>
    </w:rPr>
  </w:style>
  <w:style w:type="character" w:customStyle="1" w:styleId="252">
    <w:name w:val="标题 5 Char"/>
    <w:qFormat/>
    <w:uiPriority w:val="0"/>
    <w:rPr>
      <w:rFonts w:ascii="Calibri" w:hAnsi="Calibri" w:eastAsia="宋体" w:cs="Times New Roman"/>
      <w:b/>
      <w:bCs/>
      <w:sz w:val="28"/>
      <w:szCs w:val="28"/>
    </w:rPr>
  </w:style>
  <w:style w:type="character" w:customStyle="1" w:styleId="253">
    <w:name w:val="页脚 Char1"/>
    <w:semiHidden/>
    <w:qFormat/>
    <w:uiPriority w:val="99"/>
    <w:rPr>
      <w:kern w:val="2"/>
      <w:sz w:val="18"/>
      <w:szCs w:val="18"/>
    </w:rPr>
  </w:style>
  <w:style w:type="character" w:customStyle="1" w:styleId="254">
    <w:name w:val="unnamed1"/>
    <w:basedOn w:val="47"/>
    <w:qFormat/>
    <w:uiPriority w:val="0"/>
  </w:style>
  <w:style w:type="character" w:customStyle="1" w:styleId="255">
    <w:name w:val="Char Char9"/>
    <w:qFormat/>
    <w:locked/>
    <w:uiPriority w:val="0"/>
    <w:rPr>
      <w:rFonts w:ascii="仿宋_GB2312" w:eastAsia="仿宋_GB2312" w:cs="MingLiU"/>
      <w:b/>
      <w:sz w:val="24"/>
      <w:szCs w:val="28"/>
      <w:lang w:val="en-US" w:eastAsia="zh-CN" w:bidi="ar-SA"/>
    </w:rPr>
  </w:style>
  <w:style w:type="character" w:customStyle="1" w:styleId="256">
    <w:name w:val="批注主题 Char1"/>
    <w:qFormat/>
    <w:uiPriority w:val="0"/>
    <w:rPr>
      <w:b/>
      <w:bCs/>
      <w:kern w:val="2"/>
      <w:sz w:val="21"/>
      <w:szCs w:val="22"/>
    </w:rPr>
  </w:style>
  <w:style w:type="character" w:customStyle="1" w:styleId="257">
    <w:name w:val="正文文本 3 字符"/>
    <w:link w:val="17"/>
    <w:qFormat/>
    <w:uiPriority w:val="0"/>
    <w:rPr>
      <w:rFonts w:eastAsia="宋体"/>
      <w:kern w:val="2"/>
      <w:sz w:val="16"/>
      <w:szCs w:val="16"/>
      <w:lang w:val="en-US" w:eastAsia="zh-CN" w:bidi="ar-SA"/>
    </w:rPr>
  </w:style>
  <w:style w:type="character" w:customStyle="1" w:styleId="258">
    <w:name w:val="纯文本 Char2"/>
    <w:semiHidden/>
    <w:qFormat/>
    <w:uiPriority w:val="99"/>
    <w:rPr>
      <w:rFonts w:ascii="宋体" w:hAnsi="Courier New" w:eastAsia="宋体" w:cs="Courier New"/>
      <w:szCs w:val="21"/>
    </w:rPr>
  </w:style>
  <w:style w:type="character" w:customStyle="1" w:styleId="259">
    <w:name w:val="intel3"/>
    <w:basedOn w:val="47"/>
    <w:qFormat/>
    <w:uiPriority w:val="0"/>
  </w:style>
  <w:style w:type="character" w:customStyle="1" w:styleId="260">
    <w:name w:val="subhead1"/>
    <w:qFormat/>
    <w:uiPriority w:val="0"/>
    <w:rPr>
      <w:rFonts w:hint="default" w:ascii="Tahoma" w:hAnsi="Tahoma" w:cs="Tahoma"/>
      <w:color w:val="000000"/>
      <w:sz w:val="18"/>
      <w:szCs w:val="18"/>
      <w:u w:val="none"/>
      <w:shd w:val="clear" w:color="auto" w:fill="FFFFFF"/>
    </w:rPr>
  </w:style>
  <w:style w:type="character" w:customStyle="1" w:styleId="261">
    <w:name w:val="脚注文本 Char"/>
    <w:qFormat/>
    <w:uiPriority w:val="0"/>
    <w:rPr>
      <w:rFonts w:ascii="Arial" w:hAnsi="Arial" w:eastAsia="宋体" w:cs="Arial"/>
      <w:sz w:val="18"/>
      <w:szCs w:val="18"/>
      <w:lang w:eastAsia="en-US"/>
    </w:rPr>
  </w:style>
  <w:style w:type="character" w:customStyle="1" w:styleId="262">
    <w:name w:val="引用 Char1"/>
    <w:link w:val="137"/>
    <w:qFormat/>
    <w:uiPriority w:val="29"/>
    <w:rPr>
      <w:i/>
      <w:iCs/>
      <w:color w:val="000000"/>
      <w:kern w:val="2"/>
      <w:sz w:val="21"/>
    </w:rPr>
  </w:style>
  <w:style w:type="character" w:customStyle="1" w:styleId="263">
    <w:name w:val="正文文本缩进 2 Char"/>
    <w:qFormat/>
    <w:uiPriority w:val="0"/>
    <w:rPr>
      <w:kern w:val="2"/>
      <w:sz w:val="21"/>
      <w:szCs w:val="24"/>
    </w:rPr>
  </w:style>
  <w:style w:type="character" w:customStyle="1" w:styleId="264">
    <w:name w:val="脚注文本 Char2"/>
    <w:semiHidden/>
    <w:qFormat/>
    <w:uiPriority w:val="99"/>
    <w:rPr>
      <w:rFonts w:ascii="Calibri" w:hAnsi="Calibri" w:eastAsia="宋体" w:cs="Times New Roman"/>
      <w:sz w:val="18"/>
      <w:szCs w:val="18"/>
    </w:rPr>
  </w:style>
  <w:style w:type="character" w:customStyle="1" w:styleId="265">
    <w:name w:val="ca-141"/>
    <w:qFormat/>
    <w:uiPriority w:val="0"/>
    <w:rPr>
      <w:rFonts w:hint="eastAsia" w:ascii="仿宋_GB2312" w:eastAsia="仿宋_GB2312"/>
      <w:sz w:val="21"/>
      <w:szCs w:val="21"/>
    </w:rPr>
  </w:style>
  <w:style w:type="character" w:customStyle="1" w:styleId="266">
    <w:name w:val="标题 Char1"/>
    <w:qFormat/>
    <w:uiPriority w:val="10"/>
    <w:rPr>
      <w:szCs w:val="24"/>
      <w:u w:val="single"/>
      <w:lang w:eastAsia="en-US"/>
    </w:rPr>
  </w:style>
  <w:style w:type="character" w:customStyle="1" w:styleId="267">
    <w:name w:val="style161"/>
    <w:qFormat/>
    <w:uiPriority w:val="0"/>
    <w:rPr>
      <w:b/>
      <w:bCs/>
      <w:color w:val="333333"/>
    </w:rPr>
  </w:style>
  <w:style w:type="character" w:customStyle="1" w:styleId="268">
    <w:name w:val="Char Char11"/>
    <w:qFormat/>
    <w:locked/>
    <w:uiPriority w:val="0"/>
    <w:rPr>
      <w:rFonts w:eastAsia="黑体"/>
      <w:kern w:val="2"/>
      <w:sz w:val="44"/>
      <w:szCs w:val="44"/>
      <w:lang w:val="en-US" w:eastAsia="zh-CN" w:bidi="ar-SA"/>
    </w:rPr>
  </w:style>
  <w:style w:type="character" w:customStyle="1" w:styleId="269">
    <w:name w:val="标题 7 Char"/>
    <w:qFormat/>
    <w:uiPriority w:val="0"/>
    <w:rPr>
      <w:rFonts w:ascii="Calibri" w:hAnsi="Calibri" w:eastAsia="宋体" w:cs="Times New Roman"/>
      <w:b/>
      <w:bCs/>
      <w:sz w:val="24"/>
      <w:szCs w:val="24"/>
    </w:rPr>
  </w:style>
  <w:style w:type="character" w:customStyle="1" w:styleId="270">
    <w:name w:val="批注文字 Char1"/>
    <w:qFormat/>
    <w:uiPriority w:val="99"/>
    <w:rPr>
      <w:rFonts w:ascii="Times New Roman" w:hAnsi="Times New Roman" w:eastAsia="宋体" w:cs="Times New Roman"/>
      <w:szCs w:val="24"/>
    </w:rPr>
  </w:style>
  <w:style w:type="character" w:customStyle="1" w:styleId="271">
    <w:name w:val="明显引用 Char"/>
    <w:qFormat/>
    <w:uiPriority w:val="0"/>
    <w:rPr>
      <w:rFonts w:ascii="Times New Roman" w:hAnsi="Times New Roman" w:eastAsia="宋体" w:cs="Times New Roman"/>
      <w:b/>
      <w:bCs/>
      <w:i/>
      <w:iCs/>
      <w:color w:val="4F81BD"/>
      <w:kern w:val="2"/>
      <w:sz w:val="21"/>
      <w:szCs w:val="24"/>
    </w:rPr>
  </w:style>
  <w:style w:type="character" w:customStyle="1" w:styleId="272">
    <w:name w:val="标题 5 字符"/>
    <w:link w:val="7"/>
    <w:qFormat/>
    <w:uiPriority w:val="0"/>
    <w:rPr>
      <w:rFonts w:ascii="宋体" w:hAnsi="宋体" w:eastAsia="宋体" w:cs="宋体"/>
      <w:b/>
      <w:bCs/>
      <w:lang w:val="en-US" w:eastAsia="zh-CN" w:bidi="ar-SA"/>
    </w:rPr>
  </w:style>
  <w:style w:type="character" w:customStyle="1" w:styleId="273">
    <w:name w:val="正文文本缩进 3 Char1"/>
    <w:qFormat/>
    <w:uiPriority w:val="0"/>
    <w:rPr>
      <w:rFonts w:ascii="宋体" w:hAnsi="宋体"/>
      <w:kern w:val="2"/>
      <w:sz w:val="28"/>
      <w:szCs w:val="28"/>
    </w:rPr>
  </w:style>
  <w:style w:type="character" w:customStyle="1" w:styleId="274">
    <w:name w:val="正文文本 Char"/>
    <w:qFormat/>
    <w:uiPriority w:val="0"/>
    <w:rPr>
      <w:sz w:val="26"/>
      <w:szCs w:val="24"/>
    </w:rPr>
  </w:style>
  <w:style w:type="character" w:customStyle="1" w:styleId="275">
    <w:name w:val="明显引用 字符"/>
    <w:link w:val="81"/>
    <w:qFormat/>
    <w:uiPriority w:val="0"/>
    <w:rPr>
      <w:b/>
      <w:bCs/>
      <w:i/>
      <w:iCs/>
      <w:color w:val="4F81BD"/>
      <w:kern w:val="2"/>
      <w:sz w:val="21"/>
      <w:szCs w:val="22"/>
      <w:lang w:bidi="ar-SA"/>
    </w:rPr>
  </w:style>
  <w:style w:type="character" w:customStyle="1" w:styleId="276">
    <w:name w:val="Char Char12"/>
    <w:qFormat/>
    <w:uiPriority w:val="0"/>
    <w:rPr>
      <w:rFonts w:eastAsia="黑体"/>
      <w:kern w:val="2"/>
      <w:sz w:val="44"/>
      <w:szCs w:val="44"/>
      <w:lang w:val="en-US" w:eastAsia="zh-CN" w:bidi="ar-SA"/>
    </w:rPr>
  </w:style>
  <w:style w:type="character" w:customStyle="1" w:styleId="277">
    <w:name w:val="标题 4 Char"/>
    <w:qFormat/>
    <w:uiPriority w:val="0"/>
    <w:rPr>
      <w:rFonts w:ascii="仿宋_GB2312" w:hAnsi="Calibri" w:eastAsia="仿宋_GB2312" w:cs="Times New Roman"/>
      <w:b/>
      <w:kern w:val="0"/>
      <w:sz w:val="24"/>
      <w:szCs w:val="28"/>
    </w:rPr>
  </w:style>
  <w:style w:type="character" w:customStyle="1" w:styleId="278">
    <w:name w:val="明显引用 Char3"/>
    <w:qFormat/>
    <w:uiPriority w:val="30"/>
    <w:rPr>
      <w:rFonts w:ascii="Calibri" w:hAnsi="Calibri" w:eastAsia="宋体" w:cs="Times New Roman"/>
      <w:b/>
      <w:bCs/>
      <w:i/>
      <w:iCs/>
      <w:color w:val="4F81BD"/>
      <w:szCs w:val="24"/>
    </w:rPr>
  </w:style>
  <w:style w:type="character" w:customStyle="1" w:styleId="279">
    <w:name w:val="引用 Char2"/>
    <w:qFormat/>
    <w:uiPriority w:val="99"/>
    <w:rPr>
      <w:i/>
      <w:iCs/>
      <w:color w:val="000000"/>
      <w:kern w:val="2"/>
      <w:sz w:val="21"/>
      <w:szCs w:val="24"/>
    </w:rPr>
  </w:style>
  <w:style w:type="character" w:customStyle="1" w:styleId="280">
    <w:name w:val="批注主题 字符"/>
    <w:link w:val="44"/>
    <w:qFormat/>
    <w:uiPriority w:val="0"/>
    <w:rPr>
      <w:rFonts w:eastAsia="宋体"/>
      <w:b/>
      <w:bCs/>
      <w:kern w:val="2"/>
      <w:sz w:val="21"/>
      <w:szCs w:val="24"/>
      <w:lang w:val="en-US" w:eastAsia="zh-CN" w:bidi="ar-SA"/>
    </w:rPr>
  </w:style>
  <w:style w:type="character" w:customStyle="1" w:styleId="281">
    <w:name w:val="不明显强调1"/>
    <w:qFormat/>
    <w:uiPriority w:val="0"/>
    <w:rPr>
      <w:i/>
      <w:iCs/>
      <w:color w:val="808080"/>
    </w:rPr>
  </w:style>
  <w:style w:type="character" w:customStyle="1" w:styleId="282">
    <w:name w:val="color_red1"/>
    <w:qFormat/>
    <w:uiPriority w:val="0"/>
    <w:rPr>
      <w:color w:val="FA0004"/>
    </w:rPr>
  </w:style>
  <w:style w:type="character" w:customStyle="1" w:styleId="283">
    <w:name w:val="标题 7 字符"/>
    <w:link w:val="10"/>
    <w:qFormat/>
    <w:uiPriority w:val="0"/>
    <w:rPr>
      <w:rFonts w:eastAsia="仿宋_GB2312"/>
      <w:sz w:val="30"/>
      <w:lang w:val="en-US" w:eastAsia="zh-CN" w:bidi="ar-SA"/>
    </w:rPr>
  </w:style>
  <w:style w:type="character" w:customStyle="1" w:styleId="284">
    <w:name w:val="标题5 Char Char"/>
    <w:link w:val="121"/>
    <w:qFormat/>
    <w:uiPriority w:val="0"/>
    <w:rPr>
      <w:rFonts w:ascii="Arial" w:hAnsi="Arial"/>
      <w:b/>
      <w:bCs/>
      <w:sz w:val="24"/>
      <w:szCs w:val="32"/>
      <w:lang w:bidi="ar-SA"/>
    </w:rPr>
  </w:style>
  <w:style w:type="character" w:customStyle="1" w:styleId="285">
    <w:name w:val="脚注文本 字符"/>
    <w:link w:val="34"/>
    <w:qFormat/>
    <w:uiPriority w:val="0"/>
    <w:rPr>
      <w:rFonts w:ascii="Arial" w:hAnsi="Arial" w:eastAsia="宋体" w:cs="Arial"/>
      <w:sz w:val="18"/>
      <w:szCs w:val="18"/>
      <w:lang w:val="en-US" w:eastAsia="en-US" w:bidi="ar-SA"/>
    </w:rPr>
  </w:style>
  <w:style w:type="character" w:customStyle="1" w:styleId="286">
    <w:name w:val="标题4 Char Char"/>
    <w:link w:val="91"/>
    <w:qFormat/>
    <w:uiPriority w:val="0"/>
    <w:rPr>
      <w:rFonts w:ascii="Arial" w:hAnsi="Arial"/>
      <w:b/>
      <w:bCs/>
      <w:sz w:val="24"/>
      <w:szCs w:val="32"/>
      <w:lang w:bidi="ar-SA"/>
    </w:rPr>
  </w:style>
  <w:style w:type="character" w:customStyle="1" w:styleId="287">
    <w:name w:val="Char Char13"/>
    <w:qFormat/>
    <w:uiPriority w:val="0"/>
    <w:rPr>
      <w:kern w:val="2"/>
      <w:sz w:val="18"/>
      <w:szCs w:val="18"/>
    </w:rPr>
  </w:style>
  <w:style w:type="character" w:customStyle="1" w:styleId="288">
    <w:name w:val="文档结构图 Char2"/>
    <w:qFormat/>
    <w:uiPriority w:val="99"/>
    <w:rPr>
      <w:kern w:val="2"/>
      <w:sz w:val="21"/>
      <w:szCs w:val="24"/>
      <w:shd w:val="clear" w:color="auto" w:fill="000080"/>
    </w:rPr>
  </w:style>
  <w:style w:type="character" w:customStyle="1" w:styleId="289">
    <w:name w:val="批注文字 Char2"/>
    <w:qFormat/>
    <w:uiPriority w:val="0"/>
    <w:rPr>
      <w:rFonts w:ascii="Calibri" w:hAnsi="Calibri" w:eastAsia="宋体" w:cs="Times New Roman"/>
      <w:szCs w:val="24"/>
    </w:rPr>
  </w:style>
  <w:style w:type="character" w:customStyle="1" w:styleId="290">
    <w:name w:val="标题 8 Char1"/>
    <w:qFormat/>
    <w:uiPriority w:val="0"/>
    <w:rPr>
      <w:rFonts w:ascii="Times New Roman" w:hAnsi="Arial" w:eastAsia="仿宋_GB2312" w:cs="Times New Roman"/>
      <w:sz w:val="30"/>
      <w:szCs w:val="20"/>
    </w:rPr>
  </w:style>
  <w:style w:type="character" w:customStyle="1" w:styleId="291">
    <w:name w:val="页眉 字符"/>
    <w:link w:val="30"/>
    <w:qFormat/>
    <w:uiPriority w:val="0"/>
    <w:rPr>
      <w:rFonts w:eastAsia="宋体"/>
      <w:kern w:val="2"/>
      <w:sz w:val="18"/>
      <w:szCs w:val="18"/>
      <w:lang w:val="en-US" w:eastAsia="zh-CN" w:bidi="ar-SA"/>
    </w:rPr>
  </w:style>
  <w:style w:type="character" w:customStyle="1" w:styleId="292">
    <w:name w:val="Char Char21"/>
    <w:qFormat/>
    <w:uiPriority w:val="0"/>
    <w:rPr>
      <w:rFonts w:ascii="宋体" w:hAnsi="宋体" w:cs="宋体"/>
      <w:b/>
      <w:bCs/>
      <w:sz w:val="24"/>
      <w:szCs w:val="24"/>
    </w:rPr>
  </w:style>
  <w:style w:type="character" w:customStyle="1" w:styleId="293">
    <w:name w:val="标题 6 Char1"/>
    <w:qFormat/>
    <w:uiPriority w:val="0"/>
    <w:rPr>
      <w:rFonts w:ascii="Times New Roman" w:hAnsi="Arial" w:eastAsia="仿宋_GB2312" w:cs="Times New Roman"/>
      <w:sz w:val="30"/>
      <w:szCs w:val="20"/>
    </w:rPr>
  </w:style>
  <w:style w:type="character" w:customStyle="1" w:styleId="294">
    <w:name w:val="_Style 293"/>
    <w:qFormat/>
    <w:uiPriority w:val="0"/>
    <w:rPr>
      <w:smallCaps/>
      <w:color w:val="C0504D"/>
      <w:u w:val="single"/>
    </w:rPr>
  </w:style>
  <w:style w:type="character" w:customStyle="1" w:styleId="295">
    <w:name w:val="副标题 Char1"/>
    <w:qFormat/>
    <w:uiPriority w:val="0"/>
    <w:rPr>
      <w:szCs w:val="24"/>
      <w:u w:val="single"/>
      <w:lang w:eastAsia="en-US"/>
    </w:rPr>
  </w:style>
  <w:style w:type="character" w:customStyle="1" w:styleId="296">
    <w:name w:val="正文文本 Char3"/>
    <w:semiHidden/>
    <w:qFormat/>
    <w:uiPriority w:val="99"/>
    <w:rPr>
      <w:rFonts w:ascii="Calibri" w:hAnsi="Calibri" w:eastAsia="宋体" w:cs="Times New Roman"/>
      <w:szCs w:val="24"/>
    </w:rPr>
  </w:style>
  <w:style w:type="character" w:customStyle="1" w:styleId="297">
    <w:name w:val="标题 4 Char1"/>
    <w:qFormat/>
    <w:uiPriority w:val="0"/>
    <w:rPr>
      <w:rFonts w:ascii="宋体" w:hAnsi="宋体" w:eastAsia="宋体" w:cs="宋体"/>
      <w:b/>
      <w:bCs/>
      <w:sz w:val="24"/>
      <w:szCs w:val="24"/>
    </w:rPr>
  </w:style>
  <w:style w:type="character" w:customStyle="1" w:styleId="298">
    <w:name w:val="文档结构图 Char3"/>
    <w:semiHidden/>
    <w:qFormat/>
    <w:uiPriority w:val="99"/>
    <w:rPr>
      <w:rFonts w:ascii="宋体" w:hAnsi="Calibri" w:eastAsia="宋体" w:cs="Times New Roman"/>
      <w:sz w:val="18"/>
      <w:szCs w:val="18"/>
    </w:rPr>
  </w:style>
  <w:style w:type="character" w:customStyle="1" w:styleId="299">
    <w:name w:val="标题 3 字符"/>
    <w:link w:val="5"/>
    <w:qFormat/>
    <w:uiPriority w:val="0"/>
    <w:rPr>
      <w:rFonts w:eastAsia="宋体"/>
      <w:b/>
      <w:bCs/>
      <w:kern w:val="2"/>
      <w:sz w:val="32"/>
      <w:szCs w:val="32"/>
      <w:lang w:val="en-US" w:eastAsia="zh-CN" w:bidi="ar-SA"/>
    </w:rPr>
  </w:style>
  <w:style w:type="character" w:customStyle="1" w:styleId="300">
    <w:name w:val="正文文本 3 Char2"/>
    <w:semiHidden/>
    <w:qFormat/>
    <w:uiPriority w:val="99"/>
    <w:rPr>
      <w:rFonts w:ascii="Calibri" w:hAnsi="Calibri" w:eastAsia="宋体" w:cs="Times New Roman"/>
      <w:sz w:val="16"/>
      <w:szCs w:val="16"/>
    </w:rPr>
  </w:style>
  <w:style w:type="character" w:customStyle="1" w:styleId="301">
    <w:name w:val="Char Char23"/>
    <w:qFormat/>
    <w:uiPriority w:val="0"/>
    <w:rPr>
      <w:rFonts w:ascii="Cambria" w:hAnsi="Cambria" w:eastAsia="宋体" w:cs="Times New Roman"/>
      <w:b/>
      <w:bCs/>
      <w:kern w:val="2"/>
      <w:sz w:val="32"/>
      <w:szCs w:val="32"/>
    </w:rPr>
  </w:style>
  <w:style w:type="character" w:customStyle="1" w:styleId="302">
    <w:name w:val="尾注文本 Char2"/>
    <w:semiHidden/>
    <w:qFormat/>
    <w:uiPriority w:val="99"/>
    <w:rPr>
      <w:rFonts w:ascii="Calibri" w:hAnsi="Calibri" w:eastAsia="宋体" w:cs="Times New Roman"/>
      <w:szCs w:val="24"/>
    </w:rPr>
  </w:style>
  <w:style w:type="character" w:customStyle="1" w:styleId="303">
    <w:name w:val="书籍标题1"/>
    <w:qFormat/>
    <w:uiPriority w:val="0"/>
    <w:rPr>
      <w:b/>
      <w:bCs/>
      <w:smallCaps/>
      <w:spacing w:val="5"/>
    </w:rPr>
  </w:style>
  <w:style w:type="character" w:customStyle="1" w:styleId="304">
    <w:name w:val="ITTHEADER2 Char"/>
    <w:qFormat/>
    <w:uiPriority w:val="0"/>
    <w:rPr>
      <w:rFonts w:ascii="仿宋_GB2312" w:eastAsia="仿宋_GB2312" w:cs="MingLiU"/>
      <w:b/>
      <w:spacing w:val="1"/>
      <w:w w:val="99"/>
      <w:sz w:val="28"/>
      <w:szCs w:val="32"/>
      <w:lang w:val="en-US" w:eastAsia="zh-CN" w:bidi="ar-SA"/>
    </w:rPr>
  </w:style>
  <w:style w:type="character" w:customStyle="1" w:styleId="305">
    <w:name w:val="批注文字 字符"/>
    <w:link w:val="16"/>
    <w:qFormat/>
    <w:uiPriority w:val="99"/>
    <w:rPr>
      <w:rFonts w:eastAsia="宋体"/>
      <w:kern w:val="2"/>
      <w:sz w:val="21"/>
      <w:szCs w:val="24"/>
      <w:lang w:val="en-US" w:eastAsia="zh-CN" w:bidi="ar-SA"/>
    </w:rPr>
  </w:style>
  <w:style w:type="character" w:customStyle="1" w:styleId="306">
    <w:name w:val="批注文字 Char Char"/>
    <w:qFormat/>
    <w:uiPriority w:val="0"/>
    <w:rPr>
      <w:rFonts w:ascii="宋体" w:hAnsi="Times New Roman" w:eastAsia="宋体" w:cs="Times New Roman"/>
      <w:sz w:val="28"/>
      <w:szCs w:val="20"/>
    </w:rPr>
  </w:style>
  <w:style w:type="character" w:customStyle="1" w:styleId="307">
    <w:name w:val="副标题 字符"/>
    <w:link w:val="33"/>
    <w:qFormat/>
    <w:uiPriority w:val="0"/>
    <w:rPr>
      <w:rFonts w:eastAsia="宋体"/>
      <w:szCs w:val="24"/>
      <w:u w:val="single"/>
      <w:lang w:val="en-US" w:eastAsia="en-US" w:bidi="ar-SA"/>
    </w:rPr>
  </w:style>
  <w:style w:type="character" w:customStyle="1" w:styleId="308">
    <w:name w:val="批注主题 Char2"/>
    <w:qFormat/>
    <w:uiPriority w:val="99"/>
    <w:rPr>
      <w:b/>
      <w:bCs/>
      <w:kern w:val="2"/>
      <w:sz w:val="21"/>
      <w:szCs w:val="24"/>
    </w:rPr>
  </w:style>
  <w:style w:type="character" w:customStyle="1" w:styleId="309">
    <w:name w:val="normaltext1"/>
    <w:qFormat/>
    <w:uiPriority w:val="0"/>
    <w:rPr>
      <w:rFonts w:hint="default" w:ascii="ˎ̥" w:hAnsi="ˎ̥"/>
      <w:sz w:val="9"/>
      <w:szCs w:val="9"/>
    </w:rPr>
  </w:style>
  <w:style w:type="character" w:customStyle="1" w:styleId="310">
    <w:name w:val="不明显参考1"/>
    <w:qFormat/>
    <w:uiPriority w:val="0"/>
    <w:rPr>
      <w:smallCaps/>
      <w:color w:val="C0504D"/>
      <w:u w:val="single"/>
    </w:rPr>
  </w:style>
  <w:style w:type="character" w:customStyle="1" w:styleId="311">
    <w:name w:val="标题 6 Char"/>
    <w:qFormat/>
    <w:uiPriority w:val="0"/>
    <w:rPr>
      <w:rFonts w:ascii="Arial" w:hAnsi="Arial" w:eastAsia="黑体" w:cs="Times New Roman"/>
      <w:b/>
      <w:bCs/>
      <w:sz w:val="24"/>
      <w:szCs w:val="24"/>
    </w:rPr>
  </w:style>
  <w:style w:type="paragraph" w:customStyle="1" w:styleId="312">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13">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AB560C-FABF-40CD-A9B2-A6DE14B10C8D}">
  <ds:schemaRefs/>
</ds:datastoreItem>
</file>

<file path=docProps/app.xml><?xml version="1.0" encoding="utf-8"?>
<Properties xmlns="http://schemas.openxmlformats.org/officeDocument/2006/extended-properties" xmlns:vt="http://schemas.openxmlformats.org/officeDocument/2006/docPropsVTypes">
  <Template>Normal</Template>
  <Pages>205</Pages>
  <Words>6092</Words>
  <Characters>6768</Characters>
  <Lines>1372</Lines>
  <Paragraphs>386</Paragraphs>
  <TotalTime>81</TotalTime>
  <ScaleCrop>false</ScaleCrop>
  <LinksUpToDate>false</LinksUpToDate>
  <CharactersWithSpaces>7571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2021-12-18T02:44:00Z</dcterms:created>
  <dc:creator>USER</dc:creator>
  <cp:lastModifiedBy>user</cp:lastModifiedBy>
  <cp:lastPrinted>2019-02-02T00:39:00Z</cp:lastPrinted>
  <dcterms:modified xsi:type="dcterms:W3CDTF">2026-05-29T17:04:35Z</dcterms:modified>
  <dc:title>第一卷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C68483262B7A4C9BA315948BA95C5BBB_13</vt:lpwstr>
  </property>
  <property fmtid="{D5CDD505-2E9C-101B-9397-08002B2CF9AE}" pid="4" name="KSOTemplateDocerSaveRecord">
    <vt:lpwstr>eyJoZGlkIjoiOTUzYmI1MjUwMThkOTEzYWUxYmJmNzQyMTA1Yjk3OWMiLCJ1c2VySWQiOiIyODAwNzYzMDMifQ==</vt:lpwstr>
  </property>
</Properties>
</file>