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A67AD">
      <w:pPr>
        <w:pStyle w:val="23"/>
        <w:spacing w:line="500" w:lineRule="exact"/>
        <w:ind w:left="0"/>
        <w:jc w:val="center"/>
        <w:rPr>
          <w:rFonts w:hint="eastAsia" w:asciiTheme="minorEastAsia" w:hAnsiTheme="minorEastAsia" w:eastAsiaTheme="minorEastAsia" w:cstheme="minorEastAsia"/>
          <w:b w:val="0"/>
          <w:bCs/>
          <w:color w:val="auto"/>
          <w:sz w:val="48"/>
          <w:szCs w:val="28"/>
          <w:highlight w:val="none"/>
        </w:rPr>
      </w:pPr>
    </w:p>
    <w:p w14:paraId="15E5C2B0">
      <w:pPr>
        <w:ind w:left="2160" w:hanging="2640" w:hangingChars="600"/>
        <w:jc w:val="center"/>
        <w:rPr>
          <w:rFonts w:hint="eastAsia" w:asciiTheme="minorEastAsia" w:hAnsiTheme="minorEastAsia" w:eastAsiaTheme="minorEastAsia" w:cstheme="minorEastAsia"/>
          <w:b w:val="0"/>
          <w:bCs/>
          <w:color w:val="auto"/>
          <w:sz w:val="44"/>
          <w:szCs w:val="44"/>
          <w:highlight w:val="none"/>
          <w:lang w:eastAsia="zh-CN"/>
        </w:rPr>
      </w:pPr>
      <w:r>
        <w:rPr>
          <w:rFonts w:hint="eastAsia" w:asciiTheme="minorEastAsia" w:hAnsiTheme="minorEastAsia" w:eastAsiaTheme="minorEastAsia" w:cstheme="minorEastAsia"/>
          <w:b w:val="0"/>
          <w:bCs/>
          <w:color w:val="auto"/>
          <w:sz w:val="44"/>
          <w:szCs w:val="44"/>
          <w:highlight w:val="none"/>
        </w:rPr>
        <w:t>项 目 名 称：</w:t>
      </w:r>
      <w:r>
        <w:rPr>
          <w:rFonts w:hint="eastAsia" w:asciiTheme="minorEastAsia" w:hAnsiTheme="minorEastAsia" w:eastAsiaTheme="minorEastAsia" w:cstheme="minorEastAsia"/>
          <w:b w:val="0"/>
          <w:bCs/>
          <w:color w:val="auto"/>
          <w:sz w:val="44"/>
          <w:szCs w:val="44"/>
          <w:highlight w:val="none"/>
          <w:lang w:eastAsia="zh-CN"/>
        </w:rPr>
        <w:t>大足石刻世界文化遗产保护管理</w:t>
      </w:r>
    </w:p>
    <w:p w14:paraId="68B62463">
      <w:pPr>
        <w:ind w:left="2160" w:hanging="2640" w:hangingChars="600"/>
        <w:jc w:val="center"/>
        <w:rPr>
          <w:rFonts w:hint="eastAsia" w:asciiTheme="minorEastAsia" w:hAnsiTheme="minorEastAsia" w:eastAsiaTheme="minorEastAsia" w:cstheme="minorEastAsia"/>
          <w:b w:val="0"/>
          <w:bCs/>
          <w:color w:val="auto"/>
          <w:sz w:val="44"/>
          <w:szCs w:val="44"/>
          <w:highlight w:val="none"/>
          <w:lang w:eastAsia="zh-CN"/>
        </w:rPr>
      </w:pPr>
      <w:r>
        <w:rPr>
          <w:rFonts w:hint="eastAsia" w:asciiTheme="minorEastAsia" w:hAnsiTheme="minorEastAsia" w:eastAsiaTheme="minorEastAsia" w:cstheme="minorEastAsia"/>
          <w:b w:val="0"/>
          <w:bCs/>
          <w:color w:val="auto"/>
          <w:sz w:val="44"/>
          <w:szCs w:val="44"/>
          <w:highlight w:val="none"/>
          <w:lang w:eastAsia="zh-CN"/>
        </w:rPr>
        <w:t>综合场景</w:t>
      </w:r>
    </w:p>
    <w:p w14:paraId="483087F3">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64433D97">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1A6692FE">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05561DA6">
      <w:pPr>
        <w:pStyle w:val="23"/>
        <w:spacing w:line="500" w:lineRule="exact"/>
        <w:ind w:left="0"/>
        <w:jc w:val="center"/>
        <w:rPr>
          <w:rFonts w:hint="eastAsia" w:asciiTheme="minorEastAsia" w:hAnsiTheme="minorEastAsia" w:eastAsiaTheme="minorEastAsia" w:cstheme="minorEastAsia"/>
          <w:b/>
          <w:color w:val="auto"/>
          <w:sz w:val="32"/>
          <w:highlight w:val="none"/>
          <w:lang w:val="en-US" w:eastAsia="zh-CN"/>
        </w:rPr>
      </w:pPr>
    </w:p>
    <w:p w14:paraId="0DCFB9E6">
      <w:pPr>
        <w:pStyle w:val="23"/>
        <w:spacing w:line="500" w:lineRule="exact"/>
        <w:ind w:left="0"/>
        <w:jc w:val="center"/>
        <w:rPr>
          <w:rFonts w:hint="eastAsia" w:asciiTheme="minorEastAsia" w:hAnsiTheme="minorEastAsia" w:eastAsiaTheme="minorEastAsia" w:cstheme="minorEastAsia"/>
          <w:b/>
          <w:color w:val="auto"/>
          <w:sz w:val="32"/>
          <w:highlight w:val="none"/>
        </w:rPr>
      </w:pPr>
      <w:r>
        <w:rPr>
          <w:rFonts w:hint="eastAsia" w:asciiTheme="minorEastAsia" w:hAnsiTheme="minorEastAsia" w:eastAsiaTheme="minorEastAsia" w:cstheme="minorEastAsia"/>
          <w:b/>
          <w:color w:val="auto"/>
          <w:sz w:val="32"/>
          <w:highlight w:val="none"/>
        </w:rPr>
        <w:t xml:space="preserve"> </w:t>
      </w:r>
    </w:p>
    <w:p w14:paraId="5BC1E5D9">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26EB5EEE">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58398505">
      <w:pPr>
        <w:jc w:val="center"/>
        <w:outlineLvl w:val="0"/>
        <w:rPr>
          <w:rFonts w:hint="eastAsia" w:asciiTheme="minorEastAsia" w:hAnsiTheme="minorEastAsia" w:eastAsiaTheme="minorEastAsia" w:cstheme="minorEastAsia"/>
          <w:color w:val="auto"/>
          <w:spacing w:val="80"/>
          <w:sz w:val="96"/>
          <w:szCs w:val="96"/>
          <w:highlight w:val="none"/>
        </w:rPr>
      </w:pPr>
      <w:r>
        <w:rPr>
          <w:rFonts w:hint="eastAsia" w:asciiTheme="minorEastAsia" w:hAnsiTheme="minorEastAsia" w:eastAsiaTheme="minorEastAsia" w:cstheme="minorEastAsia"/>
          <w:b/>
          <w:bCs/>
          <w:color w:val="auto"/>
          <w:spacing w:val="1"/>
          <w:w w:val="85"/>
          <w:kern w:val="0"/>
          <w:sz w:val="96"/>
          <w:szCs w:val="96"/>
          <w:highlight w:val="none"/>
          <w:fitText w:val="5760" w:id="973343350"/>
        </w:rPr>
        <w:t>竞争性磋商文</w:t>
      </w:r>
      <w:r>
        <w:rPr>
          <w:rFonts w:hint="eastAsia" w:asciiTheme="minorEastAsia" w:hAnsiTheme="minorEastAsia" w:eastAsiaTheme="minorEastAsia" w:cstheme="minorEastAsia"/>
          <w:b/>
          <w:bCs/>
          <w:color w:val="auto"/>
          <w:spacing w:val="0"/>
          <w:w w:val="85"/>
          <w:kern w:val="0"/>
          <w:sz w:val="96"/>
          <w:szCs w:val="96"/>
          <w:highlight w:val="none"/>
          <w:fitText w:val="5760" w:id="973343350"/>
        </w:rPr>
        <w:t>件</w:t>
      </w:r>
    </w:p>
    <w:p w14:paraId="0E215215">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265905BE">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5FD7AA48">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01405F8C">
      <w:pPr>
        <w:pStyle w:val="23"/>
        <w:spacing w:line="500" w:lineRule="exact"/>
        <w:ind w:left="0"/>
        <w:jc w:val="center"/>
        <w:rPr>
          <w:rFonts w:hint="eastAsia" w:asciiTheme="minorEastAsia" w:hAnsiTheme="minorEastAsia" w:eastAsiaTheme="minorEastAsia" w:cstheme="minorEastAsia"/>
          <w:b/>
          <w:color w:val="auto"/>
          <w:sz w:val="32"/>
          <w:highlight w:val="none"/>
        </w:rPr>
      </w:pPr>
    </w:p>
    <w:p w14:paraId="572EDC74">
      <w:pPr>
        <w:pStyle w:val="23"/>
        <w:spacing w:line="500" w:lineRule="exact"/>
        <w:ind w:left="0"/>
        <w:rPr>
          <w:rFonts w:hint="eastAsia" w:asciiTheme="minorEastAsia" w:hAnsiTheme="minorEastAsia" w:eastAsiaTheme="minorEastAsia" w:cstheme="minorEastAsia"/>
          <w:b/>
          <w:color w:val="auto"/>
          <w:sz w:val="32"/>
          <w:highlight w:val="none"/>
        </w:rPr>
      </w:pPr>
    </w:p>
    <w:p w14:paraId="0178FFBD">
      <w:pPr>
        <w:pStyle w:val="23"/>
        <w:spacing w:line="500" w:lineRule="exact"/>
        <w:ind w:left="0"/>
        <w:jc w:val="both"/>
        <w:rPr>
          <w:rFonts w:hint="eastAsia" w:asciiTheme="minorEastAsia" w:hAnsiTheme="minorEastAsia" w:eastAsiaTheme="minorEastAsia" w:cstheme="minorEastAsia"/>
          <w:b/>
          <w:color w:val="auto"/>
          <w:sz w:val="32"/>
          <w:highlight w:val="none"/>
        </w:rPr>
      </w:pPr>
    </w:p>
    <w:p w14:paraId="2F25C403">
      <w:pPr>
        <w:spacing w:line="500" w:lineRule="exact"/>
        <w:jc w:val="center"/>
        <w:rPr>
          <w:rFonts w:hint="eastAsia" w:asciiTheme="minorEastAsia" w:hAnsiTheme="minorEastAsia" w:eastAsiaTheme="minorEastAsia" w:cstheme="minorEastAsia"/>
          <w:b/>
          <w:color w:val="auto"/>
          <w:sz w:val="32"/>
          <w:highlight w:val="none"/>
        </w:rPr>
      </w:pPr>
    </w:p>
    <w:p w14:paraId="58B69241">
      <w:pPr>
        <w:keepNext w:val="0"/>
        <w:keepLines w:val="0"/>
        <w:pageBreakBefore w:val="0"/>
        <w:widowControl w:val="0"/>
        <w:kinsoku/>
        <w:wordWrap/>
        <w:overflowPunct/>
        <w:topLinePunct w:val="0"/>
        <w:autoSpaceDE/>
        <w:autoSpaceDN/>
        <w:bidi w:val="0"/>
        <w:adjustRightInd/>
        <w:spacing w:line="500" w:lineRule="exact"/>
        <w:ind w:left="2098" w:leftChars="428" w:hanging="900" w:hangingChars="100"/>
        <w:jc w:val="both"/>
        <w:textAlignment w:val="auto"/>
        <w:outlineLvl w:val="0"/>
        <w:rPr>
          <w:rFonts w:hint="eastAsia" w:asciiTheme="minorEastAsia" w:hAnsiTheme="minorEastAsia" w:eastAsiaTheme="minorEastAsia" w:cstheme="minorEastAsia"/>
          <w:color w:val="auto"/>
          <w:kern w:val="2"/>
          <w:sz w:val="36"/>
          <w:szCs w:val="21"/>
          <w:highlight w:val="none"/>
          <w:lang w:val="en-US" w:eastAsia="zh-CN" w:bidi="ar-SA"/>
        </w:rPr>
      </w:pPr>
      <w:r>
        <w:rPr>
          <w:rFonts w:hint="eastAsia" w:asciiTheme="minorEastAsia" w:hAnsiTheme="minorEastAsia" w:eastAsiaTheme="minorEastAsia" w:cstheme="minorEastAsia"/>
          <w:color w:val="auto"/>
          <w:spacing w:val="270"/>
          <w:kern w:val="0"/>
          <w:sz w:val="36"/>
          <w:szCs w:val="21"/>
          <w:highlight w:val="none"/>
          <w:fitText w:val="2160" w:id="1072576752"/>
          <w:lang w:val="en-US" w:eastAsia="zh-CN" w:bidi="ar-SA"/>
        </w:rPr>
        <w:t>采购</w:t>
      </w:r>
      <w:r>
        <w:rPr>
          <w:rFonts w:hint="eastAsia" w:asciiTheme="minorEastAsia" w:hAnsiTheme="minorEastAsia" w:eastAsiaTheme="minorEastAsia" w:cstheme="minorEastAsia"/>
          <w:color w:val="auto"/>
          <w:spacing w:val="0"/>
          <w:kern w:val="0"/>
          <w:sz w:val="36"/>
          <w:szCs w:val="21"/>
          <w:highlight w:val="none"/>
          <w:fitText w:val="2160" w:id="1072576752"/>
          <w:lang w:val="en-US" w:eastAsia="zh-CN" w:bidi="ar-SA"/>
        </w:rPr>
        <w:t>人</w:t>
      </w:r>
      <w:r>
        <w:rPr>
          <w:rFonts w:hint="eastAsia" w:asciiTheme="minorEastAsia" w:hAnsiTheme="minorEastAsia" w:eastAsiaTheme="minorEastAsia" w:cstheme="minorEastAsia"/>
          <w:color w:val="auto"/>
          <w:kern w:val="2"/>
          <w:sz w:val="36"/>
          <w:szCs w:val="21"/>
          <w:highlight w:val="none"/>
          <w:lang w:val="en-US" w:eastAsia="zh-CN" w:bidi="ar-SA"/>
        </w:rPr>
        <w:t>：大足石刻研究院</w:t>
      </w:r>
    </w:p>
    <w:p w14:paraId="3E40F031">
      <w:pPr>
        <w:pStyle w:val="22"/>
        <w:keepNext w:val="0"/>
        <w:keepLines w:val="0"/>
        <w:pageBreakBefore w:val="0"/>
        <w:widowControl w:val="0"/>
        <w:kinsoku/>
        <w:wordWrap/>
        <w:overflowPunct/>
        <w:topLinePunct w:val="0"/>
        <w:autoSpaceDE/>
        <w:autoSpaceDN/>
        <w:bidi w:val="0"/>
        <w:adjustRightInd/>
        <w:ind w:left="0" w:hanging="720" w:hangingChars="200"/>
        <w:jc w:val="center"/>
        <w:textAlignment w:val="auto"/>
        <w:rPr>
          <w:rFonts w:hint="eastAsia" w:asciiTheme="minorEastAsia" w:hAnsiTheme="minorEastAsia" w:eastAsiaTheme="minorEastAsia" w:cstheme="minorEastAsia"/>
          <w:color w:val="auto"/>
          <w:kern w:val="2"/>
          <w:sz w:val="36"/>
          <w:szCs w:val="21"/>
          <w:highlight w:val="none"/>
          <w:lang w:val="en-US" w:eastAsia="zh-CN" w:bidi="ar-SA"/>
        </w:rPr>
      </w:pPr>
    </w:p>
    <w:p w14:paraId="3CFE027D">
      <w:pPr>
        <w:keepNext w:val="0"/>
        <w:keepLines w:val="0"/>
        <w:pageBreakBefore w:val="0"/>
        <w:widowControl w:val="0"/>
        <w:kinsoku/>
        <w:wordWrap/>
        <w:overflowPunct/>
        <w:topLinePunct w:val="0"/>
        <w:autoSpaceDE/>
        <w:autoSpaceDN/>
        <w:bidi w:val="0"/>
        <w:adjustRightInd/>
        <w:spacing w:line="500" w:lineRule="exact"/>
        <w:ind w:left="717" w:leftChars="256" w:firstLine="360" w:firstLineChars="100"/>
        <w:jc w:val="both"/>
        <w:textAlignment w:val="auto"/>
        <w:outlineLvl w:val="0"/>
        <w:rPr>
          <w:rFonts w:hint="eastAsia" w:asciiTheme="minorEastAsia" w:hAnsiTheme="minorEastAsia" w:eastAsiaTheme="minorEastAsia" w:cstheme="minorEastAsia"/>
          <w:color w:val="auto"/>
          <w:kern w:val="2"/>
          <w:sz w:val="36"/>
          <w:szCs w:val="21"/>
          <w:highlight w:val="none"/>
          <w:lang w:val="en-US" w:eastAsia="zh-CN" w:bidi="ar-SA"/>
        </w:rPr>
      </w:pPr>
      <w:r>
        <w:rPr>
          <w:rFonts w:hint="eastAsia" w:asciiTheme="minorEastAsia" w:hAnsiTheme="minorEastAsia" w:eastAsiaTheme="minorEastAsia" w:cstheme="minorEastAsia"/>
          <w:color w:val="auto"/>
          <w:spacing w:val="0"/>
          <w:kern w:val="0"/>
          <w:sz w:val="36"/>
          <w:szCs w:val="21"/>
          <w:highlight w:val="none"/>
          <w:fitText w:val="2160" w:id="1814698162"/>
          <w:lang w:val="en-US" w:eastAsia="zh-CN" w:bidi="ar-SA"/>
        </w:rPr>
        <w:t>采购代理机构</w:t>
      </w:r>
      <w:r>
        <w:rPr>
          <w:rFonts w:hint="eastAsia" w:asciiTheme="minorEastAsia" w:hAnsiTheme="minorEastAsia" w:eastAsiaTheme="minorEastAsia" w:cstheme="minorEastAsia"/>
          <w:color w:val="auto"/>
          <w:kern w:val="2"/>
          <w:sz w:val="36"/>
          <w:szCs w:val="21"/>
          <w:highlight w:val="none"/>
          <w:lang w:val="en-US" w:eastAsia="zh-CN" w:bidi="ar-SA"/>
        </w:rPr>
        <w:t>：重庆翊博项目管理有限公司</w:t>
      </w:r>
    </w:p>
    <w:p w14:paraId="07AE131C">
      <w:pPr>
        <w:keepNext w:val="0"/>
        <w:keepLines w:val="0"/>
        <w:pageBreakBefore w:val="0"/>
        <w:widowControl w:val="0"/>
        <w:kinsoku/>
        <w:wordWrap/>
        <w:overflowPunct/>
        <w:topLinePunct w:val="0"/>
        <w:autoSpaceDE/>
        <w:autoSpaceDN/>
        <w:bidi w:val="0"/>
        <w:adjustRightInd/>
        <w:spacing w:line="500" w:lineRule="exact"/>
        <w:jc w:val="both"/>
        <w:textAlignment w:val="auto"/>
        <w:outlineLvl w:val="0"/>
        <w:rPr>
          <w:rFonts w:hint="eastAsia" w:asciiTheme="minorEastAsia" w:hAnsiTheme="minorEastAsia" w:eastAsiaTheme="minorEastAsia" w:cstheme="minorEastAsia"/>
          <w:color w:val="auto"/>
          <w:kern w:val="2"/>
          <w:sz w:val="36"/>
          <w:szCs w:val="21"/>
          <w:highlight w:val="none"/>
          <w:lang w:val="en-US" w:eastAsia="zh-CN" w:bidi="ar-SA"/>
        </w:rPr>
      </w:pPr>
    </w:p>
    <w:p w14:paraId="30978F35">
      <w:pPr>
        <w:keepNext w:val="0"/>
        <w:keepLines w:val="0"/>
        <w:pageBreakBefore w:val="0"/>
        <w:widowControl w:val="0"/>
        <w:kinsoku/>
        <w:wordWrap/>
        <w:overflowPunct/>
        <w:topLinePunct w:val="0"/>
        <w:autoSpaceDE/>
        <w:autoSpaceDN/>
        <w:bidi w:val="0"/>
        <w:adjustRightInd/>
        <w:snapToGrid w:val="0"/>
        <w:spacing w:line="500" w:lineRule="exact"/>
        <w:ind w:left="0" w:hanging="720" w:hangingChars="200"/>
        <w:jc w:val="center"/>
        <w:textAlignment w:val="auto"/>
        <w:rPr>
          <w:rFonts w:hint="eastAsia" w:asciiTheme="minorEastAsia" w:hAnsiTheme="minorEastAsia" w:eastAsiaTheme="minorEastAsia" w:cstheme="minorEastAsia"/>
          <w:color w:val="auto"/>
          <w:kern w:val="2"/>
          <w:sz w:val="36"/>
          <w:szCs w:val="21"/>
          <w:highlight w:val="none"/>
          <w:lang w:val="en-US" w:eastAsia="zh-CN" w:bidi="ar-SA"/>
        </w:rPr>
      </w:pPr>
    </w:p>
    <w:p w14:paraId="3983F4E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color w:val="auto"/>
          <w:kern w:val="2"/>
          <w:sz w:val="36"/>
          <w:szCs w:val="21"/>
          <w:highlight w:val="none"/>
          <w:lang w:val="en-US" w:eastAsia="zh-CN" w:bidi="ar-SA"/>
        </w:rPr>
      </w:pPr>
      <w:r>
        <w:rPr>
          <w:rFonts w:hint="eastAsia" w:asciiTheme="minorEastAsia" w:hAnsiTheme="minorEastAsia" w:eastAsiaTheme="minorEastAsia" w:cstheme="minorEastAsia"/>
          <w:color w:val="auto"/>
          <w:spacing w:val="120"/>
          <w:kern w:val="0"/>
          <w:sz w:val="36"/>
          <w:szCs w:val="21"/>
          <w:highlight w:val="none"/>
          <w:fitText w:val="2160" w:id="997866936"/>
          <w:lang w:val="en-US" w:eastAsia="zh-CN" w:bidi="ar-SA"/>
        </w:rPr>
        <w:t>编制时</w:t>
      </w:r>
      <w:r>
        <w:rPr>
          <w:rFonts w:hint="eastAsia" w:asciiTheme="minorEastAsia" w:hAnsiTheme="minorEastAsia" w:eastAsiaTheme="minorEastAsia" w:cstheme="minorEastAsia"/>
          <w:color w:val="auto"/>
          <w:spacing w:val="0"/>
          <w:kern w:val="0"/>
          <w:sz w:val="36"/>
          <w:szCs w:val="21"/>
          <w:highlight w:val="none"/>
          <w:fitText w:val="2160" w:id="997866936"/>
          <w:lang w:val="en-US" w:eastAsia="zh-CN" w:bidi="ar-SA"/>
        </w:rPr>
        <w:t>间</w:t>
      </w:r>
      <w:r>
        <w:rPr>
          <w:rFonts w:hint="eastAsia" w:asciiTheme="minorEastAsia" w:hAnsiTheme="minorEastAsia" w:eastAsiaTheme="minorEastAsia" w:cstheme="minorEastAsia"/>
          <w:color w:val="auto"/>
          <w:kern w:val="2"/>
          <w:sz w:val="36"/>
          <w:szCs w:val="21"/>
          <w:highlight w:val="none"/>
          <w:lang w:val="en-US" w:eastAsia="zh-CN" w:bidi="ar-SA"/>
        </w:rPr>
        <w:t>：2026年6月</w:t>
      </w:r>
    </w:p>
    <w:p w14:paraId="7F5D43A4">
      <w:pPr>
        <w:keepNext w:val="0"/>
        <w:keepLines w:val="0"/>
        <w:pageBreakBefore w:val="0"/>
        <w:widowControl w:val="0"/>
        <w:kinsoku/>
        <w:wordWrap/>
        <w:overflowPunct/>
        <w:topLinePunct w:val="0"/>
        <w:autoSpaceDE/>
        <w:autoSpaceDN/>
        <w:bidi w:val="0"/>
        <w:adjustRightInd/>
        <w:snapToGrid w:val="0"/>
        <w:spacing w:line="500" w:lineRule="exact"/>
        <w:ind w:left="0" w:hanging="880" w:hangingChars="200"/>
        <w:jc w:val="center"/>
        <w:textAlignment w:val="auto"/>
        <w:rPr>
          <w:rFonts w:hint="eastAsia" w:asciiTheme="minorEastAsia" w:hAnsiTheme="minorEastAsia" w:eastAsiaTheme="minorEastAsia" w:cstheme="minorEastAsia"/>
          <w:color w:val="auto"/>
          <w:sz w:val="44"/>
          <w:highlight w:val="none"/>
        </w:rPr>
        <w:sectPr>
          <w:headerReference r:id="rId4" w:type="first"/>
          <w:headerReference r:id="rId3" w:type="default"/>
          <w:footerReference r:id="rId5" w:type="even"/>
          <w:pgSz w:w="11907" w:h="16840"/>
          <w:pgMar w:top="1134" w:right="1191" w:bottom="1134" w:left="1304" w:header="964" w:footer="992" w:gutter="0"/>
          <w:pgNumType w:fmt="decimal" w:start="1"/>
          <w:cols w:space="720" w:num="1"/>
          <w:titlePg/>
          <w:docGrid w:linePitch="312" w:charSpace="0"/>
        </w:sectPr>
      </w:pPr>
    </w:p>
    <w:p w14:paraId="2AF30D06">
      <w:pPr>
        <w:snapToGrid w:val="0"/>
        <w:spacing w:line="500" w:lineRule="exact"/>
        <w:jc w:val="center"/>
        <w:rPr>
          <w:rFonts w:hint="eastAsia" w:asciiTheme="minorEastAsia" w:hAnsiTheme="minorEastAsia" w:eastAsiaTheme="minorEastAsia" w:cstheme="minorEastAsia"/>
          <w:color w:val="auto"/>
          <w:sz w:val="44"/>
          <w:highlight w:val="none"/>
        </w:rPr>
      </w:pPr>
      <w:r>
        <w:rPr>
          <w:rFonts w:hint="eastAsia" w:asciiTheme="minorEastAsia" w:hAnsiTheme="minorEastAsia" w:eastAsiaTheme="minorEastAsia" w:cstheme="minorEastAsia"/>
          <w:color w:val="auto"/>
          <w:sz w:val="44"/>
          <w:highlight w:val="none"/>
        </w:rPr>
        <w:t>目  录</w:t>
      </w:r>
    </w:p>
    <w:p w14:paraId="323D6EAD">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TOC \o "1-2" \h \z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_Toc4634 </w:instrText>
      </w:r>
      <w:r>
        <w:rPr>
          <w:rFonts w:hint="eastAsia" w:asciiTheme="minorEastAsia" w:hAnsiTheme="minorEastAsia" w:eastAsiaTheme="minorEastAsia" w:cstheme="minorEastAsia"/>
          <w:szCs w:val="24"/>
          <w:highlight w:val="none"/>
        </w:rPr>
        <w:fldChar w:fldCharType="separate"/>
      </w:r>
      <w:r>
        <w:rPr>
          <w:rFonts w:hint="eastAsia"/>
          <w:highlight w:val="none"/>
        </w:rPr>
        <w:t xml:space="preserve">第一篇 </w:t>
      </w:r>
      <w:r>
        <w:rPr>
          <w:rFonts w:hint="eastAsia"/>
          <w:highlight w:val="none"/>
          <w:lang w:eastAsia="zh-CN"/>
        </w:rPr>
        <w:t>采购</w:t>
      </w:r>
      <w:r>
        <w:rPr>
          <w:rFonts w:hint="eastAsia"/>
          <w:highlight w:val="none"/>
        </w:rPr>
        <w:t>邀请书</w:t>
      </w:r>
      <w:r>
        <w:tab/>
      </w:r>
      <w:r>
        <w:fldChar w:fldCharType="begin"/>
      </w:r>
      <w:r>
        <w:instrText xml:space="preserve"> PAGEREF _Toc4634 \h </w:instrText>
      </w:r>
      <w:r>
        <w:fldChar w:fldCharType="separate"/>
      </w:r>
      <w:r>
        <w:t>1</w:t>
      </w:r>
      <w:r>
        <w:fldChar w:fldCharType="end"/>
      </w:r>
      <w:r>
        <w:rPr>
          <w:rFonts w:hint="eastAsia" w:asciiTheme="minorEastAsia" w:hAnsiTheme="minorEastAsia" w:eastAsiaTheme="minorEastAsia" w:cstheme="minorEastAsia"/>
          <w:color w:val="auto"/>
          <w:szCs w:val="24"/>
          <w:highlight w:val="none"/>
        </w:rPr>
        <w:fldChar w:fldCharType="end"/>
      </w:r>
    </w:p>
    <w:p w14:paraId="6AF5CB73">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_Toc10008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rPr>
        <w:t>一、竞争性磋商内容</w:t>
      </w:r>
      <w:r>
        <w:tab/>
      </w:r>
      <w:r>
        <w:fldChar w:fldCharType="begin"/>
      </w:r>
      <w:r>
        <w:instrText xml:space="preserve"> PAGEREF _Toc10008 \h </w:instrText>
      </w:r>
      <w:r>
        <w:fldChar w:fldCharType="separate"/>
      </w:r>
      <w:r>
        <w:t>1</w:t>
      </w:r>
      <w:r>
        <w:fldChar w:fldCharType="end"/>
      </w:r>
      <w:r>
        <w:rPr>
          <w:rFonts w:hint="eastAsia" w:asciiTheme="minorEastAsia" w:hAnsiTheme="minorEastAsia" w:eastAsiaTheme="minorEastAsia" w:cstheme="minorEastAsia"/>
          <w:color w:val="auto"/>
          <w:szCs w:val="24"/>
          <w:highlight w:val="none"/>
        </w:rPr>
        <w:fldChar w:fldCharType="end"/>
      </w:r>
    </w:p>
    <w:p w14:paraId="524EDBE5">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_Toc9884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rPr>
        <w:t>二、资金来源</w:t>
      </w:r>
      <w:r>
        <w:tab/>
      </w:r>
      <w:r>
        <w:fldChar w:fldCharType="begin"/>
      </w:r>
      <w:r>
        <w:instrText xml:space="preserve"> PAGEREF _Toc9884 \h </w:instrText>
      </w:r>
      <w:r>
        <w:fldChar w:fldCharType="separate"/>
      </w:r>
      <w:r>
        <w:t>1</w:t>
      </w:r>
      <w:r>
        <w:fldChar w:fldCharType="end"/>
      </w:r>
      <w:r>
        <w:rPr>
          <w:rFonts w:hint="eastAsia" w:asciiTheme="minorEastAsia" w:hAnsiTheme="minorEastAsia" w:eastAsiaTheme="minorEastAsia" w:cstheme="minorEastAsia"/>
          <w:color w:val="auto"/>
          <w:szCs w:val="24"/>
          <w:highlight w:val="none"/>
        </w:rPr>
        <w:fldChar w:fldCharType="end"/>
      </w:r>
    </w:p>
    <w:p w14:paraId="0A117C27">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_Toc17034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rPr>
        <w:t>三、供应商资格条件</w:t>
      </w:r>
      <w:r>
        <w:tab/>
      </w:r>
      <w:r>
        <w:fldChar w:fldCharType="begin"/>
      </w:r>
      <w:r>
        <w:instrText xml:space="preserve"> PAGEREF _Toc17034 \h </w:instrText>
      </w:r>
      <w:r>
        <w:fldChar w:fldCharType="separate"/>
      </w:r>
      <w:r>
        <w:t>1</w:t>
      </w:r>
      <w:r>
        <w:fldChar w:fldCharType="end"/>
      </w:r>
      <w:r>
        <w:rPr>
          <w:rFonts w:hint="eastAsia" w:asciiTheme="minorEastAsia" w:hAnsiTheme="minorEastAsia" w:eastAsiaTheme="minorEastAsia" w:cstheme="minorEastAsia"/>
          <w:color w:val="auto"/>
          <w:szCs w:val="24"/>
          <w:highlight w:val="none"/>
        </w:rPr>
        <w:fldChar w:fldCharType="end"/>
      </w:r>
    </w:p>
    <w:p w14:paraId="09A73BB0">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_Toc23938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rPr>
        <w:t>四、磋商有关说明</w:t>
      </w:r>
      <w:r>
        <w:tab/>
      </w:r>
      <w:r>
        <w:fldChar w:fldCharType="begin"/>
      </w:r>
      <w:r>
        <w:instrText xml:space="preserve"> PAGEREF _Toc23938 \h </w:instrText>
      </w:r>
      <w:r>
        <w:fldChar w:fldCharType="separate"/>
      </w:r>
      <w:r>
        <w:t>1</w:t>
      </w:r>
      <w:r>
        <w:fldChar w:fldCharType="end"/>
      </w:r>
      <w:r>
        <w:rPr>
          <w:rFonts w:hint="eastAsia" w:asciiTheme="minorEastAsia" w:hAnsiTheme="minorEastAsia" w:eastAsiaTheme="minorEastAsia" w:cstheme="minorEastAsia"/>
          <w:color w:val="auto"/>
          <w:szCs w:val="24"/>
          <w:highlight w:val="none"/>
        </w:rPr>
        <w:fldChar w:fldCharType="end"/>
      </w:r>
    </w:p>
    <w:p w14:paraId="77F2B73F">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_Toc17858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lang w:eastAsia="zh-CN"/>
        </w:rPr>
        <w:t>五</w:t>
      </w:r>
      <w:r>
        <w:rPr>
          <w:rFonts w:hint="eastAsia" w:asciiTheme="minorEastAsia" w:hAnsiTheme="minorEastAsia" w:eastAsiaTheme="minorEastAsia" w:cstheme="minorEastAsia"/>
          <w:highlight w:val="none"/>
        </w:rPr>
        <w:t>、其他有关规定</w:t>
      </w:r>
      <w:r>
        <w:tab/>
      </w:r>
      <w:r>
        <w:fldChar w:fldCharType="begin"/>
      </w:r>
      <w:r>
        <w:instrText xml:space="preserve"> PAGEREF _Toc17858 \h </w:instrText>
      </w:r>
      <w:r>
        <w:fldChar w:fldCharType="separate"/>
      </w:r>
      <w:r>
        <w:t>2</w:t>
      </w:r>
      <w:r>
        <w:fldChar w:fldCharType="end"/>
      </w:r>
      <w:r>
        <w:rPr>
          <w:rFonts w:hint="eastAsia" w:asciiTheme="minorEastAsia" w:hAnsiTheme="minorEastAsia" w:eastAsiaTheme="minorEastAsia" w:cstheme="minorEastAsia"/>
          <w:color w:val="auto"/>
          <w:szCs w:val="24"/>
          <w:highlight w:val="none"/>
        </w:rPr>
        <w:fldChar w:fldCharType="end"/>
      </w:r>
    </w:p>
    <w:p w14:paraId="77A0527F">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_Toc4409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lang w:eastAsia="zh-CN"/>
        </w:rPr>
        <w:t>六、现场踏勘</w:t>
      </w:r>
      <w:r>
        <w:tab/>
      </w:r>
      <w:r>
        <w:fldChar w:fldCharType="begin"/>
      </w:r>
      <w:r>
        <w:instrText xml:space="preserve"> PAGEREF _Toc4409 \h </w:instrText>
      </w:r>
      <w:r>
        <w:fldChar w:fldCharType="separate"/>
      </w:r>
      <w:r>
        <w:t>3</w:t>
      </w:r>
      <w:r>
        <w:fldChar w:fldCharType="end"/>
      </w:r>
      <w:r>
        <w:rPr>
          <w:rFonts w:hint="eastAsia" w:asciiTheme="minorEastAsia" w:hAnsiTheme="minorEastAsia" w:eastAsiaTheme="minorEastAsia" w:cstheme="minorEastAsia"/>
          <w:color w:val="auto"/>
          <w:szCs w:val="24"/>
          <w:highlight w:val="none"/>
        </w:rPr>
        <w:fldChar w:fldCharType="end"/>
      </w:r>
    </w:p>
    <w:p w14:paraId="344BB1D8">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_Toc21279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lang w:eastAsia="zh-CN"/>
        </w:rPr>
        <w:t>七、联系方式</w:t>
      </w:r>
      <w:r>
        <w:tab/>
      </w:r>
      <w:r>
        <w:fldChar w:fldCharType="begin"/>
      </w:r>
      <w:r>
        <w:instrText xml:space="preserve"> PAGEREF _Toc21279 \h </w:instrText>
      </w:r>
      <w:r>
        <w:fldChar w:fldCharType="separate"/>
      </w:r>
      <w:r>
        <w:t>3</w:t>
      </w:r>
      <w:r>
        <w:fldChar w:fldCharType="end"/>
      </w:r>
      <w:r>
        <w:rPr>
          <w:rFonts w:hint="eastAsia" w:asciiTheme="minorEastAsia" w:hAnsiTheme="minorEastAsia" w:eastAsiaTheme="minorEastAsia" w:cstheme="minorEastAsia"/>
          <w:color w:val="auto"/>
          <w:szCs w:val="24"/>
          <w:highlight w:val="none"/>
        </w:rPr>
        <w:fldChar w:fldCharType="end"/>
      </w:r>
    </w:p>
    <w:p w14:paraId="15DBCD15">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_Toc19904 </w:instrText>
      </w:r>
      <w:r>
        <w:rPr>
          <w:rFonts w:hint="eastAsia" w:asciiTheme="minorEastAsia" w:hAnsiTheme="minorEastAsia" w:eastAsiaTheme="minorEastAsia" w:cstheme="minorEastAsia"/>
          <w:szCs w:val="24"/>
          <w:highlight w:val="none"/>
        </w:rPr>
        <w:fldChar w:fldCharType="separate"/>
      </w:r>
      <w:r>
        <w:rPr>
          <w:rFonts w:hint="eastAsia"/>
          <w:highlight w:val="none"/>
          <w:lang w:eastAsia="zh-CN"/>
        </w:rPr>
        <w:t>第二篇</w:t>
      </w:r>
      <w:r>
        <w:rPr>
          <w:rFonts w:hint="eastAsia"/>
          <w:highlight w:val="none"/>
          <w:lang w:val="en-US" w:eastAsia="zh-CN"/>
        </w:rPr>
        <w:t xml:space="preserve"> </w:t>
      </w:r>
      <w:r>
        <w:rPr>
          <w:rFonts w:hint="eastAsia"/>
          <w:highlight w:val="none"/>
        </w:rPr>
        <w:t>项目</w:t>
      </w:r>
      <w:r>
        <w:rPr>
          <w:rFonts w:hint="eastAsia"/>
          <w:highlight w:val="none"/>
          <w:lang w:val="en-US" w:eastAsia="zh-CN"/>
        </w:rPr>
        <w:t>服务需</w:t>
      </w:r>
      <w:r>
        <w:rPr>
          <w:rFonts w:hint="eastAsia"/>
          <w:highlight w:val="none"/>
        </w:rPr>
        <w:t>求</w:t>
      </w:r>
      <w:r>
        <w:tab/>
      </w:r>
      <w:r>
        <w:fldChar w:fldCharType="begin"/>
      </w:r>
      <w:r>
        <w:instrText xml:space="preserve"> PAGEREF _Toc19904 \h </w:instrText>
      </w:r>
      <w:r>
        <w:fldChar w:fldCharType="separate"/>
      </w:r>
      <w:r>
        <w:t>4</w:t>
      </w:r>
      <w:r>
        <w:fldChar w:fldCharType="end"/>
      </w:r>
      <w:r>
        <w:rPr>
          <w:rFonts w:hint="eastAsia" w:asciiTheme="minorEastAsia" w:hAnsiTheme="minorEastAsia" w:eastAsiaTheme="minorEastAsia" w:cstheme="minorEastAsia"/>
          <w:color w:val="auto"/>
          <w:szCs w:val="24"/>
          <w:highlight w:val="none"/>
        </w:rPr>
        <w:fldChar w:fldCharType="end"/>
      </w:r>
    </w:p>
    <w:p w14:paraId="0D888C29">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_Toc21841 </w:instrText>
      </w:r>
      <w:r>
        <w:rPr>
          <w:rFonts w:hint="eastAsia" w:asciiTheme="minorEastAsia" w:hAnsiTheme="minorEastAsia" w:eastAsiaTheme="minorEastAsia" w:cstheme="minorEastAsia"/>
          <w:szCs w:val="24"/>
          <w:highlight w:val="none"/>
        </w:rPr>
        <w:fldChar w:fldCharType="separate"/>
      </w:r>
      <w:r>
        <w:rPr>
          <w:rFonts w:hint="eastAsia" w:ascii="宋体" w:hAnsi="宋体" w:eastAsia="宋体" w:cs="宋体"/>
          <w:highlight w:val="none"/>
        </w:rPr>
        <w:t>一、项目一览表</w:t>
      </w:r>
      <w:r>
        <w:tab/>
      </w:r>
      <w:r>
        <w:fldChar w:fldCharType="begin"/>
      </w:r>
      <w:r>
        <w:instrText xml:space="preserve"> PAGEREF _Toc21841 \h </w:instrText>
      </w:r>
      <w:r>
        <w:fldChar w:fldCharType="separate"/>
      </w:r>
      <w:r>
        <w:t>4</w:t>
      </w:r>
      <w:r>
        <w:fldChar w:fldCharType="end"/>
      </w:r>
      <w:r>
        <w:rPr>
          <w:rFonts w:hint="eastAsia" w:asciiTheme="minorEastAsia" w:hAnsiTheme="minorEastAsia" w:eastAsiaTheme="minorEastAsia" w:cstheme="minorEastAsia"/>
          <w:color w:val="auto"/>
          <w:szCs w:val="24"/>
          <w:highlight w:val="none"/>
        </w:rPr>
        <w:fldChar w:fldCharType="end"/>
      </w:r>
    </w:p>
    <w:p w14:paraId="31161F1C">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_Toc28397 </w:instrText>
      </w:r>
      <w:r>
        <w:rPr>
          <w:rFonts w:hint="eastAsia" w:asciiTheme="minorEastAsia" w:hAnsiTheme="minorEastAsia" w:eastAsiaTheme="minorEastAsia" w:cstheme="minorEastAsia"/>
          <w:szCs w:val="24"/>
          <w:highlight w:val="none"/>
        </w:rPr>
        <w:fldChar w:fldCharType="separate"/>
      </w:r>
      <w:r>
        <w:rPr>
          <w:rFonts w:hint="eastAsia" w:ascii="宋体" w:hAnsi="宋体" w:eastAsia="宋体" w:cs="宋体"/>
          <w:kern w:val="0"/>
          <w:szCs w:val="21"/>
          <w:highlight w:val="none"/>
        </w:rPr>
        <w:t>※</w:t>
      </w:r>
      <w:r>
        <w:rPr>
          <w:rFonts w:hint="eastAsia" w:ascii="宋体" w:hAnsi="宋体" w:eastAsia="宋体" w:cs="宋体"/>
          <w:highlight w:val="none"/>
        </w:rPr>
        <w:t>二、招标项目</w:t>
      </w:r>
      <w:r>
        <w:rPr>
          <w:rFonts w:hint="eastAsia" w:ascii="宋体" w:hAnsi="宋体" w:eastAsia="宋体" w:cs="宋体"/>
          <w:highlight w:val="none"/>
          <w:lang w:val="en-US" w:eastAsia="zh-CN"/>
        </w:rPr>
        <w:t>服务</w:t>
      </w:r>
      <w:r>
        <w:rPr>
          <w:rFonts w:hint="eastAsia" w:ascii="宋体" w:hAnsi="宋体" w:eastAsia="宋体" w:cs="宋体"/>
          <w:highlight w:val="none"/>
        </w:rPr>
        <w:t>需求</w:t>
      </w:r>
      <w:r>
        <w:tab/>
      </w:r>
      <w:r>
        <w:fldChar w:fldCharType="begin"/>
      </w:r>
      <w:r>
        <w:instrText xml:space="preserve"> PAGEREF _Toc28397 \h </w:instrText>
      </w:r>
      <w:r>
        <w:fldChar w:fldCharType="separate"/>
      </w:r>
      <w:r>
        <w:t>4</w:t>
      </w:r>
      <w:r>
        <w:fldChar w:fldCharType="end"/>
      </w:r>
      <w:r>
        <w:rPr>
          <w:rFonts w:hint="eastAsia" w:asciiTheme="minorEastAsia" w:hAnsiTheme="minorEastAsia" w:eastAsiaTheme="minorEastAsia" w:cstheme="minorEastAsia"/>
          <w:color w:val="auto"/>
          <w:szCs w:val="24"/>
          <w:highlight w:val="none"/>
        </w:rPr>
        <w:fldChar w:fldCharType="end"/>
      </w:r>
    </w:p>
    <w:p w14:paraId="1B85DC4D">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_Toc3359 </w:instrText>
      </w:r>
      <w:r>
        <w:rPr>
          <w:rFonts w:hint="eastAsia" w:asciiTheme="minorEastAsia" w:hAnsiTheme="minorEastAsia" w:eastAsiaTheme="minorEastAsia" w:cstheme="minorEastAsia"/>
          <w:szCs w:val="24"/>
          <w:highlight w:val="none"/>
        </w:rPr>
        <w:fldChar w:fldCharType="separate"/>
      </w:r>
      <w:r>
        <w:rPr>
          <w:rFonts w:hint="eastAsia" w:ascii="宋体" w:hAnsi="宋体" w:eastAsia="宋体" w:cs="宋体"/>
          <w:bCs/>
          <w:kern w:val="0"/>
          <w:szCs w:val="21"/>
          <w:highlight w:val="none"/>
          <w:lang w:val="en-US" w:eastAsia="zh-CN"/>
        </w:rPr>
        <w:t>三、服务内容</w:t>
      </w:r>
      <w:r>
        <w:rPr>
          <w:rFonts w:hint="eastAsia" w:cs="宋体"/>
          <w:bCs/>
          <w:kern w:val="0"/>
          <w:szCs w:val="21"/>
          <w:highlight w:val="none"/>
          <w:lang w:val="en-US" w:eastAsia="zh-CN"/>
        </w:rPr>
        <w:t>及要求</w:t>
      </w:r>
      <w:r>
        <w:tab/>
      </w:r>
      <w:r>
        <w:fldChar w:fldCharType="begin"/>
      </w:r>
      <w:r>
        <w:instrText xml:space="preserve"> PAGEREF _Toc3359 \h </w:instrText>
      </w:r>
      <w:r>
        <w:fldChar w:fldCharType="separate"/>
      </w:r>
      <w:r>
        <w:t>5</w:t>
      </w:r>
      <w:r>
        <w:fldChar w:fldCharType="end"/>
      </w:r>
      <w:r>
        <w:rPr>
          <w:rFonts w:hint="eastAsia" w:asciiTheme="minorEastAsia" w:hAnsiTheme="minorEastAsia" w:eastAsiaTheme="minorEastAsia" w:cstheme="minorEastAsia"/>
          <w:color w:val="auto"/>
          <w:szCs w:val="24"/>
          <w:highlight w:val="none"/>
        </w:rPr>
        <w:fldChar w:fldCharType="end"/>
      </w:r>
    </w:p>
    <w:p w14:paraId="3F796F8D">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_Toc15783 </w:instrText>
      </w:r>
      <w:r>
        <w:rPr>
          <w:rFonts w:hint="eastAsia" w:asciiTheme="minorEastAsia" w:hAnsiTheme="minorEastAsia" w:eastAsiaTheme="minorEastAsia" w:cstheme="minorEastAsia"/>
          <w:szCs w:val="24"/>
          <w:highlight w:val="none"/>
        </w:rPr>
        <w:fldChar w:fldCharType="separate"/>
      </w:r>
      <w:r>
        <w:rPr>
          <w:rFonts w:hint="eastAsia"/>
          <w:highlight w:val="none"/>
        </w:rPr>
        <w:t>第三篇  项目商务要求</w:t>
      </w:r>
      <w:r>
        <w:tab/>
      </w:r>
      <w:r>
        <w:fldChar w:fldCharType="begin"/>
      </w:r>
      <w:r>
        <w:instrText xml:space="preserve"> PAGEREF _Toc15783 \h </w:instrText>
      </w:r>
      <w:r>
        <w:fldChar w:fldCharType="separate"/>
      </w:r>
      <w:r>
        <w:t>6</w:t>
      </w:r>
      <w:r>
        <w:fldChar w:fldCharType="end"/>
      </w:r>
      <w:r>
        <w:rPr>
          <w:rFonts w:hint="eastAsia" w:asciiTheme="minorEastAsia" w:hAnsiTheme="minorEastAsia" w:eastAsiaTheme="minorEastAsia" w:cstheme="minorEastAsia"/>
          <w:color w:val="auto"/>
          <w:szCs w:val="24"/>
          <w:highlight w:val="none"/>
        </w:rPr>
        <w:fldChar w:fldCharType="end"/>
      </w:r>
    </w:p>
    <w:p w14:paraId="2F0E5EB1">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_Toc26143 </w:instrText>
      </w:r>
      <w:r>
        <w:rPr>
          <w:rFonts w:hint="eastAsia" w:asciiTheme="minorEastAsia" w:hAnsiTheme="minorEastAsia" w:eastAsiaTheme="minorEastAsia" w:cstheme="minorEastAsia"/>
          <w:szCs w:val="24"/>
          <w:highlight w:val="none"/>
        </w:rPr>
        <w:fldChar w:fldCharType="separate"/>
      </w:r>
      <w:r>
        <w:rPr>
          <w:rFonts w:hint="eastAsia"/>
          <w:bCs/>
          <w:highlight w:val="none"/>
        </w:rPr>
        <w:t>一、服务期、服务地点及验收方式</w:t>
      </w:r>
      <w:r>
        <w:tab/>
      </w:r>
      <w:r>
        <w:fldChar w:fldCharType="begin"/>
      </w:r>
      <w:r>
        <w:instrText xml:space="preserve"> PAGEREF _Toc26143 \h </w:instrText>
      </w:r>
      <w:r>
        <w:fldChar w:fldCharType="separate"/>
      </w:r>
      <w:r>
        <w:t>6</w:t>
      </w:r>
      <w:r>
        <w:fldChar w:fldCharType="end"/>
      </w:r>
      <w:r>
        <w:rPr>
          <w:rFonts w:hint="eastAsia" w:asciiTheme="minorEastAsia" w:hAnsiTheme="minorEastAsia" w:eastAsiaTheme="minorEastAsia" w:cstheme="minorEastAsia"/>
          <w:color w:val="auto"/>
          <w:szCs w:val="24"/>
          <w:highlight w:val="none"/>
        </w:rPr>
        <w:fldChar w:fldCharType="end"/>
      </w:r>
    </w:p>
    <w:p w14:paraId="285E75ED">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_Toc27705 </w:instrText>
      </w:r>
      <w:r>
        <w:rPr>
          <w:rFonts w:hint="eastAsia" w:asciiTheme="minorEastAsia" w:hAnsiTheme="minorEastAsia" w:eastAsiaTheme="minorEastAsia" w:cstheme="minorEastAsia"/>
          <w:szCs w:val="24"/>
          <w:highlight w:val="none"/>
        </w:rPr>
        <w:fldChar w:fldCharType="separate"/>
      </w:r>
      <w:r>
        <w:rPr>
          <w:rFonts w:hint="eastAsia"/>
          <w:highlight w:val="none"/>
        </w:rPr>
        <w:t>第</w:t>
      </w:r>
      <w:r>
        <w:rPr>
          <w:rFonts w:hint="eastAsia"/>
          <w:highlight w:val="none"/>
          <w:lang w:eastAsia="zh-CN"/>
        </w:rPr>
        <w:t>四</w:t>
      </w:r>
      <w:r>
        <w:rPr>
          <w:rFonts w:hint="eastAsia"/>
          <w:highlight w:val="none"/>
        </w:rPr>
        <w:t>篇 磋商程序及方法、评审标准、无效响应和采购终止</w:t>
      </w:r>
      <w:r>
        <w:tab/>
      </w:r>
      <w:r>
        <w:fldChar w:fldCharType="begin"/>
      </w:r>
      <w:r>
        <w:instrText xml:space="preserve"> PAGEREF _Toc27705 \h </w:instrText>
      </w:r>
      <w:r>
        <w:fldChar w:fldCharType="separate"/>
      </w:r>
      <w:r>
        <w:t>8</w:t>
      </w:r>
      <w:r>
        <w:fldChar w:fldCharType="end"/>
      </w:r>
      <w:r>
        <w:rPr>
          <w:rFonts w:hint="eastAsia" w:asciiTheme="minorEastAsia" w:hAnsiTheme="minorEastAsia" w:eastAsiaTheme="minorEastAsia" w:cstheme="minorEastAsia"/>
          <w:color w:val="auto"/>
          <w:szCs w:val="24"/>
          <w:highlight w:val="none"/>
        </w:rPr>
        <w:fldChar w:fldCharType="end"/>
      </w:r>
    </w:p>
    <w:p w14:paraId="61E79972">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_Toc4696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rPr>
        <w:t>一、磋商程序及方法</w:t>
      </w:r>
      <w:r>
        <w:tab/>
      </w:r>
      <w:r>
        <w:fldChar w:fldCharType="begin"/>
      </w:r>
      <w:r>
        <w:instrText xml:space="preserve"> PAGEREF _Toc4696 \h </w:instrText>
      </w:r>
      <w:r>
        <w:fldChar w:fldCharType="separate"/>
      </w:r>
      <w:r>
        <w:t>8</w:t>
      </w:r>
      <w:r>
        <w:fldChar w:fldCharType="end"/>
      </w:r>
      <w:r>
        <w:rPr>
          <w:rFonts w:hint="eastAsia" w:asciiTheme="minorEastAsia" w:hAnsiTheme="minorEastAsia" w:eastAsiaTheme="minorEastAsia" w:cstheme="minorEastAsia"/>
          <w:color w:val="auto"/>
          <w:szCs w:val="24"/>
          <w:highlight w:val="none"/>
        </w:rPr>
        <w:fldChar w:fldCharType="end"/>
      </w:r>
    </w:p>
    <w:p w14:paraId="063EE8F1">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_Toc4582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rPr>
        <w:t>二、评审标准</w:t>
      </w:r>
      <w:r>
        <w:tab/>
      </w:r>
      <w:r>
        <w:fldChar w:fldCharType="begin"/>
      </w:r>
      <w:r>
        <w:instrText xml:space="preserve"> PAGEREF _Toc4582 \h </w:instrText>
      </w:r>
      <w:r>
        <w:fldChar w:fldCharType="separate"/>
      </w:r>
      <w:r>
        <w:t>10</w:t>
      </w:r>
      <w:r>
        <w:fldChar w:fldCharType="end"/>
      </w:r>
      <w:r>
        <w:rPr>
          <w:rFonts w:hint="eastAsia" w:asciiTheme="minorEastAsia" w:hAnsiTheme="minorEastAsia" w:eastAsiaTheme="minorEastAsia" w:cstheme="minorEastAsia"/>
          <w:color w:val="auto"/>
          <w:szCs w:val="24"/>
          <w:highlight w:val="none"/>
        </w:rPr>
        <w:fldChar w:fldCharType="end"/>
      </w:r>
    </w:p>
    <w:p w14:paraId="43836F6B">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_Toc11249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rPr>
        <w:t>三、无效响应</w:t>
      </w:r>
      <w:r>
        <w:tab/>
      </w:r>
      <w:r>
        <w:fldChar w:fldCharType="begin"/>
      </w:r>
      <w:r>
        <w:instrText xml:space="preserve"> PAGEREF _Toc11249 \h </w:instrText>
      </w:r>
      <w:r>
        <w:fldChar w:fldCharType="separate"/>
      </w:r>
      <w:r>
        <w:t>11</w:t>
      </w:r>
      <w:r>
        <w:fldChar w:fldCharType="end"/>
      </w:r>
      <w:r>
        <w:rPr>
          <w:rFonts w:hint="eastAsia" w:asciiTheme="minorEastAsia" w:hAnsiTheme="minorEastAsia" w:eastAsiaTheme="minorEastAsia" w:cstheme="minorEastAsia"/>
          <w:color w:val="auto"/>
          <w:szCs w:val="24"/>
          <w:highlight w:val="none"/>
        </w:rPr>
        <w:fldChar w:fldCharType="end"/>
      </w:r>
    </w:p>
    <w:p w14:paraId="79C928C7">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_Toc2142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rPr>
        <w:t>四、采购终止</w:t>
      </w:r>
      <w:r>
        <w:tab/>
      </w:r>
      <w:r>
        <w:fldChar w:fldCharType="begin"/>
      </w:r>
      <w:r>
        <w:instrText xml:space="preserve"> PAGEREF _Toc2142 \h </w:instrText>
      </w:r>
      <w:r>
        <w:fldChar w:fldCharType="separate"/>
      </w:r>
      <w:r>
        <w:t>12</w:t>
      </w:r>
      <w:r>
        <w:fldChar w:fldCharType="end"/>
      </w:r>
      <w:r>
        <w:rPr>
          <w:rFonts w:hint="eastAsia" w:asciiTheme="minorEastAsia" w:hAnsiTheme="minorEastAsia" w:eastAsiaTheme="minorEastAsia" w:cstheme="minorEastAsia"/>
          <w:color w:val="auto"/>
          <w:szCs w:val="24"/>
          <w:highlight w:val="none"/>
        </w:rPr>
        <w:fldChar w:fldCharType="end"/>
      </w:r>
    </w:p>
    <w:p w14:paraId="60272ED4">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_Toc21848 </w:instrText>
      </w:r>
      <w:r>
        <w:rPr>
          <w:rFonts w:hint="eastAsia" w:asciiTheme="minorEastAsia" w:hAnsiTheme="minorEastAsia" w:eastAsiaTheme="minorEastAsia" w:cstheme="minorEastAsia"/>
          <w:szCs w:val="24"/>
          <w:highlight w:val="none"/>
        </w:rPr>
        <w:fldChar w:fldCharType="separate"/>
      </w:r>
      <w:r>
        <w:rPr>
          <w:rFonts w:hint="eastAsia"/>
          <w:highlight w:val="none"/>
        </w:rPr>
        <w:t>第五篇  供应商须知</w:t>
      </w:r>
      <w:r>
        <w:tab/>
      </w:r>
      <w:r>
        <w:fldChar w:fldCharType="begin"/>
      </w:r>
      <w:r>
        <w:instrText xml:space="preserve"> PAGEREF _Toc21848 \h </w:instrText>
      </w:r>
      <w:r>
        <w:fldChar w:fldCharType="separate"/>
      </w:r>
      <w:r>
        <w:t>13</w:t>
      </w:r>
      <w:r>
        <w:fldChar w:fldCharType="end"/>
      </w:r>
      <w:r>
        <w:rPr>
          <w:rFonts w:hint="eastAsia" w:asciiTheme="minorEastAsia" w:hAnsiTheme="minorEastAsia" w:eastAsiaTheme="minorEastAsia" w:cstheme="minorEastAsia"/>
          <w:color w:val="auto"/>
          <w:szCs w:val="24"/>
          <w:highlight w:val="none"/>
        </w:rPr>
        <w:fldChar w:fldCharType="end"/>
      </w:r>
    </w:p>
    <w:p w14:paraId="18EC51DA">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_Toc25049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一、磋商费用</w:t>
      </w:r>
      <w:r>
        <w:tab/>
      </w:r>
      <w:r>
        <w:fldChar w:fldCharType="begin"/>
      </w:r>
      <w:r>
        <w:instrText xml:space="preserve"> PAGEREF _Toc25049 \h </w:instrText>
      </w:r>
      <w:r>
        <w:fldChar w:fldCharType="separate"/>
      </w:r>
      <w:r>
        <w:t>13</w:t>
      </w:r>
      <w:r>
        <w:fldChar w:fldCharType="end"/>
      </w:r>
      <w:r>
        <w:rPr>
          <w:rFonts w:hint="eastAsia" w:asciiTheme="minorEastAsia" w:hAnsiTheme="minorEastAsia" w:eastAsiaTheme="minorEastAsia" w:cstheme="minorEastAsia"/>
          <w:color w:val="auto"/>
          <w:szCs w:val="24"/>
          <w:highlight w:val="none"/>
        </w:rPr>
        <w:fldChar w:fldCharType="end"/>
      </w:r>
    </w:p>
    <w:p w14:paraId="7A34D2D7">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_Toc21372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二、竞争性磋商文件</w:t>
      </w:r>
      <w:r>
        <w:tab/>
      </w:r>
      <w:r>
        <w:fldChar w:fldCharType="begin"/>
      </w:r>
      <w:r>
        <w:instrText xml:space="preserve"> PAGEREF _Toc21372 \h </w:instrText>
      </w:r>
      <w:r>
        <w:fldChar w:fldCharType="separate"/>
      </w:r>
      <w:r>
        <w:t>13</w:t>
      </w:r>
      <w:r>
        <w:fldChar w:fldCharType="end"/>
      </w:r>
      <w:r>
        <w:rPr>
          <w:rFonts w:hint="eastAsia" w:asciiTheme="minorEastAsia" w:hAnsiTheme="minorEastAsia" w:eastAsiaTheme="minorEastAsia" w:cstheme="minorEastAsia"/>
          <w:color w:val="auto"/>
          <w:szCs w:val="24"/>
          <w:highlight w:val="none"/>
        </w:rPr>
        <w:fldChar w:fldCharType="end"/>
      </w:r>
    </w:p>
    <w:p w14:paraId="39667C64">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_Toc9422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三、磋商要求</w:t>
      </w:r>
      <w:r>
        <w:tab/>
      </w:r>
      <w:r>
        <w:fldChar w:fldCharType="begin"/>
      </w:r>
      <w:r>
        <w:instrText xml:space="preserve"> PAGEREF _Toc9422 \h </w:instrText>
      </w:r>
      <w:r>
        <w:fldChar w:fldCharType="separate"/>
      </w:r>
      <w:r>
        <w:t>13</w:t>
      </w:r>
      <w:r>
        <w:fldChar w:fldCharType="end"/>
      </w:r>
      <w:r>
        <w:rPr>
          <w:rFonts w:hint="eastAsia" w:asciiTheme="minorEastAsia" w:hAnsiTheme="minorEastAsia" w:eastAsiaTheme="minorEastAsia" w:cstheme="minorEastAsia"/>
          <w:color w:val="auto"/>
          <w:szCs w:val="24"/>
          <w:highlight w:val="none"/>
        </w:rPr>
        <w:fldChar w:fldCharType="end"/>
      </w:r>
    </w:p>
    <w:p w14:paraId="5DE59151">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_Toc15129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四、成交供应商的确认和变更</w:t>
      </w:r>
      <w:r>
        <w:tab/>
      </w:r>
      <w:r>
        <w:fldChar w:fldCharType="begin"/>
      </w:r>
      <w:r>
        <w:instrText xml:space="preserve"> PAGEREF _Toc15129 \h </w:instrText>
      </w:r>
      <w:r>
        <w:fldChar w:fldCharType="separate"/>
      </w:r>
      <w:r>
        <w:t>14</w:t>
      </w:r>
      <w:r>
        <w:fldChar w:fldCharType="end"/>
      </w:r>
      <w:r>
        <w:rPr>
          <w:rFonts w:hint="eastAsia" w:asciiTheme="minorEastAsia" w:hAnsiTheme="minorEastAsia" w:eastAsiaTheme="minorEastAsia" w:cstheme="minorEastAsia"/>
          <w:color w:val="auto"/>
          <w:szCs w:val="24"/>
          <w:highlight w:val="none"/>
        </w:rPr>
        <w:fldChar w:fldCharType="end"/>
      </w:r>
    </w:p>
    <w:p w14:paraId="4F4995C0">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_Toc8869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五、成交通知</w:t>
      </w:r>
      <w:r>
        <w:tab/>
      </w:r>
      <w:r>
        <w:fldChar w:fldCharType="begin"/>
      </w:r>
      <w:r>
        <w:instrText xml:space="preserve"> PAGEREF _Toc8869 \h </w:instrText>
      </w:r>
      <w:r>
        <w:fldChar w:fldCharType="separate"/>
      </w:r>
      <w:r>
        <w:t>14</w:t>
      </w:r>
      <w:r>
        <w:fldChar w:fldCharType="end"/>
      </w:r>
      <w:r>
        <w:rPr>
          <w:rFonts w:hint="eastAsia" w:asciiTheme="minorEastAsia" w:hAnsiTheme="minorEastAsia" w:eastAsiaTheme="minorEastAsia" w:cstheme="minorEastAsia"/>
          <w:color w:val="auto"/>
          <w:szCs w:val="24"/>
          <w:highlight w:val="none"/>
        </w:rPr>
        <w:fldChar w:fldCharType="end"/>
      </w:r>
    </w:p>
    <w:p w14:paraId="35A73B9E">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_Toc20776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六、采购代理服务费</w:t>
      </w:r>
      <w:r>
        <w:tab/>
      </w:r>
      <w:r>
        <w:fldChar w:fldCharType="begin"/>
      </w:r>
      <w:r>
        <w:instrText xml:space="preserve"> PAGEREF _Toc20776 \h </w:instrText>
      </w:r>
      <w:r>
        <w:fldChar w:fldCharType="separate"/>
      </w:r>
      <w:r>
        <w:t>15</w:t>
      </w:r>
      <w:r>
        <w:fldChar w:fldCharType="end"/>
      </w:r>
      <w:r>
        <w:rPr>
          <w:rFonts w:hint="eastAsia" w:asciiTheme="minorEastAsia" w:hAnsiTheme="minorEastAsia" w:eastAsiaTheme="minorEastAsia" w:cstheme="minorEastAsia"/>
          <w:color w:val="auto"/>
          <w:szCs w:val="24"/>
          <w:highlight w:val="none"/>
        </w:rPr>
        <w:fldChar w:fldCharType="end"/>
      </w:r>
    </w:p>
    <w:p w14:paraId="5C1B9737">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_Toc10464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lang w:eastAsia="zh-CN"/>
        </w:rPr>
        <w:t>七</w:t>
      </w:r>
      <w:r>
        <w:rPr>
          <w:rFonts w:hint="eastAsia" w:asciiTheme="minorEastAsia" w:hAnsiTheme="minorEastAsia" w:eastAsiaTheme="minorEastAsia" w:cstheme="minorEastAsia"/>
          <w:bCs/>
          <w:szCs w:val="24"/>
          <w:highlight w:val="none"/>
        </w:rPr>
        <w:t>、关于质疑和投诉</w:t>
      </w:r>
      <w:r>
        <w:tab/>
      </w:r>
      <w:r>
        <w:fldChar w:fldCharType="begin"/>
      </w:r>
      <w:r>
        <w:instrText xml:space="preserve"> PAGEREF _Toc10464 \h </w:instrText>
      </w:r>
      <w:r>
        <w:fldChar w:fldCharType="separate"/>
      </w:r>
      <w:r>
        <w:t>15</w:t>
      </w:r>
      <w:r>
        <w:fldChar w:fldCharType="end"/>
      </w:r>
      <w:r>
        <w:rPr>
          <w:rFonts w:hint="eastAsia" w:asciiTheme="minorEastAsia" w:hAnsiTheme="minorEastAsia" w:eastAsiaTheme="minorEastAsia" w:cstheme="minorEastAsia"/>
          <w:color w:val="auto"/>
          <w:szCs w:val="24"/>
          <w:highlight w:val="none"/>
        </w:rPr>
        <w:fldChar w:fldCharType="end"/>
      </w:r>
    </w:p>
    <w:p w14:paraId="402096D5">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_Toc32740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rPr>
        <w:t>八、签订合同</w:t>
      </w:r>
      <w:r>
        <w:tab/>
      </w:r>
      <w:r>
        <w:fldChar w:fldCharType="begin"/>
      </w:r>
      <w:r>
        <w:instrText xml:space="preserve"> PAGEREF _Toc32740 \h </w:instrText>
      </w:r>
      <w:r>
        <w:fldChar w:fldCharType="separate"/>
      </w:r>
      <w:r>
        <w:t>16</w:t>
      </w:r>
      <w:r>
        <w:fldChar w:fldCharType="end"/>
      </w:r>
      <w:r>
        <w:rPr>
          <w:rFonts w:hint="eastAsia" w:asciiTheme="minorEastAsia" w:hAnsiTheme="minorEastAsia" w:eastAsiaTheme="minorEastAsia" w:cstheme="minorEastAsia"/>
          <w:color w:val="auto"/>
          <w:szCs w:val="24"/>
          <w:highlight w:val="none"/>
        </w:rPr>
        <w:fldChar w:fldCharType="end"/>
      </w:r>
    </w:p>
    <w:p w14:paraId="2A145074">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_Toc2179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bCs/>
          <w:szCs w:val="24"/>
          <w:highlight w:val="none"/>
        </w:rPr>
        <w:t>九、项目验收</w:t>
      </w:r>
      <w:r>
        <w:tab/>
      </w:r>
      <w:r>
        <w:fldChar w:fldCharType="begin"/>
      </w:r>
      <w:r>
        <w:instrText xml:space="preserve"> PAGEREF _Toc2179 \h </w:instrText>
      </w:r>
      <w:r>
        <w:fldChar w:fldCharType="separate"/>
      </w:r>
      <w:r>
        <w:t>16</w:t>
      </w:r>
      <w:r>
        <w:fldChar w:fldCharType="end"/>
      </w:r>
      <w:r>
        <w:rPr>
          <w:rFonts w:hint="eastAsia" w:asciiTheme="minorEastAsia" w:hAnsiTheme="minorEastAsia" w:eastAsiaTheme="minorEastAsia" w:cstheme="minorEastAsia"/>
          <w:color w:val="auto"/>
          <w:szCs w:val="24"/>
          <w:highlight w:val="none"/>
        </w:rPr>
        <w:fldChar w:fldCharType="end"/>
      </w:r>
    </w:p>
    <w:p w14:paraId="2BA943C0">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_Toc3347 </w:instrText>
      </w:r>
      <w:r>
        <w:rPr>
          <w:rFonts w:hint="eastAsia" w:asciiTheme="minorEastAsia" w:hAnsiTheme="minorEastAsia" w:eastAsiaTheme="minorEastAsia" w:cstheme="minorEastAsia"/>
          <w:szCs w:val="24"/>
          <w:highlight w:val="none"/>
        </w:rPr>
        <w:fldChar w:fldCharType="separate"/>
      </w:r>
      <w:r>
        <w:rPr>
          <w:rFonts w:hint="eastAsia"/>
          <w:highlight w:val="none"/>
        </w:rPr>
        <w:t>第六篇  合同主要条款和格式合同（样本</w:t>
      </w:r>
      <w:r>
        <w:rPr>
          <w:rFonts w:hint="eastAsia"/>
          <w:highlight w:val="none"/>
          <w:lang w:eastAsia="zh-CN"/>
        </w:rPr>
        <w:t>）</w:t>
      </w:r>
      <w:r>
        <w:tab/>
      </w:r>
      <w:r>
        <w:fldChar w:fldCharType="begin"/>
      </w:r>
      <w:r>
        <w:instrText xml:space="preserve"> PAGEREF _Toc3347 \h </w:instrText>
      </w:r>
      <w:r>
        <w:fldChar w:fldCharType="separate"/>
      </w:r>
      <w:r>
        <w:t>17</w:t>
      </w:r>
      <w:r>
        <w:fldChar w:fldCharType="end"/>
      </w:r>
      <w:r>
        <w:rPr>
          <w:rFonts w:hint="eastAsia" w:asciiTheme="minorEastAsia" w:hAnsiTheme="minorEastAsia" w:eastAsiaTheme="minorEastAsia" w:cstheme="minorEastAsia"/>
          <w:color w:val="auto"/>
          <w:szCs w:val="24"/>
          <w:highlight w:val="none"/>
        </w:rPr>
        <w:fldChar w:fldCharType="end"/>
      </w:r>
    </w:p>
    <w:p w14:paraId="18FDE098">
      <w:pPr>
        <w:pStyle w:val="38"/>
        <w:tabs>
          <w:tab w:val="right" w:leader="dot" w:pos="9412"/>
          <w:tab w:val="clear" w:pos="1260"/>
          <w:tab w:val="clear" w:pos="1685"/>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_Toc3527 </w:instrText>
      </w:r>
      <w:r>
        <w:rPr>
          <w:rFonts w:hint="eastAsia" w:asciiTheme="minorEastAsia" w:hAnsiTheme="minorEastAsia" w:eastAsiaTheme="minorEastAsia" w:cstheme="minorEastAsia"/>
          <w:szCs w:val="24"/>
          <w:highlight w:val="none"/>
        </w:rPr>
        <w:fldChar w:fldCharType="separate"/>
      </w:r>
      <w:r>
        <w:rPr>
          <w:rFonts w:hint="eastAsia"/>
          <w:highlight w:val="none"/>
        </w:rPr>
        <w:t>第七篇  响应文件格式</w:t>
      </w:r>
      <w:r>
        <w:tab/>
      </w:r>
      <w:r>
        <w:fldChar w:fldCharType="begin"/>
      </w:r>
      <w:r>
        <w:instrText xml:space="preserve"> PAGEREF _Toc3527 \h </w:instrText>
      </w:r>
      <w:r>
        <w:fldChar w:fldCharType="separate"/>
      </w:r>
      <w:r>
        <w:t>18</w:t>
      </w:r>
      <w:r>
        <w:fldChar w:fldCharType="end"/>
      </w:r>
      <w:r>
        <w:rPr>
          <w:rFonts w:hint="eastAsia" w:asciiTheme="minorEastAsia" w:hAnsiTheme="minorEastAsia" w:eastAsiaTheme="minorEastAsia" w:cstheme="minorEastAsia"/>
          <w:color w:val="auto"/>
          <w:szCs w:val="24"/>
          <w:highlight w:val="none"/>
        </w:rPr>
        <w:fldChar w:fldCharType="end"/>
      </w:r>
    </w:p>
    <w:p w14:paraId="367D32E4">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_Toc25455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rPr>
        <w:t>一、经济部分</w:t>
      </w:r>
      <w:r>
        <w:tab/>
      </w:r>
      <w:r>
        <w:fldChar w:fldCharType="begin"/>
      </w:r>
      <w:r>
        <w:instrText xml:space="preserve"> PAGEREF _Toc25455 \h </w:instrText>
      </w:r>
      <w:r>
        <w:fldChar w:fldCharType="separate"/>
      </w:r>
      <w:r>
        <w:t>19</w:t>
      </w:r>
      <w:r>
        <w:fldChar w:fldCharType="end"/>
      </w:r>
      <w:r>
        <w:rPr>
          <w:rFonts w:hint="eastAsia" w:asciiTheme="minorEastAsia" w:hAnsiTheme="minorEastAsia" w:eastAsiaTheme="minorEastAsia" w:cstheme="minorEastAsia"/>
          <w:color w:val="auto"/>
          <w:szCs w:val="24"/>
          <w:highlight w:val="none"/>
        </w:rPr>
        <w:fldChar w:fldCharType="end"/>
      </w:r>
    </w:p>
    <w:p w14:paraId="390E422D">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_Toc4700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szCs w:val="28"/>
          <w:highlight w:val="none"/>
        </w:rPr>
        <w:t>二、</w:t>
      </w:r>
      <w:r>
        <w:rPr>
          <w:rFonts w:hint="eastAsia" w:asciiTheme="minorEastAsia" w:hAnsiTheme="minorEastAsia" w:eastAsiaTheme="minorEastAsia" w:cstheme="minorEastAsia"/>
          <w:szCs w:val="28"/>
          <w:highlight w:val="none"/>
          <w:lang w:val="en-US" w:eastAsia="zh-CN"/>
        </w:rPr>
        <w:t>服务</w:t>
      </w:r>
      <w:r>
        <w:rPr>
          <w:rFonts w:hint="eastAsia" w:asciiTheme="minorEastAsia" w:hAnsiTheme="minorEastAsia" w:eastAsiaTheme="minorEastAsia" w:cstheme="minorEastAsia"/>
          <w:szCs w:val="28"/>
          <w:highlight w:val="none"/>
          <w:lang w:eastAsia="zh-CN"/>
        </w:rPr>
        <w:t>部分</w:t>
      </w:r>
      <w:r>
        <w:tab/>
      </w:r>
      <w:r>
        <w:fldChar w:fldCharType="begin"/>
      </w:r>
      <w:r>
        <w:instrText xml:space="preserve"> PAGEREF _Toc4700 \h </w:instrText>
      </w:r>
      <w:r>
        <w:fldChar w:fldCharType="separate"/>
      </w:r>
      <w:r>
        <w:t>20</w:t>
      </w:r>
      <w:r>
        <w:fldChar w:fldCharType="end"/>
      </w:r>
      <w:r>
        <w:rPr>
          <w:rFonts w:hint="eastAsia" w:asciiTheme="minorEastAsia" w:hAnsiTheme="minorEastAsia" w:eastAsiaTheme="minorEastAsia" w:cstheme="minorEastAsia"/>
          <w:color w:val="auto"/>
          <w:szCs w:val="24"/>
          <w:highlight w:val="none"/>
        </w:rPr>
        <w:fldChar w:fldCharType="end"/>
      </w:r>
    </w:p>
    <w:p w14:paraId="4F031A6E">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_Toc4185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szCs w:val="28"/>
          <w:highlight w:val="none"/>
        </w:rPr>
        <w:t>三、商务</w:t>
      </w:r>
      <w:r>
        <w:rPr>
          <w:rFonts w:hint="eastAsia" w:asciiTheme="minorEastAsia" w:hAnsiTheme="minorEastAsia" w:eastAsiaTheme="minorEastAsia" w:cstheme="minorEastAsia"/>
          <w:szCs w:val="28"/>
          <w:highlight w:val="none"/>
          <w:lang w:eastAsia="zh-CN"/>
        </w:rPr>
        <w:t>部分</w:t>
      </w:r>
      <w:r>
        <w:tab/>
      </w:r>
      <w:r>
        <w:fldChar w:fldCharType="begin"/>
      </w:r>
      <w:r>
        <w:instrText xml:space="preserve"> PAGEREF _Toc4185 \h </w:instrText>
      </w:r>
      <w:r>
        <w:fldChar w:fldCharType="separate"/>
      </w:r>
      <w:r>
        <w:t>22</w:t>
      </w:r>
      <w:r>
        <w:fldChar w:fldCharType="end"/>
      </w:r>
      <w:r>
        <w:rPr>
          <w:rFonts w:hint="eastAsia" w:asciiTheme="minorEastAsia" w:hAnsiTheme="minorEastAsia" w:eastAsiaTheme="minorEastAsia" w:cstheme="minorEastAsia"/>
          <w:color w:val="auto"/>
          <w:szCs w:val="24"/>
          <w:highlight w:val="none"/>
        </w:rPr>
        <w:fldChar w:fldCharType="end"/>
      </w:r>
    </w:p>
    <w:p w14:paraId="27034396">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_Toc26309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szCs w:val="28"/>
          <w:highlight w:val="none"/>
        </w:rPr>
        <w:t>四、资格条件及其他</w:t>
      </w:r>
      <w:r>
        <w:tab/>
      </w:r>
      <w:r>
        <w:fldChar w:fldCharType="begin"/>
      </w:r>
      <w:r>
        <w:instrText xml:space="preserve"> PAGEREF _Toc26309 \h </w:instrText>
      </w:r>
      <w:r>
        <w:fldChar w:fldCharType="separate"/>
      </w:r>
      <w:r>
        <w:t>24</w:t>
      </w:r>
      <w:r>
        <w:fldChar w:fldCharType="end"/>
      </w:r>
      <w:r>
        <w:rPr>
          <w:rFonts w:hint="eastAsia" w:asciiTheme="minorEastAsia" w:hAnsiTheme="minorEastAsia" w:eastAsiaTheme="minorEastAsia" w:cstheme="minorEastAsia"/>
          <w:color w:val="auto"/>
          <w:szCs w:val="24"/>
          <w:highlight w:val="none"/>
        </w:rPr>
        <w:fldChar w:fldCharType="end"/>
      </w:r>
    </w:p>
    <w:p w14:paraId="0BB48A5F">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_Toc24649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highlight w:val="none"/>
        </w:rPr>
        <w:t>五、其他应提供的资料</w:t>
      </w:r>
      <w:r>
        <w:tab/>
      </w:r>
      <w:r>
        <w:fldChar w:fldCharType="begin"/>
      </w:r>
      <w:r>
        <w:instrText xml:space="preserve"> PAGEREF _Toc24649 \h </w:instrText>
      </w:r>
      <w:r>
        <w:fldChar w:fldCharType="separate"/>
      </w:r>
      <w:r>
        <w:t>28</w:t>
      </w:r>
      <w:r>
        <w:fldChar w:fldCharType="end"/>
      </w:r>
      <w:r>
        <w:rPr>
          <w:rFonts w:hint="eastAsia" w:asciiTheme="minorEastAsia" w:hAnsiTheme="minorEastAsia" w:eastAsiaTheme="minorEastAsia" w:cstheme="minorEastAsia"/>
          <w:color w:val="auto"/>
          <w:szCs w:val="24"/>
          <w:highlight w:val="none"/>
        </w:rPr>
        <w:fldChar w:fldCharType="end"/>
      </w:r>
    </w:p>
    <w:p w14:paraId="4462E69A">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_Toc29591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szCs w:val="30"/>
          <w:highlight w:val="none"/>
          <w:lang w:val="en-US" w:eastAsia="zh-CN"/>
        </w:rPr>
        <w:t>附件一：</w:t>
      </w:r>
      <w:r>
        <w:rPr>
          <w:rFonts w:hint="eastAsia" w:asciiTheme="minorEastAsia" w:hAnsiTheme="minorEastAsia" w:eastAsiaTheme="minorEastAsia" w:cstheme="minorEastAsia"/>
          <w:szCs w:val="30"/>
          <w:highlight w:val="none"/>
          <w:lang w:eastAsia="zh-CN"/>
        </w:rPr>
        <w:t>重庆翊博项目管理有限公司</w:t>
      </w:r>
      <w:r>
        <w:rPr>
          <w:rFonts w:hint="eastAsia" w:asciiTheme="minorEastAsia" w:hAnsiTheme="minorEastAsia" w:eastAsiaTheme="minorEastAsia" w:cstheme="minorEastAsia"/>
          <w:highlight w:val="none"/>
          <w:lang w:eastAsia="zh-CN"/>
        </w:rPr>
        <w:t>竞争性磋商文件</w:t>
      </w:r>
      <w:r>
        <w:tab/>
      </w:r>
      <w:r>
        <w:fldChar w:fldCharType="begin"/>
      </w:r>
      <w:r>
        <w:instrText xml:space="preserve"> PAGEREF _Toc29591 \h </w:instrText>
      </w:r>
      <w:r>
        <w:fldChar w:fldCharType="separate"/>
      </w:r>
      <w:r>
        <w:t>29</w:t>
      </w:r>
      <w:r>
        <w:fldChar w:fldCharType="end"/>
      </w:r>
      <w:r>
        <w:rPr>
          <w:rFonts w:hint="eastAsia" w:asciiTheme="minorEastAsia" w:hAnsiTheme="minorEastAsia" w:eastAsiaTheme="minorEastAsia" w:cstheme="minorEastAsia"/>
          <w:color w:val="auto"/>
          <w:szCs w:val="24"/>
          <w:highlight w:val="none"/>
        </w:rPr>
        <w:fldChar w:fldCharType="end"/>
      </w:r>
    </w:p>
    <w:p w14:paraId="091F0DB8">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_Toc6035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szCs w:val="30"/>
          <w:highlight w:val="none"/>
          <w:lang w:eastAsia="zh-CN"/>
        </w:rPr>
        <w:t>发售登记表</w:t>
      </w:r>
      <w:r>
        <w:tab/>
      </w:r>
      <w:r>
        <w:fldChar w:fldCharType="begin"/>
      </w:r>
      <w:r>
        <w:instrText xml:space="preserve"> PAGEREF _Toc6035 \h </w:instrText>
      </w:r>
      <w:r>
        <w:fldChar w:fldCharType="separate"/>
      </w:r>
      <w:r>
        <w:t>29</w:t>
      </w:r>
      <w:r>
        <w:fldChar w:fldCharType="end"/>
      </w:r>
      <w:r>
        <w:rPr>
          <w:rFonts w:hint="eastAsia" w:asciiTheme="minorEastAsia" w:hAnsiTheme="minorEastAsia" w:eastAsiaTheme="minorEastAsia" w:cstheme="minorEastAsia"/>
          <w:color w:val="auto"/>
          <w:szCs w:val="24"/>
          <w:highlight w:val="none"/>
        </w:rPr>
        <w:fldChar w:fldCharType="end"/>
      </w:r>
    </w:p>
    <w:p w14:paraId="785987B8">
      <w:pPr>
        <w:pStyle w:val="46"/>
        <w:tabs>
          <w:tab w:val="right" w:leader="dot" w:pos="9412"/>
          <w:tab w:val="clear" w:pos="8400"/>
        </w:tabs>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szCs w:val="24"/>
          <w:highlight w:val="none"/>
        </w:rPr>
        <w:instrText xml:space="preserve"> HYPERLINK \l _Toc14748 </w:instrText>
      </w:r>
      <w:r>
        <w:rPr>
          <w:rFonts w:hint="eastAsia" w:asciiTheme="minorEastAsia" w:hAnsiTheme="minorEastAsia" w:eastAsiaTheme="minorEastAsia" w:cstheme="minorEastAsia"/>
          <w:szCs w:val="24"/>
          <w:highlight w:val="none"/>
        </w:rPr>
        <w:fldChar w:fldCharType="separate"/>
      </w:r>
      <w:r>
        <w:rPr>
          <w:rFonts w:hint="eastAsia" w:asciiTheme="minorEastAsia" w:hAnsiTheme="minorEastAsia" w:eastAsiaTheme="minorEastAsia" w:cstheme="minorEastAsia"/>
          <w:szCs w:val="30"/>
          <w:highlight w:val="none"/>
          <w:lang w:val="en-US" w:eastAsia="zh-CN"/>
        </w:rPr>
        <w:t>附件二：磋商最后报价表</w:t>
      </w:r>
      <w:r>
        <w:tab/>
      </w:r>
      <w:r>
        <w:fldChar w:fldCharType="begin"/>
      </w:r>
      <w:r>
        <w:instrText xml:space="preserve"> PAGEREF _Toc14748 \h </w:instrText>
      </w:r>
      <w:r>
        <w:fldChar w:fldCharType="separate"/>
      </w:r>
      <w:r>
        <w:t>30</w:t>
      </w:r>
      <w:r>
        <w:fldChar w:fldCharType="end"/>
      </w:r>
      <w:r>
        <w:rPr>
          <w:rFonts w:hint="eastAsia" w:asciiTheme="minorEastAsia" w:hAnsiTheme="minorEastAsia" w:eastAsiaTheme="minorEastAsia" w:cstheme="minorEastAsia"/>
          <w:color w:val="auto"/>
          <w:szCs w:val="24"/>
          <w:highlight w:val="none"/>
        </w:rPr>
        <w:fldChar w:fldCharType="end"/>
      </w:r>
    </w:p>
    <w:p w14:paraId="4ECBA60C">
      <w:pPr>
        <w:pStyle w:val="38"/>
        <w:ind w:firstLine="0" w:firstLineChars="0"/>
        <w:rPr>
          <w:rFonts w:hint="eastAsia" w:asciiTheme="minorEastAsia" w:hAnsiTheme="minorEastAsia" w:eastAsiaTheme="minorEastAsia" w:cstheme="minorEastAsia"/>
          <w:color w:val="auto"/>
          <w:sz w:val="32"/>
          <w:highlight w:val="none"/>
        </w:rPr>
        <w:sectPr>
          <w:footerReference r:id="rId6" w:type="default"/>
          <w:pgSz w:w="11907" w:h="16840"/>
          <w:pgMar w:top="1134" w:right="1191" w:bottom="1134" w:left="1304" w:header="964" w:footer="992" w:gutter="0"/>
          <w:pgNumType w:fmt="decimal" w:start="1"/>
          <w:cols w:space="720" w:num="1"/>
          <w:docGrid w:linePitch="312" w:charSpace="0"/>
        </w:sectPr>
      </w:pPr>
      <w:r>
        <w:rPr>
          <w:rFonts w:hint="eastAsia" w:asciiTheme="minorEastAsia" w:hAnsiTheme="minorEastAsia" w:eastAsiaTheme="minorEastAsia" w:cstheme="minorEastAsia"/>
          <w:color w:val="auto"/>
          <w:szCs w:val="24"/>
          <w:highlight w:val="none"/>
        </w:rPr>
        <w:fldChar w:fldCharType="end"/>
      </w:r>
    </w:p>
    <w:p w14:paraId="0302FA06">
      <w:pPr>
        <w:pStyle w:val="2"/>
        <w:bidi w:val="0"/>
        <w:rPr>
          <w:rFonts w:hint="eastAsia"/>
          <w:color w:val="auto"/>
          <w:highlight w:val="none"/>
        </w:rPr>
      </w:pPr>
      <w:bookmarkStart w:id="0" w:name="_Toc4634"/>
      <w:r>
        <w:rPr>
          <w:rFonts w:hint="eastAsia"/>
          <w:color w:val="auto"/>
          <w:highlight w:val="none"/>
        </w:rPr>
        <w:t xml:space="preserve">第一篇 </w:t>
      </w:r>
      <w:r>
        <w:rPr>
          <w:rFonts w:hint="eastAsia"/>
          <w:color w:val="auto"/>
          <w:highlight w:val="none"/>
          <w:lang w:eastAsia="zh-CN"/>
        </w:rPr>
        <w:t>采购</w:t>
      </w:r>
      <w:r>
        <w:rPr>
          <w:rFonts w:hint="eastAsia"/>
          <w:color w:val="auto"/>
          <w:highlight w:val="none"/>
        </w:rPr>
        <w:t>邀请书</w:t>
      </w:r>
      <w:bookmarkEnd w:id="0"/>
    </w:p>
    <w:p w14:paraId="2C435272">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u w:val="single"/>
          <w:lang w:eastAsia="zh-CN"/>
        </w:rPr>
        <w:t>重庆翊博项目管理有限公司</w:t>
      </w:r>
      <w:r>
        <w:rPr>
          <w:rFonts w:hint="eastAsia" w:asciiTheme="minorEastAsia" w:hAnsiTheme="minorEastAsia" w:eastAsiaTheme="minorEastAsia" w:cstheme="minorEastAsia"/>
          <w:color w:val="auto"/>
          <w:sz w:val="24"/>
          <w:szCs w:val="24"/>
          <w:highlight w:val="none"/>
          <w:lang w:eastAsia="zh-CN"/>
        </w:rPr>
        <w:t>（以下简称：代理机构）接受</w:t>
      </w:r>
      <w:r>
        <w:rPr>
          <w:rFonts w:hint="eastAsia" w:asciiTheme="minorEastAsia" w:hAnsiTheme="minorEastAsia" w:eastAsiaTheme="minorEastAsia" w:cstheme="minorEastAsia"/>
          <w:color w:val="auto"/>
          <w:sz w:val="24"/>
          <w:szCs w:val="24"/>
          <w:highlight w:val="none"/>
          <w:u w:val="single"/>
          <w:lang w:eastAsia="zh-CN"/>
        </w:rPr>
        <w:t>大足石刻研究院</w:t>
      </w:r>
      <w:r>
        <w:rPr>
          <w:rFonts w:hint="eastAsia" w:asciiTheme="minorEastAsia" w:hAnsiTheme="minorEastAsia" w:eastAsiaTheme="minorEastAsia" w:cstheme="minorEastAsia"/>
          <w:color w:val="auto"/>
          <w:sz w:val="24"/>
          <w:szCs w:val="24"/>
          <w:highlight w:val="none"/>
          <w:lang w:eastAsia="zh-CN"/>
        </w:rPr>
        <w:t>（以下简称：采购人）的委托，对</w:t>
      </w:r>
      <w:r>
        <w:rPr>
          <w:rFonts w:hint="eastAsia" w:asciiTheme="minorEastAsia" w:hAnsiTheme="minorEastAsia" w:eastAsiaTheme="minorEastAsia" w:cstheme="minorEastAsia"/>
          <w:color w:val="auto"/>
          <w:sz w:val="24"/>
          <w:szCs w:val="24"/>
          <w:highlight w:val="none"/>
          <w:u w:val="single"/>
          <w:lang w:eastAsia="zh-CN"/>
        </w:rPr>
        <w:t>大足石刻世界文化遗产保护管理综合场景</w:t>
      </w:r>
      <w:r>
        <w:rPr>
          <w:rFonts w:hint="eastAsia" w:asciiTheme="minorEastAsia" w:hAnsiTheme="minorEastAsia" w:eastAsiaTheme="minorEastAsia" w:cstheme="minorEastAsia"/>
          <w:color w:val="auto"/>
          <w:sz w:val="24"/>
          <w:szCs w:val="24"/>
          <w:highlight w:val="none"/>
          <w:lang w:eastAsia="zh-CN"/>
        </w:rPr>
        <w:t>进行竞争性磋商采购。欢迎有资格的供应商前来参与磋商。</w:t>
      </w:r>
    </w:p>
    <w:p w14:paraId="67635CFC">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rPr>
      </w:pPr>
      <w:bookmarkStart w:id="1" w:name="_Toc10008"/>
      <w:r>
        <w:rPr>
          <w:rFonts w:hint="eastAsia" w:asciiTheme="minorEastAsia" w:hAnsiTheme="minorEastAsia" w:eastAsiaTheme="minorEastAsia" w:cstheme="minorEastAsia"/>
          <w:b/>
          <w:color w:val="auto"/>
          <w:sz w:val="24"/>
          <w:highlight w:val="none"/>
        </w:rPr>
        <w:t>一、竞争性磋商内容</w:t>
      </w:r>
      <w:bookmarkEnd w:id="1"/>
    </w:p>
    <w:tbl>
      <w:tblPr>
        <w:tblStyle w:val="58"/>
        <w:tblpPr w:leftFromText="180" w:rightFromText="180" w:vertAnchor="text" w:horzAnchor="page" w:tblpX="1402" w:tblpY="391"/>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8"/>
        <w:gridCol w:w="1742"/>
        <w:gridCol w:w="1610"/>
        <w:gridCol w:w="1550"/>
        <w:gridCol w:w="1426"/>
      </w:tblGrid>
      <w:tr w14:paraId="3800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692" w:type="pct"/>
            <w:vAlign w:val="center"/>
          </w:tcPr>
          <w:p w14:paraId="5E3124EB">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kern w:val="0"/>
                <w:sz w:val="21"/>
                <w:szCs w:val="24"/>
                <w:highlight w:val="none"/>
              </w:rPr>
              <w:t>项目名称</w:t>
            </w:r>
          </w:p>
        </w:tc>
        <w:tc>
          <w:tcPr>
            <w:tcW w:w="910" w:type="pct"/>
            <w:vAlign w:val="center"/>
          </w:tcPr>
          <w:p w14:paraId="66AA5EE1">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最高限价</w:t>
            </w:r>
          </w:p>
          <w:p w14:paraId="5891E868">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rPr>
              <w:t>（元</w:t>
            </w:r>
            <w:r>
              <w:rPr>
                <w:rFonts w:hint="eastAsia" w:asciiTheme="minorEastAsia" w:hAnsiTheme="minorEastAsia" w:eastAsiaTheme="minorEastAsia" w:cstheme="minorEastAsia"/>
                <w:b/>
                <w:color w:val="auto"/>
                <w:sz w:val="21"/>
                <w:szCs w:val="21"/>
                <w:highlight w:val="none"/>
                <w:lang w:eastAsia="zh-CN"/>
              </w:rPr>
              <w:t>）</w:t>
            </w:r>
          </w:p>
        </w:tc>
        <w:tc>
          <w:tcPr>
            <w:tcW w:w="841" w:type="pct"/>
            <w:vAlign w:val="center"/>
          </w:tcPr>
          <w:p w14:paraId="6A8F3865">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磋商保证金</w:t>
            </w:r>
          </w:p>
          <w:p w14:paraId="0D936D27">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rPr>
              <w:t>（万元</w:t>
            </w:r>
            <w:r>
              <w:rPr>
                <w:rFonts w:hint="eastAsia" w:asciiTheme="minorEastAsia" w:hAnsiTheme="minorEastAsia" w:eastAsiaTheme="minorEastAsia" w:cstheme="minorEastAsia"/>
                <w:b/>
                <w:color w:val="auto"/>
                <w:sz w:val="21"/>
                <w:szCs w:val="21"/>
                <w:highlight w:val="none"/>
                <w:lang w:eastAsia="zh-CN"/>
              </w:rPr>
              <w:t>）</w:t>
            </w:r>
          </w:p>
        </w:tc>
        <w:tc>
          <w:tcPr>
            <w:tcW w:w="810" w:type="pct"/>
            <w:vAlign w:val="center"/>
          </w:tcPr>
          <w:p w14:paraId="1C97A20C">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中标人数量</w:t>
            </w:r>
          </w:p>
          <w:p w14:paraId="712DDECD">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rPr>
              <w:t>（名</w:t>
            </w:r>
            <w:r>
              <w:rPr>
                <w:rFonts w:hint="eastAsia" w:asciiTheme="minorEastAsia" w:hAnsiTheme="minorEastAsia" w:eastAsiaTheme="minorEastAsia" w:cstheme="minorEastAsia"/>
                <w:b/>
                <w:color w:val="auto"/>
                <w:sz w:val="21"/>
                <w:szCs w:val="21"/>
                <w:highlight w:val="none"/>
                <w:lang w:eastAsia="zh-CN"/>
              </w:rPr>
              <w:t>）</w:t>
            </w:r>
          </w:p>
        </w:tc>
        <w:tc>
          <w:tcPr>
            <w:tcW w:w="745" w:type="pct"/>
            <w:vAlign w:val="center"/>
          </w:tcPr>
          <w:p w14:paraId="385EE823">
            <w:pPr>
              <w:pStyle w:val="23"/>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备注</w:t>
            </w:r>
          </w:p>
        </w:tc>
      </w:tr>
      <w:tr w14:paraId="1B7F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92" w:type="pct"/>
            <w:vAlign w:val="center"/>
          </w:tcPr>
          <w:p w14:paraId="48022363">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大足石刻世界文化遗产保护管理综合场景</w:t>
            </w:r>
          </w:p>
        </w:tc>
        <w:tc>
          <w:tcPr>
            <w:tcW w:w="910" w:type="pct"/>
            <w:vAlign w:val="center"/>
          </w:tcPr>
          <w:p w14:paraId="1FC1877D">
            <w:pPr>
              <w:keepNext w:val="0"/>
              <w:keepLines w:val="0"/>
              <w:pageBreakBefore w:val="0"/>
              <w:widowControl/>
              <w:suppressLineNumbers w:val="0"/>
              <w:kinsoku/>
              <w:wordWrap/>
              <w:overflowPunct/>
              <w:topLinePunct w:val="0"/>
              <w:autoSpaceDE/>
              <w:autoSpaceDN/>
              <w:bidi w:val="0"/>
              <w:spacing w:line="240" w:lineRule="auto"/>
              <w:ind w:left="0" w:leftChars="0" w:right="0" w:firstLine="0" w:firstLineChars="0"/>
              <w:jc w:val="center"/>
              <w:textAlignment w:val="auto"/>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189400.00</w:t>
            </w:r>
          </w:p>
        </w:tc>
        <w:tc>
          <w:tcPr>
            <w:tcW w:w="841" w:type="pct"/>
            <w:vAlign w:val="center"/>
          </w:tcPr>
          <w:p w14:paraId="504BD9C3">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0</w:t>
            </w:r>
          </w:p>
        </w:tc>
        <w:tc>
          <w:tcPr>
            <w:tcW w:w="810" w:type="pct"/>
            <w:vAlign w:val="center"/>
          </w:tcPr>
          <w:p w14:paraId="5FB76102">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w:t>
            </w:r>
          </w:p>
        </w:tc>
        <w:tc>
          <w:tcPr>
            <w:tcW w:w="745" w:type="pct"/>
            <w:vAlign w:val="center"/>
          </w:tcPr>
          <w:p w14:paraId="59EF415A">
            <w:pPr>
              <w:pStyle w:val="15"/>
              <w:keepNext w:val="0"/>
              <w:keepLines w:val="0"/>
              <w:pageBreakBefore w:val="0"/>
              <w:kinsoku/>
              <w:wordWrap/>
              <w:overflowPunct/>
              <w:topLinePunct w:val="0"/>
              <w:autoSpaceDE/>
              <w:autoSpaceDN/>
              <w:bidi w:val="0"/>
              <w:spacing w:line="240" w:lineRule="auto"/>
              <w:ind w:left="0" w:leftChars="0" w:right="0" w:firstLine="0" w:firstLineChars="0"/>
              <w:jc w:val="center"/>
              <w:textAlignment w:val="auto"/>
              <w:outlineLvl w:val="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无</w:t>
            </w:r>
          </w:p>
        </w:tc>
      </w:tr>
    </w:tbl>
    <w:p w14:paraId="62A7D62B">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rPr>
      </w:pPr>
      <w:bookmarkStart w:id="2" w:name="_Toc9884"/>
      <w:r>
        <w:rPr>
          <w:rFonts w:hint="eastAsia" w:asciiTheme="minorEastAsia" w:hAnsiTheme="minorEastAsia" w:eastAsiaTheme="minorEastAsia" w:cstheme="minorEastAsia"/>
          <w:b/>
          <w:color w:val="auto"/>
          <w:sz w:val="24"/>
          <w:highlight w:val="none"/>
        </w:rPr>
        <w:t>二、资金来源</w:t>
      </w:r>
      <w:bookmarkEnd w:id="2"/>
    </w:p>
    <w:p w14:paraId="79E8986D">
      <w:pPr>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财政</w:t>
      </w:r>
      <w:r>
        <w:rPr>
          <w:rFonts w:hint="eastAsia" w:asciiTheme="minorEastAsia" w:hAnsiTheme="minorEastAsia" w:eastAsiaTheme="minorEastAsia" w:cstheme="minorEastAsia"/>
          <w:color w:val="auto"/>
          <w:sz w:val="24"/>
          <w:szCs w:val="24"/>
          <w:highlight w:val="none"/>
        </w:rPr>
        <w:t>资金。</w:t>
      </w:r>
    </w:p>
    <w:p w14:paraId="2DE10114">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rPr>
      </w:pPr>
      <w:bookmarkStart w:id="3" w:name="_Toc17034"/>
      <w:r>
        <w:rPr>
          <w:rFonts w:hint="eastAsia" w:asciiTheme="minorEastAsia" w:hAnsiTheme="minorEastAsia" w:eastAsiaTheme="minorEastAsia" w:cstheme="minorEastAsia"/>
          <w:b/>
          <w:color w:val="auto"/>
          <w:sz w:val="24"/>
          <w:highlight w:val="none"/>
        </w:rPr>
        <w:t>三、供应商资格条件</w:t>
      </w:r>
      <w:bookmarkEnd w:id="3"/>
    </w:p>
    <w:p w14:paraId="6E65C7BE">
      <w:pPr>
        <w:pStyle w:val="22"/>
        <w:pageBreakBefore w:val="0"/>
        <w:kinsoku/>
        <w:wordWrap/>
        <w:overflowPunct/>
        <w:topLinePunct w:val="0"/>
        <w:autoSpaceDE/>
        <w:autoSpaceDN/>
        <w:bidi w:val="0"/>
        <w:spacing w:after="0"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（一）满足《中华人民共和国政府采购法》第二十二条规定；</w:t>
      </w:r>
    </w:p>
    <w:p w14:paraId="23F21398">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1.具有独立承担民事责任的能力；</w:t>
      </w:r>
    </w:p>
    <w:p w14:paraId="48900ED5">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2.具有良好的商业信誉和健全的财务会计制度；</w:t>
      </w:r>
    </w:p>
    <w:p w14:paraId="688AA278">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3.具有履行合同所必需的设备和专业技术能力；</w:t>
      </w:r>
    </w:p>
    <w:p w14:paraId="152D83EC">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4.有依法缴纳税收和社会保障资金的良好记录；</w:t>
      </w:r>
    </w:p>
    <w:p w14:paraId="3C2BCD8D">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5.参加政府采购活动前三年内，在经营活动中没有重大违法记录；</w:t>
      </w:r>
    </w:p>
    <w:p w14:paraId="5F9E7DC6">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6.法律、行政法规规定的其他条件。</w:t>
      </w:r>
    </w:p>
    <w:p w14:paraId="0644CD11">
      <w:pPr>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落实政府采购政策需满足的资格要求：</w:t>
      </w:r>
      <w:r>
        <w:rPr>
          <w:rFonts w:hint="eastAsia" w:asciiTheme="minorEastAsia" w:hAnsiTheme="minorEastAsia" w:eastAsiaTheme="minorEastAsia" w:cstheme="minorEastAsia"/>
          <w:color w:val="auto"/>
          <w:sz w:val="24"/>
          <w:szCs w:val="24"/>
          <w:highlight w:val="none"/>
          <w:lang w:val="en-US" w:eastAsia="zh-CN"/>
        </w:rPr>
        <w:t>无</w:t>
      </w:r>
    </w:p>
    <w:p w14:paraId="010D1667">
      <w:pPr>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本项目的特定资格要求：</w:t>
      </w:r>
      <w:r>
        <w:rPr>
          <w:rFonts w:hint="eastAsia" w:asciiTheme="minorEastAsia" w:hAnsiTheme="minorEastAsia" w:eastAsiaTheme="minorEastAsia" w:cstheme="minorEastAsia"/>
          <w:color w:val="auto"/>
          <w:sz w:val="24"/>
          <w:szCs w:val="24"/>
          <w:highlight w:val="none"/>
          <w:lang w:val="en-US" w:eastAsia="zh-CN"/>
        </w:rPr>
        <w:t>无</w:t>
      </w:r>
    </w:p>
    <w:p w14:paraId="3730C51A">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rPr>
      </w:pPr>
      <w:bookmarkStart w:id="4" w:name="_Toc23938"/>
      <w:r>
        <w:rPr>
          <w:rFonts w:hint="eastAsia" w:asciiTheme="minorEastAsia" w:hAnsiTheme="minorEastAsia" w:eastAsiaTheme="minorEastAsia" w:cstheme="minorEastAsia"/>
          <w:b/>
          <w:color w:val="auto"/>
          <w:sz w:val="24"/>
          <w:highlight w:val="none"/>
        </w:rPr>
        <w:t>四、磋商有关说明</w:t>
      </w:r>
      <w:bookmarkEnd w:id="4"/>
    </w:p>
    <w:p w14:paraId="602E447E">
      <w:pPr>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供应商应通过</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行采家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（https://www.gec123.com/</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登记加入“行采家供应商库”。</w:t>
      </w:r>
    </w:p>
    <w:p w14:paraId="44BB5127">
      <w:pPr>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凡有意参加投标的供应商，请在“行采家”（https://www.gec123.com</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网上下载本项目竞争性磋商文件以及澄清等开标前公布的所有项目资料，无论</w:t>
      </w:r>
      <w:r>
        <w:rPr>
          <w:rFonts w:hint="eastAsia" w:asciiTheme="minorEastAsia" w:hAnsiTheme="minorEastAsia" w:eastAsiaTheme="minorEastAsia" w:cstheme="minorEastAsia"/>
          <w:bCs/>
          <w:color w:val="auto"/>
          <w:sz w:val="24"/>
          <w:szCs w:val="24"/>
          <w:highlight w:val="none"/>
        </w:rPr>
        <w:t>供应商</w:t>
      </w:r>
      <w:r>
        <w:rPr>
          <w:rFonts w:hint="eastAsia" w:asciiTheme="minorEastAsia" w:hAnsiTheme="minorEastAsia" w:eastAsiaTheme="minorEastAsia" w:cstheme="minorEastAsia"/>
          <w:color w:val="auto"/>
          <w:sz w:val="24"/>
          <w:szCs w:val="24"/>
          <w:highlight w:val="none"/>
        </w:rPr>
        <w:t>领取或下载与否，均视为已知晓所有招标内容。</w:t>
      </w:r>
    </w:p>
    <w:p w14:paraId="08814597">
      <w:pPr>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磋商公告期限：自采购公告发布之日起五个工作日。</w:t>
      </w:r>
    </w:p>
    <w:p w14:paraId="126B4BD7">
      <w:pPr>
        <w:pStyle w:val="22"/>
        <w:pageBreakBefore w:val="0"/>
        <w:kinsoku/>
        <w:wordWrap/>
        <w:overflowPunct/>
        <w:topLinePunct w:val="0"/>
        <w:autoSpaceDE/>
        <w:autoSpaceDN/>
        <w:bidi w:val="0"/>
        <w:spacing w:line="400" w:lineRule="exact"/>
        <w:ind w:left="0" w:leftChars="0" w:right="0" w:firstLine="47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eastAsia="zh-CN"/>
        </w:rPr>
        <w:t>四）</w:t>
      </w:r>
      <w:r>
        <w:rPr>
          <w:rFonts w:hint="eastAsia" w:asciiTheme="minorEastAsia" w:hAnsiTheme="minorEastAsia" w:eastAsiaTheme="minorEastAsia" w:cstheme="minorEastAsia"/>
          <w:color w:val="auto"/>
          <w:spacing w:val="-2"/>
          <w:sz w:val="24"/>
          <w:szCs w:val="24"/>
          <w:highlight w:val="none"/>
        </w:rPr>
        <w:t>报名及采购文件发售</w:t>
      </w:r>
    </w:p>
    <w:p w14:paraId="3AAF4514">
      <w:pPr>
        <w:pStyle w:val="22"/>
        <w:pageBreakBefore w:val="0"/>
        <w:kinsoku/>
        <w:wordWrap/>
        <w:overflowPunct/>
        <w:topLinePunct w:val="0"/>
        <w:autoSpaceDE/>
        <w:autoSpaceDN/>
        <w:bidi w:val="0"/>
        <w:spacing w:line="400" w:lineRule="exact"/>
        <w:ind w:left="0" w:leftChars="0" w:right="0" w:firstLine="456" w:firstLineChars="200"/>
        <w:textAlignment w:val="auto"/>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1.采购文件发售期</w:t>
      </w:r>
      <w:r>
        <w:rPr>
          <w:rFonts w:hint="eastAsia" w:asciiTheme="minorEastAsia" w:hAnsiTheme="minorEastAsia" w:eastAsiaTheme="minorEastAsia" w:cstheme="minorEastAsia"/>
          <w:color w:val="auto"/>
          <w:spacing w:val="-6"/>
          <w:sz w:val="24"/>
          <w:szCs w:val="24"/>
          <w:highlight w:val="none"/>
          <w:lang w:eastAsia="zh-CN"/>
        </w:rPr>
        <w:t>：</w:t>
      </w:r>
      <w:r>
        <w:rPr>
          <w:rFonts w:hint="eastAsia" w:asciiTheme="minorEastAsia" w:hAnsiTheme="minorEastAsia" w:eastAsiaTheme="minorEastAsia" w:cstheme="minorEastAsia"/>
          <w:color w:val="auto"/>
          <w:spacing w:val="-6"/>
          <w:sz w:val="24"/>
          <w:szCs w:val="24"/>
          <w:highlight w:val="none"/>
          <w:lang w:val="en-US" w:eastAsia="zh-CN"/>
        </w:rPr>
        <w:t>2026</w:t>
      </w:r>
      <w:r>
        <w:rPr>
          <w:rFonts w:hint="eastAsia" w:asciiTheme="minorEastAsia" w:hAnsiTheme="minorEastAsia" w:eastAsiaTheme="minorEastAsia" w:cstheme="minorEastAsia"/>
          <w:color w:val="auto"/>
          <w:spacing w:val="-6"/>
          <w:sz w:val="24"/>
          <w:szCs w:val="24"/>
          <w:highlight w:val="none"/>
        </w:rPr>
        <w:t>年</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月</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日至</w:t>
      </w:r>
      <w:r>
        <w:rPr>
          <w:rFonts w:hint="eastAsia" w:asciiTheme="minorEastAsia" w:hAnsiTheme="minorEastAsia" w:eastAsiaTheme="minorEastAsia" w:cstheme="minorEastAsia"/>
          <w:color w:val="auto"/>
          <w:spacing w:val="-6"/>
          <w:sz w:val="24"/>
          <w:szCs w:val="24"/>
          <w:highlight w:val="none"/>
          <w:lang w:val="en-US" w:eastAsia="zh-CN"/>
        </w:rPr>
        <w:t>2026</w:t>
      </w:r>
      <w:r>
        <w:rPr>
          <w:rFonts w:hint="eastAsia" w:asciiTheme="minorEastAsia" w:hAnsiTheme="minorEastAsia" w:eastAsiaTheme="minorEastAsia" w:cstheme="minorEastAsia"/>
          <w:color w:val="auto"/>
          <w:spacing w:val="-6"/>
          <w:sz w:val="24"/>
          <w:szCs w:val="24"/>
          <w:highlight w:val="none"/>
        </w:rPr>
        <w:t>年</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月</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日17:00（工作时间</w:t>
      </w:r>
      <w:r>
        <w:rPr>
          <w:rFonts w:hint="eastAsia" w:asciiTheme="minorEastAsia" w:hAnsiTheme="minorEastAsia" w:eastAsiaTheme="minorEastAsia" w:cstheme="minorEastAsia"/>
          <w:color w:val="auto"/>
          <w:spacing w:val="-6"/>
          <w:sz w:val="24"/>
          <w:szCs w:val="24"/>
          <w:highlight w:val="none"/>
          <w:lang w:eastAsia="zh-CN"/>
        </w:rPr>
        <w:t>）</w:t>
      </w:r>
      <w:r>
        <w:rPr>
          <w:rFonts w:hint="eastAsia" w:asciiTheme="minorEastAsia" w:hAnsiTheme="minorEastAsia" w:eastAsiaTheme="minorEastAsia" w:cstheme="minorEastAsia"/>
          <w:color w:val="auto"/>
          <w:spacing w:val="-6"/>
          <w:sz w:val="24"/>
          <w:szCs w:val="24"/>
          <w:highlight w:val="none"/>
        </w:rPr>
        <w:t>。</w:t>
      </w:r>
    </w:p>
    <w:p w14:paraId="24708752">
      <w:pPr>
        <w:pageBreakBefore w:val="0"/>
        <w:kinsoku/>
        <w:wordWrap/>
        <w:overflowPunct/>
        <w:topLinePunct w:val="0"/>
        <w:autoSpaceDE/>
        <w:autoSpaceDN/>
        <w:bidi w:val="0"/>
        <w:spacing w:line="400" w:lineRule="exact"/>
        <w:ind w:left="0" w:leftChars="0" w:right="0" w:firstLine="456"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kern w:val="2"/>
          <w:sz w:val="24"/>
          <w:szCs w:val="24"/>
          <w:highlight w:val="none"/>
          <w:lang w:val="en-US" w:eastAsia="zh-CN" w:bidi="ar-SA"/>
        </w:rPr>
        <w:t>2.报名方式：现场报名。</w:t>
      </w:r>
    </w:p>
    <w:p w14:paraId="508D8BBC">
      <w:pPr>
        <w:pStyle w:val="22"/>
        <w:pageBreakBefore w:val="0"/>
        <w:kinsoku/>
        <w:wordWrap/>
        <w:overflowPunct/>
        <w:topLinePunct w:val="0"/>
        <w:autoSpaceDE/>
        <w:autoSpaceDN/>
        <w:bidi w:val="0"/>
        <w:spacing w:line="400" w:lineRule="exact"/>
        <w:ind w:left="0" w:leftChars="0" w:right="0" w:firstLine="47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val="en-US" w:eastAsia="zh-CN"/>
        </w:rPr>
        <w:t>3</w:t>
      </w:r>
      <w:r>
        <w:rPr>
          <w:rFonts w:hint="eastAsia" w:asciiTheme="minorEastAsia" w:hAnsiTheme="minorEastAsia" w:eastAsiaTheme="minorEastAsia" w:cstheme="minorEastAsia"/>
          <w:color w:val="auto"/>
          <w:spacing w:val="-2"/>
          <w:sz w:val="24"/>
          <w:szCs w:val="24"/>
          <w:highlight w:val="none"/>
        </w:rPr>
        <w:t>.采购文件售价：人民币</w:t>
      </w:r>
      <w:r>
        <w:rPr>
          <w:rFonts w:hint="eastAsia" w:asciiTheme="minorEastAsia" w:hAnsiTheme="minorEastAsia" w:eastAsiaTheme="minorEastAsia" w:cstheme="minorEastAsia"/>
          <w:color w:val="auto"/>
          <w:spacing w:val="-2"/>
          <w:sz w:val="24"/>
          <w:szCs w:val="24"/>
          <w:highlight w:val="none"/>
          <w:lang w:val="en-US" w:eastAsia="zh-CN"/>
        </w:rPr>
        <w:t>5</w:t>
      </w:r>
      <w:r>
        <w:rPr>
          <w:rFonts w:hint="eastAsia" w:asciiTheme="minorEastAsia" w:hAnsiTheme="minorEastAsia" w:eastAsiaTheme="minorEastAsia" w:cstheme="minorEastAsia"/>
          <w:color w:val="auto"/>
          <w:spacing w:val="-2"/>
          <w:sz w:val="24"/>
          <w:szCs w:val="24"/>
          <w:highlight w:val="none"/>
        </w:rPr>
        <w:t>00元/份（售后不退</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w:t>
      </w:r>
    </w:p>
    <w:p w14:paraId="52AE0A4E">
      <w:pPr>
        <w:pStyle w:val="22"/>
        <w:pageBreakBefore w:val="0"/>
        <w:kinsoku/>
        <w:wordWrap/>
        <w:overflowPunct/>
        <w:topLinePunct w:val="0"/>
        <w:autoSpaceDE/>
        <w:autoSpaceDN/>
        <w:bidi w:val="0"/>
        <w:spacing w:line="400" w:lineRule="exact"/>
        <w:ind w:left="0" w:leftChars="0" w:right="0" w:firstLine="484"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4</w:t>
      </w:r>
      <w:r>
        <w:rPr>
          <w:rFonts w:hint="eastAsia" w:asciiTheme="minorEastAsia" w:hAnsiTheme="minorEastAsia" w:eastAsiaTheme="minorEastAsia" w:cstheme="minorEastAsia"/>
          <w:color w:val="auto"/>
          <w:spacing w:val="1"/>
          <w:sz w:val="24"/>
          <w:szCs w:val="24"/>
          <w:highlight w:val="none"/>
        </w:rPr>
        <w:t>.采购文件提供期限内，供应商到</w:t>
      </w:r>
      <w:r>
        <w:rPr>
          <w:rFonts w:hint="eastAsia" w:asciiTheme="minorEastAsia" w:hAnsiTheme="minorEastAsia" w:eastAsiaTheme="minorEastAsia" w:cstheme="minorEastAsia"/>
          <w:color w:val="auto"/>
          <w:spacing w:val="1"/>
          <w:sz w:val="24"/>
          <w:szCs w:val="24"/>
          <w:highlight w:val="none"/>
          <w:lang w:eastAsia="zh-CN"/>
        </w:rPr>
        <w:t>重庆翊博项目管理有限公司</w:t>
      </w:r>
      <w:r>
        <w:rPr>
          <w:rFonts w:hint="eastAsia" w:asciiTheme="minorEastAsia" w:hAnsiTheme="minorEastAsia" w:eastAsiaTheme="minorEastAsia" w:cstheme="minorEastAsia"/>
          <w:color w:val="auto"/>
          <w:spacing w:val="1"/>
          <w:sz w:val="24"/>
          <w:szCs w:val="24"/>
          <w:highlight w:val="none"/>
        </w:rPr>
        <w:t>（地址：</w:t>
      </w:r>
      <w:r>
        <w:rPr>
          <w:rFonts w:hint="eastAsia" w:asciiTheme="minorEastAsia" w:hAnsiTheme="minorEastAsia" w:eastAsiaTheme="minorEastAsia" w:cstheme="minorEastAsia"/>
          <w:color w:val="auto"/>
          <w:spacing w:val="1"/>
          <w:sz w:val="24"/>
          <w:szCs w:val="24"/>
          <w:highlight w:val="none"/>
          <w:lang w:eastAsia="zh-CN"/>
        </w:rPr>
        <w:t xml:space="preserve">重庆市大足区棠香街道棠凤路409号2-12 </w:t>
      </w:r>
      <w:r>
        <w:rPr>
          <w:rFonts w:hint="eastAsia" w:asciiTheme="minorEastAsia" w:hAnsiTheme="minorEastAsia" w:eastAsiaTheme="minorEastAsia" w:cstheme="minorEastAsia"/>
          <w:color w:val="auto"/>
          <w:spacing w:val="-7"/>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lang w:val="en-US" w:eastAsia="zh-CN"/>
        </w:rPr>
        <w:t>登记</w:t>
      </w:r>
      <w:r>
        <w:rPr>
          <w:rFonts w:hint="eastAsia" w:asciiTheme="minorEastAsia" w:hAnsiTheme="minorEastAsia" w:eastAsiaTheme="minorEastAsia" w:cstheme="minorEastAsia"/>
          <w:color w:val="auto"/>
          <w:spacing w:val="-7"/>
          <w:sz w:val="24"/>
          <w:szCs w:val="24"/>
          <w:highlight w:val="none"/>
        </w:rPr>
        <w:t>购买采购文件</w:t>
      </w:r>
      <w:r>
        <w:rPr>
          <w:rFonts w:hint="eastAsia" w:asciiTheme="minorEastAsia" w:hAnsiTheme="minorEastAsia" w:eastAsiaTheme="minorEastAsia" w:cstheme="minorEastAsia"/>
          <w:color w:val="auto"/>
          <w:spacing w:val="-7"/>
          <w:sz w:val="24"/>
          <w:szCs w:val="24"/>
          <w:highlight w:val="none"/>
          <w:lang w:val="en-US" w:eastAsia="zh-CN"/>
        </w:rPr>
        <w:t>并递交</w:t>
      </w:r>
      <w:r>
        <w:rPr>
          <w:rFonts w:hint="eastAsia" w:asciiTheme="minorEastAsia" w:hAnsiTheme="minorEastAsia" w:eastAsiaTheme="minorEastAsia" w:cstheme="minorEastAsia"/>
          <w:color w:val="auto"/>
          <w:spacing w:val="-7"/>
          <w:sz w:val="24"/>
          <w:szCs w:val="24"/>
          <w:highlight w:val="none"/>
        </w:rPr>
        <w:t>《</w:t>
      </w:r>
      <w:r>
        <w:rPr>
          <w:rFonts w:hint="eastAsia" w:asciiTheme="minorEastAsia" w:hAnsiTheme="minorEastAsia" w:eastAsiaTheme="minorEastAsia" w:cstheme="minorEastAsia"/>
          <w:color w:val="auto"/>
          <w:spacing w:val="-7"/>
          <w:sz w:val="24"/>
          <w:szCs w:val="24"/>
          <w:highlight w:val="none"/>
          <w:lang w:eastAsia="zh-CN"/>
        </w:rPr>
        <w:t>重庆翊博项目管理有限公司</w:t>
      </w:r>
      <w:r>
        <w:rPr>
          <w:rFonts w:hint="eastAsia" w:asciiTheme="minorEastAsia" w:hAnsiTheme="minorEastAsia" w:eastAsiaTheme="minorEastAsia" w:cstheme="minorEastAsia"/>
          <w:color w:val="auto"/>
          <w:spacing w:val="1"/>
          <w:sz w:val="24"/>
          <w:szCs w:val="24"/>
          <w:highlight w:val="none"/>
        </w:rPr>
        <w:t>采购文件发售登记表》（加盖供应商公章</w:t>
      </w: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lang w:val="en-US" w:eastAsia="zh-CN"/>
        </w:rPr>
        <w:t>格式详见附件1</w:t>
      </w: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w:t>
      </w:r>
    </w:p>
    <w:p w14:paraId="1B018296">
      <w:pPr>
        <w:pStyle w:val="22"/>
        <w:pageBreakBefore w:val="0"/>
        <w:kinsoku/>
        <w:wordWrap/>
        <w:overflowPunct/>
        <w:topLinePunct w:val="0"/>
        <w:autoSpaceDE/>
        <w:autoSpaceDN/>
        <w:bidi w:val="0"/>
        <w:spacing w:line="400" w:lineRule="exact"/>
        <w:ind w:left="0" w:leftChars="0" w:right="0" w:firstLine="46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w:t>
      </w:r>
      <w:r>
        <w:rPr>
          <w:rFonts w:hint="eastAsia" w:asciiTheme="minorEastAsia" w:hAnsiTheme="minorEastAsia" w:eastAsiaTheme="minorEastAsia" w:cstheme="minorEastAsia"/>
          <w:color w:val="auto"/>
          <w:spacing w:val="-5"/>
          <w:sz w:val="24"/>
          <w:szCs w:val="24"/>
          <w:highlight w:val="none"/>
          <w:lang w:eastAsia="zh-CN"/>
        </w:rPr>
        <w:t>五）</w:t>
      </w:r>
      <w:r>
        <w:rPr>
          <w:rFonts w:hint="eastAsia" w:asciiTheme="minorEastAsia" w:hAnsiTheme="minorEastAsia" w:eastAsiaTheme="minorEastAsia" w:cstheme="minorEastAsia"/>
          <w:color w:val="auto"/>
          <w:spacing w:val="-5"/>
          <w:sz w:val="24"/>
          <w:szCs w:val="24"/>
          <w:highlight w:val="none"/>
        </w:rPr>
        <w:t>投标</w:t>
      </w:r>
    </w:p>
    <w:p w14:paraId="61615C94">
      <w:pPr>
        <w:pStyle w:val="22"/>
        <w:pageBreakBefore w:val="0"/>
        <w:kinsoku/>
        <w:wordWrap/>
        <w:overflowPunct/>
        <w:topLinePunct w:val="0"/>
        <w:autoSpaceDE/>
        <w:autoSpaceDN/>
        <w:bidi w:val="0"/>
        <w:spacing w:line="400" w:lineRule="exact"/>
        <w:ind w:left="0" w:leftChars="0" w:right="0" w:firstLine="456" w:firstLineChars="200"/>
        <w:textAlignment w:val="auto"/>
        <w:rPr>
          <w:rFonts w:hint="eastAsia"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rPr>
        <w:t>1.响应文件递交时间：</w:t>
      </w:r>
      <w:r>
        <w:rPr>
          <w:rFonts w:hint="eastAsia" w:asciiTheme="minorEastAsia" w:hAnsiTheme="minorEastAsia" w:eastAsiaTheme="minorEastAsia" w:cstheme="minorEastAsia"/>
          <w:color w:val="auto"/>
          <w:spacing w:val="-6"/>
          <w:sz w:val="24"/>
          <w:szCs w:val="24"/>
          <w:highlight w:val="none"/>
          <w:lang w:val="en-US" w:eastAsia="zh-CN"/>
        </w:rPr>
        <w:t>2026</w:t>
      </w:r>
      <w:r>
        <w:rPr>
          <w:rFonts w:hint="eastAsia" w:asciiTheme="minorEastAsia" w:hAnsiTheme="minorEastAsia" w:eastAsiaTheme="minorEastAsia" w:cstheme="minorEastAsia"/>
          <w:color w:val="auto"/>
          <w:spacing w:val="-6"/>
          <w:sz w:val="24"/>
          <w:szCs w:val="24"/>
          <w:highlight w:val="none"/>
        </w:rPr>
        <w:t>年</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月</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日</w:t>
      </w:r>
      <w:r>
        <w:rPr>
          <w:rFonts w:hint="eastAsia" w:asciiTheme="minorEastAsia" w:hAnsiTheme="minorEastAsia" w:eastAsiaTheme="minorEastAsia" w:cstheme="minorEastAsia"/>
          <w:color w:val="auto"/>
          <w:spacing w:val="-6"/>
          <w:sz w:val="24"/>
          <w:szCs w:val="24"/>
          <w:highlight w:val="none"/>
          <w:lang w:val="en-US" w:eastAsia="zh-CN"/>
        </w:rPr>
        <w:t>13</w:t>
      </w:r>
      <w:r>
        <w:rPr>
          <w:rFonts w:hint="eastAsia" w:asciiTheme="minorEastAsia" w:hAnsiTheme="minorEastAsia" w:eastAsiaTheme="minorEastAsia" w:cstheme="minorEastAsia"/>
          <w:color w:val="auto"/>
          <w:spacing w:val="-6"/>
          <w:sz w:val="24"/>
          <w:szCs w:val="24"/>
          <w:highlight w:val="none"/>
        </w:rPr>
        <w:t>:</w:t>
      </w:r>
      <w:r>
        <w:rPr>
          <w:rFonts w:hint="eastAsia" w:asciiTheme="minorEastAsia" w:hAnsiTheme="minorEastAsia" w:eastAsiaTheme="minorEastAsia" w:cstheme="minorEastAsia"/>
          <w:color w:val="auto"/>
          <w:spacing w:val="-6"/>
          <w:sz w:val="24"/>
          <w:szCs w:val="24"/>
          <w:highlight w:val="none"/>
          <w:lang w:val="en-US" w:eastAsia="zh-CN"/>
        </w:rPr>
        <w:t>3</w:t>
      </w:r>
      <w:r>
        <w:rPr>
          <w:rFonts w:hint="eastAsia" w:asciiTheme="minorEastAsia" w:hAnsiTheme="minorEastAsia" w:eastAsiaTheme="minorEastAsia" w:cstheme="minorEastAsia"/>
          <w:color w:val="auto"/>
          <w:spacing w:val="-6"/>
          <w:sz w:val="24"/>
          <w:szCs w:val="24"/>
          <w:highlight w:val="none"/>
        </w:rPr>
        <w:t>0</w:t>
      </w:r>
      <w:r>
        <w:rPr>
          <w:rFonts w:hint="eastAsia" w:asciiTheme="minorEastAsia" w:hAnsiTheme="minorEastAsia" w:eastAsiaTheme="minorEastAsia" w:cstheme="minorEastAsia"/>
          <w:color w:val="auto"/>
          <w:spacing w:val="-7"/>
          <w:sz w:val="24"/>
          <w:szCs w:val="24"/>
          <w:highlight w:val="none"/>
        </w:rPr>
        <w:t>至</w:t>
      </w:r>
      <w:r>
        <w:rPr>
          <w:rFonts w:hint="eastAsia" w:asciiTheme="minorEastAsia" w:hAnsiTheme="minorEastAsia" w:eastAsiaTheme="minorEastAsia" w:cstheme="minorEastAsia"/>
          <w:color w:val="auto"/>
          <w:spacing w:val="-7"/>
          <w:sz w:val="24"/>
          <w:szCs w:val="24"/>
          <w:highlight w:val="none"/>
          <w:lang w:val="en-US" w:eastAsia="zh-CN"/>
        </w:rPr>
        <w:t>14</w:t>
      </w:r>
      <w:r>
        <w:rPr>
          <w:rFonts w:hint="eastAsia" w:asciiTheme="minorEastAsia" w:hAnsiTheme="minorEastAsia" w:eastAsiaTheme="minorEastAsia" w:cstheme="minorEastAsia"/>
          <w:color w:val="auto"/>
          <w:spacing w:val="-7"/>
          <w:sz w:val="24"/>
          <w:szCs w:val="24"/>
          <w:highlight w:val="none"/>
        </w:rPr>
        <w:t>:</w:t>
      </w:r>
      <w:r>
        <w:rPr>
          <w:rFonts w:hint="eastAsia" w:asciiTheme="minorEastAsia" w:hAnsiTheme="minorEastAsia" w:eastAsiaTheme="minorEastAsia" w:cstheme="minorEastAsia"/>
          <w:color w:val="auto"/>
          <w:spacing w:val="-7"/>
          <w:sz w:val="24"/>
          <w:szCs w:val="24"/>
          <w:highlight w:val="none"/>
          <w:lang w:val="en-US" w:eastAsia="zh-CN"/>
        </w:rPr>
        <w:t>0</w:t>
      </w:r>
      <w:r>
        <w:rPr>
          <w:rFonts w:hint="eastAsia" w:asciiTheme="minorEastAsia" w:hAnsiTheme="minorEastAsia" w:eastAsiaTheme="minorEastAsia" w:cstheme="minorEastAsia"/>
          <w:color w:val="auto"/>
          <w:spacing w:val="-7"/>
          <w:sz w:val="24"/>
          <w:szCs w:val="24"/>
          <w:highlight w:val="none"/>
        </w:rPr>
        <w:t>0</w:t>
      </w:r>
      <w:r>
        <w:rPr>
          <w:rFonts w:hint="eastAsia" w:asciiTheme="minorEastAsia" w:hAnsiTheme="minorEastAsia" w:eastAsiaTheme="minorEastAsia" w:cstheme="minorEastAsia"/>
          <w:color w:val="auto"/>
          <w:spacing w:val="-7"/>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rPr>
        <w:t>北京时间</w:t>
      </w:r>
      <w:r>
        <w:rPr>
          <w:rFonts w:hint="eastAsia" w:asciiTheme="minorEastAsia" w:hAnsiTheme="minorEastAsia" w:eastAsiaTheme="minorEastAsia" w:cstheme="minorEastAsia"/>
          <w:color w:val="auto"/>
          <w:spacing w:val="-7"/>
          <w:sz w:val="24"/>
          <w:szCs w:val="24"/>
          <w:highlight w:val="none"/>
          <w:lang w:eastAsia="zh-CN"/>
        </w:rPr>
        <w:t>）</w:t>
      </w:r>
    </w:p>
    <w:p w14:paraId="0C6ACA8E">
      <w:pPr>
        <w:pStyle w:val="22"/>
        <w:pageBreakBefore w:val="0"/>
        <w:kinsoku/>
        <w:wordWrap/>
        <w:overflowPunct/>
        <w:topLinePunct w:val="0"/>
        <w:autoSpaceDE/>
        <w:autoSpaceDN/>
        <w:bidi w:val="0"/>
        <w:spacing w:line="400" w:lineRule="exact"/>
        <w:ind w:left="0" w:leftChars="0" w:right="0" w:firstLine="452"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val="en-US" w:eastAsia="zh-CN"/>
        </w:rPr>
        <w:t>2</w:t>
      </w:r>
      <w:r>
        <w:rPr>
          <w:rFonts w:hint="eastAsia" w:asciiTheme="minorEastAsia" w:hAnsiTheme="minorEastAsia" w:eastAsiaTheme="minorEastAsia" w:cstheme="minorEastAsia"/>
          <w:color w:val="auto"/>
          <w:spacing w:val="-7"/>
          <w:sz w:val="24"/>
          <w:szCs w:val="24"/>
          <w:highlight w:val="none"/>
        </w:rPr>
        <w:t>.</w:t>
      </w:r>
      <w:r>
        <w:rPr>
          <w:rFonts w:hint="eastAsia" w:asciiTheme="minorEastAsia" w:hAnsiTheme="minorEastAsia" w:eastAsiaTheme="minorEastAsia" w:cstheme="minorEastAsia"/>
          <w:color w:val="auto"/>
          <w:spacing w:val="-7"/>
          <w:sz w:val="24"/>
          <w:szCs w:val="24"/>
          <w:highlight w:val="none"/>
          <w:lang w:val="en-US" w:eastAsia="zh-CN"/>
        </w:rPr>
        <w:t>磋商</w:t>
      </w:r>
      <w:r>
        <w:rPr>
          <w:rFonts w:hint="eastAsia" w:asciiTheme="minorEastAsia" w:hAnsiTheme="minorEastAsia" w:eastAsiaTheme="minorEastAsia" w:cstheme="minorEastAsia"/>
          <w:color w:val="auto"/>
          <w:spacing w:val="-7"/>
          <w:sz w:val="24"/>
          <w:szCs w:val="24"/>
          <w:highlight w:val="none"/>
        </w:rPr>
        <w:t>开始时间：</w:t>
      </w:r>
      <w:r>
        <w:rPr>
          <w:rFonts w:hint="eastAsia" w:asciiTheme="minorEastAsia" w:hAnsiTheme="minorEastAsia" w:eastAsiaTheme="minorEastAsia" w:cstheme="minorEastAsia"/>
          <w:color w:val="auto"/>
          <w:spacing w:val="-7"/>
          <w:sz w:val="24"/>
          <w:szCs w:val="24"/>
          <w:highlight w:val="none"/>
          <w:lang w:val="en-US" w:eastAsia="zh-CN"/>
        </w:rPr>
        <w:t>2026</w:t>
      </w:r>
      <w:r>
        <w:rPr>
          <w:rFonts w:hint="eastAsia" w:asciiTheme="minorEastAsia" w:hAnsiTheme="minorEastAsia" w:eastAsiaTheme="minorEastAsia" w:cstheme="minorEastAsia"/>
          <w:color w:val="auto"/>
          <w:spacing w:val="-6"/>
          <w:sz w:val="24"/>
          <w:szCs w:val="24"/>
          <w:highlight w:val="none"/>
        </w:rPr>
        <w:t>年</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月</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日</w:t>
      </w:r>
      <w:r>
        <w:rPr>
          <w:rFonts w:hint="eastAsia" w:asciiTheme="minorEastAsia" w:hAnsiTheme="minorEastAsia" w:eastAsiaTheme="minorEastAsia" w:cstheme="minorEastAsia"/>
          <w:color w:val="auto"/>
          <w:spacing w:val="-7"/>
          <w:sz w:val="24"/>
          <w:szCs w:val="24"/>
          <w:highlight w:val="none"/>
        </w:rPr>
        <w:t>1</w:t>
      </w:r>
      <w:r>
        <w:rPr>
          <w:rFonts w:hint="eastAsia" w:asciiTheme="minorEastAsia" w:hAnsiTheme="minorEastAsia" w:eastAsiaTheme="minorEastAsia" w:cstheme="minorEastAsia"/>
          <w:color w:val="auto"/>
          <w:spacing w:val="-7"/>
          <w:sz w:val="24"/>
          <w:szCs w:val="24"/>
          <w:highlight w:val="none"/>
          <w:lang w:val="en-US" w:eastAsia="zh-CN"/>
        </w:rPr>
        <w:t>4</w:t>
      </w:r>
      <w:r>
        <w:rPr>
          <w:rFonts w:hint="eastAsia" w:asciiTheme="minorEastAsia" w:hAnsiTheme="minorEastAsia" w:eastAsiaTheme="minorEastAsia" w:cstheme="minorEastAsia"/>
          <w:color w:val="auto"/>
          <w:spacing w:val="-7"/>
          <w:sz w:val="24"/>
          <w:szCs w:val="24"/>
          <w:highlight w:val="none"/>
        </w:rPr>
        <w:t>:00</w:t>
      </w:r>
      <w:r>
        <w:rPr>
          <w:rFonts w:hint="eastAsia" w:asciiTheme="minorEastAsia" w:hAnsiTheme="minorEastAsia" w:eastAsiaTheme="minorEastAsia" w:cstheme="minorEastAsia"/>
          <w:color w:val="auto"/>
          <w:spacing w:val="-7"/>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rPr>
        <w:t>北京时间</w:t>
      </w:r>
      <w:r>
        <w:rPr>
          <w:rFonts w:hint="eastAsia" w:asciiTheme="minorEastAsia" w:hAnsiTheme="minorEastAsia" w:eastAsiaTheme="minorEastAsia" w:cstheme="minorEastAsia"/>
          <w:color w:val="auto"/>
          <w:spacing w:val="-7"/>
          <w:sz w:val="24"/>
          <w:szCs w:val="24"/>
          <w:highlight w:val="none"/>
          <w:lang w:eastAsia="zh-CN"/>
        </w:rPr>
        <w:t>）</w:t>
      </w:r>
    </w:p>
    <w:p w14:paraId="1FE73495">
      <w:pPr>
        <w:pStyle w:val="22"/>
        <w:pageBreakBefore w:val="0"/>
        <w:kinsoku/>
        <w:wordWrap/>
        <w:overflowPunct/>
        <w:topLinePunct w:val="0"/>
        <w:autoSpaceDE/>
        <w:autoSpaceDN/>
        <w:bidi w:val="0"/>
        <w:spacing w:line="400" w:lineRule="exact"/>
        <w:ind w:left="0" w:leftChars="0" w:right="0" w:firstLine="484" w:firstLineChars="200"/>
        <w:textAlignment w:val="auto"/>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3</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1"/>
          <w:sz w:val="24"/>
          <w:szCs w:val="24"/>
          <w:highlight w:val="none"/>
          <w:lang w:val="en-US" w:eastAsia="zh-CN"/>
        </w:rPr>
        <w:t>磋商</w:t>
      </w:r>
      <w:r>
        <w:rPr>
          <w:rFonts w:hint="eastAsia" w:asciiTheme="minorEastAsia" w:hAnsiTheme="minorEastAsia" w:eastAsiaTheme="minorEastAsia" w:cstheme="minorEastAsia"/>
          <w:color w:val="auto"/>
          <w:spacing w:val="1"/>
          <w:sz w:val="24"/>
          <w:szCs w:val="24"/>
          <w:highlight w:val="none"/>
        </w:rPr>
        <w:t>地点：</w:t>
      </w:r>
      <w:r>
        <w:rPr>
          <w:rFonts w:hint="eastAsia" w:asciiTheme="minorEastAsia" w:hAnsiTheme="minorEastAsia" w:eastAsiaTheme="minorEastAsia" w:cstheme="minorEastAsia"/>
          <w:color w:val="auto"/>
          <w:spacing w:val="1"/>
          <w:sz w:val="24"/>
          <w:szCs w:val="24"/>
          <w:highlight w:val="none"/>
          <w:lang w:eastAsia="zh-CN"/>
        </w:rPr>
        <w:t>重庆翊博项目管理有限公司</w:t>
      </w:r>
      <w:r>
        <w:rPr>
          <w:rFonts w:hint="eastAsia" w:asciiTheme="minorEastAsia" w:hAnsiTheme="minorEastAsia" w:eastAsiaTheme="minorEastAsia" w:cstheme="minorEastAsia"/>
          <w:color w:val="auto"/>
          <w:spacing w:val="1"/>
          <w:sz w:val="24"/>
          <w:szCs w:val="24"/>
          <w:highlight w:val="none"/>
        </w:rPr>
        <w:t>开标室（地址：</w:t>
      </w:r>
      <w:r>
        <w:rPr>
          <w:rFonts w:hint="eastAsia" w:asciiTheme="minorEastAsia" w:hAnsiTheme="minorEastAsia" w:eastAsiaTheme="minorEastAsia" w:cstheme="minorEastAsia"/>
          <w:color w:val="auto"/>
          <w:spacing w:val="1"/>
          <w:sz w:val="24"/>
          <w:szCs w:val="24"/>
          <w:highlight w:val="none"/>
          <w:lang w:eastAsia="zh-CN"/>
        </w:rPr>
        <w:t xml:space="preserve">重庆市大足区棠香街道棠凤路409号2-12 </w:t>
      </w:r>
      <w:r>
        <w:rPr>
          <w:rFonts w:hint="eastAsia" w:asciiTheme="minorEastAsia" w:hAnsiTheme="minorEastAsia" w:eastAsiaTheme="minorEastAsia" w:cstheme="minorEastAsia"/>
          <w:color w:val="auto"/>
          <w:spacing w:val="-4"/>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rPr>
        <w:t>。</w:t>
      </w:r>
    </w:p>
    <w:p w14:paraId="4DD9DE56">
      <w:pPr>
        <w:pageBreakBefore w:val="0"/>
        <w:kinsoku/>
        <w:wordWrap/>
        <w:overflowPunct/>
        <w:topLinePunct w:val="0"/>
        <w:autoSpaceDE/>
        <w:autoSpaceDN/>
        <w:bidi w:val="0"/>
        <w:snapToGrid w:val="0"/>
        <w:spacing w:line="400" w:lineRule="exact"/>
        <w:ind w:left="0" w:leftChars="0" w:right="0" w:firstLine="484" w:firstLineChars="200"/>
        <w:textAlignment w:val="auto"/>
        <w:rPr>
          <w:rFonts w:hint="eastAsia" w:asciiTheme="minorEastAsia" w:hAnsiTheme="minorEastAsia" w:eastAsiaTheme="minorEastAsia" w:cstheme="minorEastAsia"/>
          <w:color w:val="auto"/>
          <w:spacing w:val="1"/>
          <w:kern w:val="2"/>
          <w:sz w:val="24"/>
          <w:szCs w:val="24"/>
          <w:highlight w:val="none"/>
          <w:lang w:val="en-US" w:eastAsia="zh-CN" w:bidi="ar-SA"/>
        </w:rPr>
      </w:pPr>
      <w:r>
        <w:rPr>
          <w:rFonts w:hint="eastAsia" w:asciiTheme="minorEastAsia" w:hAnsiTheme="minorEastAsia" w:eastAsiaTheme="minorEastAsia" w:cstheme="minorEastAsia"/>
          <w:color w:val="auto"/>
          <w:spacing w:val="1"/>
          <w:kern w:val="2"/>
          <w:sz w:val="24"/>
          <w:szCs w:val="24"/>
          <w:highlight w:val="none"/>
          <w:lang w:val="en-US" w:eastAsia="zh-CN" w:bidi="ar-SA"/>
        </w:rPr>
        <w:t>注：供应商须满足以下两种要件，其响应文件才被接受：</w:t>
      </w:r>
    </w:p>
    <w:p w14:paraId="31A834F6">
      <w:pPr>
        <w:pageBreakBefore w:val="0"/>
        <w:kinsoku/>
        <w:wordWrap/>
        <w:overflowPunct/>
        <w:topLinePunct w:val="0"/>
        <w:autoSpaceDE/>
        <w:autoSpaceDN/>
        <w:bidi w:val="0"/>
        <w:snapToGrid w:val="0"/>
        <w:spacing w:line="400" w:lineRule="exact"/>
        <w:ind w:left="0" w:leftChars="0" w:right="0" w:firstLine="484" w:firstLineChars="200"/>
        <w:textAlignment w:val="auto"/>
        <w:rPr>
          <w:rFonts w:hint="eastAsia" w:asciiTheme="minorEastAsia" w:hAnsiTheme="minorEastAsia" w:eastAsiaTheme="minorEastAsia" w:cstheme="minorEastAsia"/>
          <w:color w:val="auto"/>
          <w:spacing w:val="1"/>
          <w:kern w:val="2"/>
          <w:sz w:val="24"/>
          <w:szCs w:val="24"/>
          <w:highlight w:val="none"/>
          <w:lang w:val="en-US" w:eastAsia="zh-CN" w:bidi="ar-SA"/>
        </w:rPr>
      </w:pPr>
      <w:r>
        <w:rPr>
          <w:rFonts w:hint="eastAsia" w:asciiTheme="minorEastAsia" w:hAnsiTheme="minorEastAsia" w:eastAsiaTheme="minorEastAsia" w:cstheme="minorEastAsia"/>
          <w:color w:val="auto"/>
          <w:spacing w:val="1"/>
          <w:kern w:val="2"/>
          <w:sz w:val="24"/>
          <w:szCs w:val="24"/>
          <w:highlight w:val="none"/>
          <w:lang w:val="en-US" w:eastAsia="zh-CN" w:bidi="ar-SA"/>
        </w:rPr>
        <w:t>1.在采购文件发售期内，按时间要求将《文件发售登记表》（详见附件1）（加盖供</w:t>
      </w:r>
    </w:p>
    <w:p w14:paraId="1C9DD12C">
      <w:pPr>
        <w:pageBreakBefore w:val="0"/>
        <w:kinsoku/>
        <w:wordWrap/>
        <w:overflowPunct/>
        <w:topLinePunct w:val="0"/>
        <w:autoSpaceDE/>
        <w:autoSpaceDN/>
        <w:bidi w:val="0"/>
        <w:snapToGrid w:val="0"/>
        <w:spacing w:line="400" w:lineRule="exact"/>
        <w:ind w:left="0" w:leftChars="0" w:right="0" w:firstLine="484" w:firstLineChars="200"/>
        <w:textAlignment w:val="auto"/>
        <w:rPr>
          <w:rFonts w:hint="eastAsia" w:asciiTheme="minorEastAsia" w:hAnsiTheme="minorEastAsia" w:eastAsiaTheme="minorEastAsia" w:cstheme="minorEastAsia"/>
          <w:color w:val="auto"/>
          <w:spacing w:val="1"/>
          <w:kern w:val="2"/>
          <w:sz w:val="24"/>
          <w:szCs w:val="24"/>
          <w:highlight w:val="none"/>
          <w:lang w:val="en-US" w:eastAsia="zh-CN" w:bidi="ar-SA"/>
        </w:rPr>
      </w:pPr>
      <w:r>
        <w:rPr>
          <w:rFonts w:hint="eastAsia" w:asciiTheme="minorEastAsia" w:hAnsiTheme="minorEastAsia" w:eastAsiaTheme="minorEastAsia" w:cstheme="minorEastAsia"/>
          <w:color w:val="auto"/>
          <w:spacing w:val="1"/>
          <w:kern w:val="2"/>
          <w:sz w:val="24"/>
          <w:szCs w:val="24"/>
          <w:highlight w:val="none"/>
          <w:lang w:val="en-US" w:eastAsia="zh-CN" w:bidi="ar-SA"/>
        </w:rPr>
        <w:t>应商公章）递交至代理公司工作人员。</w:t>
      </w:r>
    </w:p>
    <w:p w14:paraId="462D4C63">
      <w:pPr>
        <w:pageBreakBefore w:val="0"/>
        <w:kinsoku/>
        <w:wordWrap/>
        <w:overflowPunct/>
        <w:topLinePunct w:val="0"/>
        <w:autoSpaceDE/>
        <w:autoSpaceDN/>
        <w:bidi w:val="0"/>
        <w:snapToGrid w:val="0"/>
        <w:spacing w:line="400" w:lineRule="exact"/>
        <w:ind w:left="0" w:leftChars="0" w:right="0" w:firstLine="484" w:firstLineChars="200"/>
        <w:textAlignment w:val="auto"/>
        <w:rPr>
          <w:rFonts w:hint="eastAsia" w:asciiTheme="minorEastAsia" w:hAnsiTheme="minorEastAsia" w:eastAsiaTheme="minorEastAsia" w:cstheme="minorEastAsia"/>
          <w:color w:val="auto"/>
          <w:spacing w:val="1"/>
          <w:kern w:val="2"/>
          <w:sz w:val="24"/>
          <w:szCs w:val="24"/>
          <w:highlight w:val="none"/>
          <w:lang w:val="en-US" w:eastAsia="zh-CN" w:bidi="ar-SA"/>
        </w:rPr>
      </w:pPr>
      <w:r>
        <w:rPr>
          <w:rFonts w:hint="eastAsia" w:asciiTheme="minorEastAsia" w:hAnsiTheme="minorEastAsia" w:eastAsiaTheme="minorEastAsia" w:cstheme="minorEastAsia"/>
          <w:color w:val="auto"/>
          <w:spacing w:val="1"/>
          <w:kern w:val="2"/>
          <w:sz w:val="24"/>
          <w:szCs w:val="24"/>
          <w:highlight w:val="none"/>
          <w:lang w:val="en-US" w:eastAsia="zh-CN" w:bidi="ar-SA"/>
        </w:rPr>
        <w:t>2.按时在磋商地点递交了纸质版响应文件。</w:t>
      </w:r>
    </w:p>
    <w:p w14:paraId="5FA30F21">
      <w:pPr>
        <w:pageBreakBefore w:val="0"/>
        <w:kinsoku/>
        <w:wordWrap/>
        <w:overflowPunct/>
        <w:topLinePunct w:val="0"/>
        <w:autoSpaceDE/>
        <w:autoSpaceDN/>
        <w:bidi w:val="0"/>
        <w:snapToGrid w:val="0"/>
        <w:spacing w:line="400" w:lineRule="exact"/>
        <w:ind w:left="0" w:leftChars="0" w:right="0" w:firstLine="484" w:firstLineChars="200"/>
        <w:textAlignment w:val="auto"/>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1"/>
          <w:kern w:val="2"/>
          <w:sz w:val="24"/>
          <w:szCs w:val="24"/>
          <w:highlight w:val="none"/>
          <w:lang w:val="en-US" w:eastAsia="zh-CN" w:bidi="ar-SA"/>
        </w:rPr>
        <w:t>注：未按以上要求递交相关资料的供应商，将无法成为成交供应商。</w:t>
      </w:r>
    </w:p>
    <w:p w14:paraId="249E9073">
      <w:pPr>
        <w:pStyle w:val="22"/>
        <w:pageBreakBefore w:val="0"/>
        <w:kinsoku/>
        <w:wordWrap/>
        <w:overflowPunct/>
        <w:topLinePunct w:val="0"/>
        <w:autoSpaceDE/>
        <w:autoSpaceDN/>
        <w:bidi w:val="0"/>
        <w:spacing w:line="400" w:lineRule="exact"/>
        <w:ind w:left="0" w:leftChars="0" w:right="0" w:firstLine="468"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3"/>
          <w:sz w:val="24"/>
          <w:szCs w:val="24"/>
          <w:highlight w:val="none"/>
          <w:lang w:eastAsia="zh-CN"/>
        </w:rPr>
        <w:t>六）磋商保证金：</w:t>
      </w:r>
      <w:r>
        <w:rPr>
          <w:rFonts w:hint="eastAsia" w:asciiTheme="minorEastAsia" w:hAnsiTheme="minorEastAsia" w:eastAsiaTheme="minorEastAsia" w:cstheme="minorEastAsia"/>
          <w:color w:val="auto"/>
          <w:spacing w:val="-3"/>
          <w:sz w:val="24"/>
          <w:szCs w:val="24"/>
          <w:highlight w:val="none"/>
          <w:lang w:val="en-US" w:eastAsia="zh-CN"/>
        </w:rPr>
        <w:t>无</w:t>
      </w:r>
    </w:p>
    <w:p w14:paraId="128AE370">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rPr>
      </w:pPr>
      <w:bookmarkStart w:id="5" w:name="_Toc17858"/>
      <w:bookmarkStart w:id="6" w:name="_Toc7526"/>
      <w:bookmarkStart w:id="7" w:name="_Toc600"/>
      <w:r>
        <w:rPr>
          <w:rFonts w:hint="eastAsia" w:asciiTheme="minorEastAsia" w:hAnsiTheme="minorEastAsia" w:eastAsiaTheme="minorEastAsia" w:cstheme="minorEastAsia"/>
          <w:b/>
          <w:color w:val="auto"/>
          <w:sz w:val="24"/>
          <w:highlight w:val="none"/>
          <w:lang w:eastAsia="zh-CN"/>
        </w:rPr>
        <w:t>五</w:t>
      </w:r>
      <w:r>
        <w:rPr>
          <w:rFonts w:hint="eastAsia" w:asciiTheme="minorEastAsia" w:hAnsiTheme="minorEastAsia" w:eastAsiaTheme="minorEastAsia" w:cstheme="minorEastAsia"/>
          <w:b/>
          <w:color w:val="auto"/>
          <w:sz w:val="24"/>
          <w:highlight w:val="none"/>
        </w:rPr>
        <w:t>、其他有关规定</w:t>
      </w:r>
      <w:bookmarkEnd w:id="5"/>
      <w:bookmarkEnd w:id="6"/>
      <w:bookmarkEnd w:id="7"/>
    </w:p>
    <w:p w14:paraId="678128F3">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bookmarkStart w:id="8" w:name="_Toc13410"/>
      <w:bookmarkStart w:id="9" w:name="_Toc27383"/>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单位负责人为同一人或者存在直接控股、管理关系的不同供应商，不得参加同一合同项（包</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下的采购活动，否则均为无效响应。</w:t>
      </w:r>
    </w:p>
    <w:p w14:paraId="42FBA39C">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（二）本项目允许总公司或经总公司授权的分公司参加磋商。(分公司参与磋商的</w:t>
      </w:r>
      <w:r>
        <w:rPr>
          <w:rFonts w:hint="eastAsia" w:asciiTheme="minorEastAsia" w:hAnsiTheme="minorEastAsia" w:eastAsiaTheme="minorEastAsia" w:cstheme="minorEastAsia"/>
          <w:color w:val="auto"/>
          <w:sz w:val="24"/>
          <w:szCs w:val="24"/>
          <w:highlight w:val="none"/>
          <w:lang w:val="en-US" w:eastAsia="zh-CN"/>
        </w:rPr>
        <w:t>应</w:t>
      </w:r>
      <w:r>
        <w:rPr>
          <w:rFonts w:hint="eastAsia" w:asciiTheme="minorEastAsia" w:hAnsiTheme="minorEastAsia" w:eastAsiaTheme="minorEastAsia" w:cstheme="minorEastAsia"/>
          <w:color w:val="auto"/>
          <w:sz w:val="24"/>
          <w:szCs w:val="24"/>
          <w:highlight w:val="none"/>
        </w:rPr>
        <w:t>提供总公司授权书</w:t>
      </w:r>
      <w:r>
        <w:rPr>
          <w:rFonts w:hint="eastAsia" w:asciiTheme="minorEastAsia" w:hAnsiTheme="minorEastAsia" w:eastAsiaTheme="minorEastAsia" w:cstheme="minorEastAsia"/>
          <w:color w:val="auto"/>
          <w:sz w:val="24"/>
          <w:szCs w:val="24"/>
          <w:highlight w:val="none"/>
          <w:lang w:val="en-US" w:eastAsia="zh-CN"/>
        </w:rPr>
        <w:t>原件或复印件</w:t>
      </w:r>
      <w:r>
        <w:rPr>
          <w:rFonts w:hint="eastAsia" w:asciiTheme="minorEastAsia" w:hAnsiTheme="minorEastAsia" w:eastAsiaTheme="minorEastAsia" w:cstheme="minorEastAsia"/>
          <w:color w:val="auto"/>
          <w:sz w:val="24"/>
          <w:szCs w:val="24"/>
          <w:highlight w:val="none"/>
        </w:rPr>
        <w:t>）。若供应商为总公司授权的分公司参与磋商的，只接受总公司授权的一家分公司参与磋商，若授权多家分公司参与磋商的，被授权的所有分公司均为无效响应。授权分公司参与磋商的，本招标文件要求“法人”、“供应商”或“法定代表人”的地方，可以为被授权分公司的相关证照或者单位负责人的相关委托或签署或盖章。</w:t>
      </w:r>
    </w:p>
    <w:p w14:paraId="4F7338FF">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为采购项目提供整体设计、规范编制或者项目管理、监理、检测等服务的供应商，不得再参加该采购项目的其他采购活动。</w:t>
      </w:r>
    </w:p>
    <w:p w14:paraId="7ABF2B04">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本项目的澄清文件（如果有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一律在</w:t>
      </w:r>
      <w:r>
        <w:rPr>
          <w:rFonts w:hint="eastAsia" w:asciiTheme="minorEastAsia" w:hAnsiTheme="minorEastAsia" w:eastAsiaTheme="minorEastAsia" w:cstheme="minorEastAsia"/>
          <w:color w:val="auto"/>
          <w:sz w:val="24"/>
          <w:szCs w:val="24"/>
          <w:highlight w:val="none"/>
          <w:lang w:eastAsia="zh-CN"/>
        </w:rPr>
        <w:t>行采家（http://www.gec123.com）</w:t>
      </w:r>
      <w:r>
        <w:rPr>
          <w:rFonts w:hint="eastAsia" w:asciiTheme="minorEastAsia" w:hAnsiTheme="minorEastAsia" w:eastAsiaTheme="minorEastAsia" w:cstheme="minorEastAsia"/>
          <w:color w:val="auto"/>
          <w:sz w:val="24"/>
          <w:szCs w:val="24"/>
          <w:highlight w:val="none"/>
        </w:rPr>
        <w:t>上发布，请各供应商注意下载或到采购代理机构领取；无论供应商下载或领取与否，均视同供应商已知晓本项目澄清文件（如果有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的内容。</w:t>
      </w:r>
    </w:p>
    <w:p w14:paraId="40D1AC4B">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超过响应文件截止时间递交的响应文件，恕不接收。</w:t>
      </w:r>
    </w:p>
    <w:p w14:paraId="0083DF19">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磋商费用：无论磋商结果如何，供应商参与本项目磋商的所有费用均应由供应商自行承担。</w:t>
      </w:r>
    </w:p>
    <w:p w14:paraId="441543CB">
      <w:pPr>
        <w:pageBreakBefore w:val="0"/>
        <w:kinsoku/>
        <w:wordWrap/>
        <w:overflowPunct/>
        <w:topLinePunct w:val="0"/>
        <w:autoSpaceDE/>
        <w:autoSpaceDN/>
        <w:bidi w:val="0"/>
        <w:spacing w:line="400" w:lineRule="exact"/>
        <w:ind w:left="0" w:leftChars="0" w:right="0" w:rightChars="0"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七</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本项目不接受联合体参与磋商。</w:t>
      </w:r>
    </w:p>
    <w:p w14:paraId="1BD94D6B">
      <w:pPr>
        <w:pageBreakBefore w:val="0"/>
        <w:kinsoku/>
        <w:wordWrap/>
        <w:overflowPunct/>
        <w:topLinePunct w:val="0"/>
        <w:autoSpaceDE/>
        <w:autoSpaceDN/>
        <w:bidi w:val="0"/>
        <w:spacing w:line="400" w:lineRule="exact"/>
        <w:ind w:left="0" w:leftChars="0" w:right="0" w:rightChars="0" w:firstLine="482"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八</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本项目不接受合同分包。</w:t>
      </w:r>
    </w:p>
    <w:p w14:paraId="43576A1D">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2DBB1439">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lang w:eastAsia="zh-CN"/>
        </w:rPr>
      </w:pPr>
      <w:bookmarkStart w:id="10" w:name="_Toc4409"/>
      <w:r>
        <w:rPr>
          <w:rFonts w:hint="eastAsia" w:asciiTheme="minorEastAsia" w:hAnsiTheme="minorEastAsia" w:eastAsiaTheme="minorEastAsia" w:cstheme="minorEastAsia"/>
          <w:b/>
          <w:color w:val="auto"/>
          <w:sz w:val="24"/>
          <w:highlight w:val="none"/>
          <w:lang w:eastAsia="zh-CN"/>
        </w:rPr>
        <w:t>六、现场踏勘</w:t>
      </w:r>
      <w:bookmarkEnd w:id="8"/>
      <w:bookmarkEnd w:id="9"/>
      <w:bookmarkEnd w:id="10"/>
    </w:p>
    <w:p w14:paraId="440D8B77">
      <w:pPr>
        <w:pageBreakBefore w:val="0"/>
        <w:kinsoku/>
        <w:wordWrap/>
        <w:overflowPunct/>
        <w:topLinePunct w:val="0"/>
        <w:autoSpaceDE/>
        <w:autoSpaceDN/>
        <w:bidi w:val="0"/>
        <w:spacing w:line="400" w:lineRule="exact"/>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为减少相关误差，如潜在</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rPr>
        <w:t>需要进行现场踏勘的，请自行组织踏勘。</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对考察中获取的现场资料负责，无论是否踏勘过现场，均被认为已经对现场做过充分详实了解，并在投标文件中已充分考虑了现场和环境因素。踏勘现场所发生的费用由</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自行承担。</w:t>
      </w:r>
    </w:p>
    <w:p w14:paraId="5AC4980D">
      <w:pPr>
        <w:pStyle w:val="3"/>
        <w:pageBreakBefore w:val="0"/>
        <w:kinsoku/>
        <w:wordWrap/>
        <w:overflowPunct/>
        <w:topLinePunct w:val="0"/>
        <w:autoSpaceDE/>
        <w:autoSpaceDN/>
        <w:bidi w:val="0"/>
        <w:spacing w:line="400" w:lineRule="exact"/>
        <w:ind w:left="0" w:leftChars="0" w:right="0" w:firstLine="482" w:firstLineChars="200"/>
        <w:textAlignment w:val="auto"/>
        <w:rPr>
          <w:rFonts w:hint="eastAsia" w:asciiTheme="minorEastAsia" w:hAnsiTheme="minorEastAsia" w:eastAsiaTheme="minorEastAsia" w:cstheme="minorEastAsia"/>
          <w:b/>
          <w:color w:val="auto"/>
          <w:sz w:val="24"/>
          <w:highlight w:val="none"/>
          <w:lang w:eastAsia="zh-CN"/>
        </w:rPr>
      </w:pPr>
      <w:bookmarkStart w:id="11" w:name="_Toc21279"/>
      <w:r>
        <w:rPr>
          <w:rFonts w:hint="eastAsia" w:asciiTheme="minorEastAsia" w:hAnsiTheme="minorEastAsia" w:eastAsiaTheme="minorEastAsia" w:cstheme="minorEastAsia"/>
          <w:b/>
          <w:color w:val="auto"/>
          <w:sz w:val="24"/>
          <w:highlight w:val="none"/>
          <w:lang w:eastAsia="zh-CN"/>
        </w:rPr>
        <w:t>七、联系方式</w:t>
      </w:r>
      <w:bookmarkEnd w:id="11"/>
    </w:p>
    <w:p w14:paraId="0703C530">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采购人：</w:t>
      </w:r>
      <w:r>
        <w:rPr>
          <w:rFonts w:hint="eastAsia" w:asciiTheme="minorEastAsia" w:hAnsiTheme="minorEastAsia" w:eastAsiaTheme="minorEastAsia" w:cstheme="minorEastAsia"/>
          <w:color w:val="auto"/>
          <w:sz w:val="24"/>
          <w:szCs w:val="24"/>
          <w:highlight w:val="none"/>
          <w:lang w:eastAsia="zh-CN"/>
        </w:rPr>
        <w:t>大足石刻研究院</w:t>
      </w:r>
    </w:p>
    <w:p w14:paraId="2508511B">
      <w:pPr>
        <w:pageBreakBefore w:val="0"/>
        <w:kinsoku/>
        <w:wordWrap/>
        <w:overflowPunct/>
        <w:topLinePunct w:val="0"/>
        <w:autoSpaceDE/>
        <w:autoSpaceDN/>
        <w:bidi w:val="0"/>
        <w:spacing w:line="400" w:lineRule="exact"/>
        <w:ind w:left="0" w:leftChars="0" w:right="0" w:firstLine="480" w:firstLineChars="20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联系人：石老师</w:t>
      </w:r>
    </w:p>
    <w:p w14:paraId="15660943">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电  话：17835061886</w:t>
      </w:r>
    </w:p>
    <w:p w14:paraId="2DEC816D">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地  址：重庆市大足区龙岗街道北山路7号</w:t>
      </w:r>
    </w:p>
    <w:p w14:paraId="7B95702E">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p>
    <w:p w14:paraId="2554B7FE">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采购代理机构：</w:t>
      </w:r>
      <w:r>
        <w:rPr>
          <w:rFonts w:hint="eastAsia" w:asciiTheme="minorEastAsia" w:hAnsiTheme="minorEastAsia" w:eastAsiaTheme="minorEastAsia" w:cstheme="minorEastAsia"/>
          <w:color w:val="auto"/>
          <w:spacing w:val="1"/>
          <w:sz w:val="24"/>
          <w:szCs w:val="24"/>
          <w:highlight w:val="none"/>
          <w:lang w:eastAsia="zh-CN"/>
        </w:rPr>
        <w:t>重庆翊博项目管理有限公司</w:t>
      </w:r>
    </w:p>
    <w:p w14:paraId="5C461B41">
      <w:pPr>
        <w:pageBreakBefore w:val="0"/>
        <w:kinsoku/>
        <w:wordWrap/>
        <w:overflowPunct/>
        <w:topLinePunct w:val="0"/>
        <w:autoSpaceDE/>
        <w:autoSpaceDN/>
        <w:bidi w:val="0"/>
        <w:snapToGrid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eastAsia="zh-CN"/>
        </w:rPr>
        <w:t>徐老师</w:t>
      </w:r>
    </w:p>
    <w:p w14:paraId="4EF408A4">
      <w:pPr>
        <w:pageBreakBefore w:val="0"/>
        <w:kinsoku/>
        <w:wordWrap/>
        <w:overflowPunct/>
        <w:topLinePunct w:val="0"/>
        <w:autoSpaceDE/>
        <w:autoSpaceDN/>
        <w:bidi w:val="0"/>
        <w:snapToGrid w:val="0"/>
        <w:spacing w:line="400" w:lineRule="exact"/>
        <w:ind w:left="0" w:leftChars="0" w:right="0"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lang w:val="en-US" w:eastAsia="zh-CN"/>
        </w:rPr>
        <w:t>15086928149</w:t>
      </w:r>
    </w:p>
    <w:p w14:paraId="69FD7890">
      <w:pPr>
        <w:pStyle w:val="230"/>
        <w:pageBreakBefore w:val="0"/>
        <w:kinsoku/>
        <w:wordWrap/>
        <w:overflowPunct/>
        <w:topLinePunct w:val="0"/>
        <w:autoSpaceDE/>
        <w:autoSpaceDN/>
        <w:bidi w:val="0"/>
        <w:spacing w:line="400" w:lineRule="exact"/>
        <w:ind w:left="0" w:leftChars="0" w:right="0" w:firstLine="480" w:firstLineChars="200"/>
        <w:textAlignment w:val="auto"/>
        <w:rPr>
          <w:rFonts w:hint="eastAsia" w:asciiTheme="minorEastAsia" w:hAnsiTheme="minorEastAsia" w:eastAsiaTheme="minorEastAsia" w:cstheme="minorEastAsia"/>
          <w:color w:val="auto"/>
          <w:sz w:val="24"/>
          <w:szCs w:val="24"/>
          <w:highlight w:val="none"/>
          <w:lang w:eastAsia="zh-CN"/>
        </w:rPr>
        <w:sectPr>
          <w:footerReference r:id="rId7" w:type="default"/>
          <w:pgSz w:w="11907" w:h="16840"/>
          <w:pgMar w:top="1417" w:right="1134" w:bottom="1417" w:left="1417" w:header="0" w:footer="993" w:gutter="0"/>
          <w:pgNumType w:fmt="decimal" w:start="1"/>
          <w:cols w:space="720" w:num="1"/>
        </w:sect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lang w:eastAsia="zh-CN"/>
        </w:rPr>
        <w:t xml:space="preserve">重庆市大足区棠香街道棠凤路409号2-12 </w:t>
      </w:r>
    </w:p>
    <w:p w14:paraId="1CED4FCE">
      <w:pPr>
        <w:pStyle w:val="2"/>
        <w:bidi w:val="0"/>
        <w:rPr>
          <w:rFonts w:hint="default" w:asciiTheme="minorEastAsia" w:hAnsiTheme="minorEastAsia" w:eastAsiaTheme="minorEastAsia" w:cstheme="minorEastAsia"/>
          <w:color w:val="auto"/>
          <w:sz w:val="24"/>
          <w:szCs w:val="24"/>
          <w:highlight w:val="none"/>
          <w:lang w:val="en-US" w:eastAsia="zh-CN"/>
        </w:rPr>
      </w:pPr>
      <w:bookmarkStart w:id="12" w:name="_Toc19904"/>
      <w:bookmarkStart w:id="13" w:name="_Toc15659"/>
      <w:r>
        <w:rPr>
          <w:rFonts w:hint="eastAsia"/>
          <w:color w:val="auto"/>
          <w:highlight w:val="none"/>
          <w:lang w:eastAsia="zh-CN"/>
        </w:rPr>
        <w:t>第二篇</w:t>
      </w:r>
      <w:r>
        <w:rPr>
          <w:rFonts w:hint="eastAsia"/>
          <w:color w:val="auto"/>
          <w:highlight w:val="none"/>
          <w:lang w:val="en-US" w:eastAsia="zh-CN"/>
        </w:rPr>
        <w:t xml:space="preserve"> </w:t>
      </w:r>
      <w:r>
        <w:rPr>
          <w:rFonts w:hint="eastAsia"/>
          <w:color w:val="auto"/>
          <w:highlight w:val="none"/>
        </w:rPr>
        <w:t>项目</w:t>
      </w:r>
      <w:r>
        <w:rPr>
          <w:rFonts w:hint="eastAsia"/>
          <w:color w:val="auto"/>
          <w:highlight w:val="none"/>
          <w:lang w:val="en-US" w:eastAsia="zh-CN"/>
        </w:rPr>
        <w:t>服务需</w:t>
      </w:r>
      <w:r>
        <w:rPr>
          <w:rFonts w:hint="eastAsia"/>
          <w:color w:val="auto"/>
          <w:highlight w:val="none"/>
        </w:rPr>
        <w:t>求</w:t>
      </w:r>
      <w:bookmarkEnd w:id="12"/>
      <w:bookmarkEnd w:id="13"/>
    </w:p>
    <w:p w14:paraId="381E06CF">
      <w:pPr>
        <w:pStyle w:val="3"/>
        <w:spacing w:line="400" w:lineRule="exact"/>
        <w:ind w:firstLine="482" w:firstLineChars="200"/>
        <w:outlineLvl w:val="0"/>
        <w:rPr>
          <w:rFonts w:hint="eastAsia" w:ascii="宋体" w:hAnsi="宋体" w:eastAsia="宋体" w:cs="宋体"/>
          <w:b/>
          <w:sz w:val="24"/>
          <w:highlight w:val="none"/>
        </w:rPr>
      </w:pPr>
      <w:bookmarkStart w:id="14" w:name="_Toc9668"/>
      <w:bookmarkStart w:id="15" w:name="_Toc21841"/>
      <w:bookmarkStart w:id="16" w:name="_Toc21706"/>
      <w:bookmarkStart w:id="17" w:name="_Toc9970"/>
      <w:bookmarkStart w:id="18" w:name="_Toc7775"/>
      <w:bookmarkStart w:id="19" w:name="_Toc22910"/>
      <w:bookmarkStart w:id="20" w:name="_Toc106030506"/>
      <w:bookmarkStart w:id="21" w:name="_Toc75793505"/>
      <w:bookmarkStart w:id="22" w:name="_Toc20149"/>
      <w:bookmarkStart w:id="23" w:name="_Toc4913"/>
      <w:bookmarkStart w:id="24" w:name="_Toc11703"/>
      <w:bookmarkStart w:id="25" w:name="_Toc29985"/>
      <w:bookmarkStart w:id="26" w:name="_Toc16789"/>
      <w:bookmarkStart w:id="27" w:name="_Toc4531"/>
      <w:bookmarkStart w:id="28" w:name="_Toc4519"/>
      <w:bookmarkStart w:id="29" w:name="_Toc7027"/>
      <w:bookmarkStart w:id="30" w:name="_Toc786"/>
      <w:bookmarkStart w:id="31" w:name="_Toc11177"/>
      <w:bookmarkStart w:id="32" w:name="_Toc22588"/>
      <w:bookmarkStart w:id="33" w:name="_Toc19238"/>
      <w:bookmarkStart w:id="34" w:name="_Toc8370"/>
      <w:bookmarkStart w:id="35" w:name="_Toc20979"/>
      <w:bookmarkStart w:id="36" w:name="_Toc23656"/>
      <w:r>
        <w:rPr>
          <w:rFonts w:hint="eastAsia" w:ascii="宋体" w:hAnsi="宋体" w:eastAsia="宋体" w:cs="宋体"/>
          <w:b/>
          <w:sz w:val="24"/>
          <w:highlight w:val="none"/>
        </w:rPr>
        <w:t>一、项目一览表</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tbl>
      <w:tblPr>
        <w:tblStyle w:val="58"/>
        <w:tblW w:w="8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4060"/>
        <w:gridCol w:w="1469"/>
        <w:gridCol w:w="1560"/>
      </w:tblGrid>
      <w:tr w14:paraId="63D1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85" w:type="dxa"/>
            <w:noWrap w:val="0"/>
            <w:vAlign w:val="center"/>
          </w:tcPr>
          <w:p w14:paraId="654B13E8">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4060" w:type="dxa"/>
            <w:noWrap w:val="0"/>
            <w:vAlign w:val="center"/>
          </w:tcPr>
          <w:p w14:paraId="222F4F1E">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项目</w:t>
            </w:r>
            <w:r>
              <w:rPr>
                <w:rFonts w:hint="eastAsia" w:ascii="宋体" w:hAnsi="宋体" w:eastAsia="宋体" w:cs="宋体"/>
                <w:b/>
                <w:sz w:val="21"/>
                <w:szCs w:val="21"/>
                <w:highlight w:val="none"/>
              </w:rPr>
              <w:t>名称</w:t>
            </w:r>
          </w:p>
        </w:tc>
        <w:tc>
          <w:tcPr>
            <w:tcW w:w="1469" w:type="dxa"/>
            <w:noWrap w:val="0"/>
            <w:vAlign w:val="center"/>
          </w:tcPr>
          <w:p w14:paraId="717A8AEA">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数量/单位</w:t>
            </w:r>
          </w:p>
        </w:tc>
        <w:tc>
          <w:tcPr>
            <w:tcW w:w="1560" w:type="dxa"/>
            <w:noWrap w:val="0"/>
            <w:vAlign w:val="center"/>
          </w:tcPr>
          <w:p w14:paraId="6C27801E">
            <w:pPr>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备注</w:t>
            </w:r>
          </w:p>
        </w:tc>
      </w:tr>
      <w:tr w14:paraId="5CF6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85" w:type="dxa"/>
            <w:noWrap w:val="0"/>
            <w:vAlign w:val="center"/>
          </w:tcPr>
          <w:p w14:paraId="38B69D69">
            <w:pPr>
              <w:pStyle w:val="23"/>
              <w:spacing w:line="240" w:lineRule="auto"/>
              <w:ind w:left="0"/>
              <w:jc w:val="center"/>
              <w:outlineLvl w:val="0"/>
              <w:rPr>
                <w:rFonts w:hint="eastAsia" w:ascii="宋体" w:hAnsi="宋体" w:eastAsia="宋体" w:cs="宋体"/>
                <w:sz w:val="21"/>
                <w:szCs w:val="21"/>
                <w:highlight w:val="none"/>
              </w:rPr>
            </w:pPr>
            <w:bookmarkStart w:id="37" w:name="_Toc17287"/>
            <w:r>
              <w:rPr>
                <w:rFonts w:hint="eastAsia" w:ascii="宋体" w:hAnsi="宋体" w:eastAsia="宋体" w:cs="宋体"/>
                <w:sz w:val="21"/>
                <w:szCs w:val="21"/>
                <w:highlight w:val="none"/>
              </w:rPr>
              <w:t>1</w:t>
            </w:r>
            <w:bookmarkEnd w:id="37"/>
          </w:p>
        </w:tc>
        <w:tc>
          <w:tcPr>
            <w:tcW w:w="4060" w:type="dxa"/>
            <w:noWrap w:val="0"/>
            <w:vAlign w:val="center"/>
          </w:tcPr>
          <w:p w14:paraId="066A1A3D">
            <w:pPr>
              <w:jc w:val="center"/>
              <w:rPr>
                <w:rFonts w:hint="eastAsia" w:ascii="宋体" w:hAnsi="宋体" w:eastAsia="宋体" w:cs="宋体"/>
                <w:sz w:val="21"/>
                <w:szCs w:val="21"/>
                <w:highlight w:val="none"/>
                <w:lang w:eastAsia="zh-CN"/>
              </w:rPr>
            </w:pPr>
            <w:r>
              <w:rPr>
                <w:rFonts w:hint="eastAsia" w:ascii="宋体" w:hAnsi="宋体" w:eastAsia="宋体" w:cs="宋体"/>
                <w:color w:val="auto"/>
                <w:sz w:val="21"/>
                <w:szCs w:val="21"/>
                <w:highlight w:val="none"/>
                <w:lang w:eastAsia="zh-CN"/>
              </w:rPr>
              <w:t>大足石刻世界文化遗产保护管理综合场景</w:t>
            </w:r>
          </w:p>
        </w:tc>
        <w:tc>
          <w:tcPr>
            <w:tcW w:w="1469" w:type="dxa"/>
            <w:noWrap w:val="0"/>
            <w:vAlign w:val="center"/>
          </w:tcPr>
          <w:p w14:paraId="252E4DFE">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1/项</w:t>
            </w:r>
          </w:p>
        </w:tc>
        <w:tc>
          <w:tcPr>
            <w:tcW w:w="1560" w:type="dxa"/>
            <w:noWrap w:val="0"/>
            <w:vAlign w:val="top"/>
          </w:tcPr>
          <w:p w14:paraId="6255671F">
            <w:pPr>
              <w:jc w:val="center"/>
              <w:rPr>
                <w:rFonts w:hint="eastAsia" w:ascii="宋体" w:hAnsi="宋体" w:eastAsia="宋体" w:cs="宋体"/>
                <w:sz w:val="21"/>
                <w:szCs w:val="21"/>
                <w:highlight w:val="none"/>
              </w:rPr>
            </w:pPr>
          </w:p>
        </w:tc>
      </w:tr>
    </w:tbl>
    <w:p w14:paraId="445EDED3">
      <w:pPr>
        <w:pStyle w:val="3"/>
        <w:spacing w:line="400" w:lineRule="exact"/>
        <w:ind w:firstLine="420" w:firstLineChars="200"/>
        <w:rPr>
          <w:rFonts w:hint="eastAsia" w:ascii="宋体" w:hAnsi="宋体" w:eastAsia="宋体" w:cs="宋体"/>
          <w:b/>
          <w:sz w:val="24"/>
          <w:highlight w:val="none"/>
        </w:rPr>
      </w:pPr>
      <w:bookmarkStart w:id="38" w:name="_Toc106030507"/>
      <w:bookmarkStart w:id="39" w:name="_Toc32262"/>
      <w:bookmarkStart w:id="40" w:name="_Toc14893"/>
      <w:bookmarkStart w:id="41" w:name="_Toc11585"/>
      <w:bookmarkStart w:id="42" w:name="_Toc28205"/>
      <w:bookmarkStart w:id="43" w:name="_Toc15480"/>
      <w:bookmarkStart w:id="44" w:name="_Toc11110"/>
      <w:bookmarkStart w:id="45" w:name="_Toc15696"/>
      <w:bookmarkStart w:id="46" w:name="_Toc7792"/>
      <w:bookmarkStart w:id="47" w:name="_Toc10143"/>
      <w:bookmarkStart w:id="48" w:name="_Toc18903"/>
      <w:bookmarkStart w:id="49" w:name="_Toc75793506"/>
      <w:bookmarkStart w:id="50" w:name="_Toc1346"/>
      <w:bookmarkStart w:id="51" w:name="_Toc26453"/>
      <w:bookmarkStart w:id="52" w:name="_Toc5535"/>
      <w:bookmarkStart w:id="53" w:name="_Toc18800"/>
      <w:bookmarkStart w:id="54" w:name="_Toc12568"/>
      <w:bookmarkStart w:id="55" w:name="_Toc26249"/>
      <w:bookmarkStart w:id="56" w:name="_Toc23975"/>
      <w:bookmarkStart w:id="57" w:name="_Toc5751"/>
      <w:bookmarkStart w:id="58" w:name="_Toc26419"/>
      <w:bookmarkStart w:id="59" w:name="_Toc26434"/>
      <w:bookmarkStart w:id="60" w:name="_Toc28397"/>
      <w:r>
        <w:rPr>
          <w:rFonts w:hint="eastAsia" w:ascii="宋体" w:hAnsi="宋体" w:eastAsia="宋体" w:cs="宋体"/>
          <w:kern w:val="0"/>
          <w:sz w:val="21"/>
          <w:szCs w:val="21"/>
          <w:highlight w:val="none"/>
        </w:rPr>
        <w:t>※</w:t>
      </w:r>
      <w:r>
        <w:rPr>
          <w:rFonts w:hint="eastAsia" w:ascii="宋体" w:hAnsi="宋体" w:eastAsia="宋体" w:cs="宋体"/>
          <w:b/>
          <w:sz w:val="24"/>
          <w:highlight w:val="none"/>
        </w:rPr>
        <w:t>二、招标项目</w:t>
      </w:r>
      <w:r>
        <w:rPr>
          <w:rFonts w:hint="eastAsia" w:ascii="宋体" w:hAnsi="宋体" w:eastAsia="宋体" w:cs="宋体"/>
          <w:b/>
          <w:sz w:val="24"/>
          <w:highlight w:val="none"/>
          <w:lang w:val="en-US" w:eastAsia="zh-CN"/>
        </w:rPr>
        <w:t>服务</w:t>
      </w:r>
      <w:r>
        <w:rPr>
          <w:rFonts w:hint="eastAsia" w:ascii="宋体" w:hAnsi="宋体" w:eastAsia="宋体" w:cs="宋体"/>
          <w:b/>
          <w:sz w:val="24"/>
          <w:highlight w:val="none"/>
        </w:rPr>
        <w:t>需求</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302508AD">
      <w:pPr>
        <w:snapToGrid w:val="0"/>
        <w:spacing w:line="400" w:lineRule="exact"/>
        <w:ind w:firstLine="482" w:firstLineChars="200"/>
        <w:outlineLvl w:val="1"/>
        <w:rPr>
          <w:rFonts w:hint="eastAsia" w:ascii="宋体" w:hAnsi="宋体" w:eastAsia="宋体" w:cs="宋体"/>
          <w:b/>
          <w:bCs/>
          <w:sz w:val="24"/>
          <w:szCs w:val="24"/>
          <w:highlight w:val="none"/>
          <w:lang w:val="en-US" w:eastAsia="zh-CN"/>
        </w:rPr>
      </w:pPr>
      <w:bookmarkStart w:id="61" w:name="_Toc29561"/>
      <w:r>
        <w:rPr>
          <w:rFonts w:hint="eastAsia" w:ascii="宋体" w:hAnsi="宋体" w:eastAsia="宋体" w:cs="宋体"/>
          <w:b/>
          <w:bCs/>
          <w:sz w:val="24"/>
          <w:szCs w:val="24"/>
          <w:highlight w:val="none"/>
          <w:lang w:val="en-US" w:eastAsia="zh-CN"/>
        </w:rPr>
        <w:t>（一）目标要求</w:t>
      </w:r>
      <w:bookmarkEnd w:id="61"/>
    </w:p>
    <w:p w14:paraId="04611D1D">
      <w:pPr>
        <w:snapToGrid w:val="0"/>
        <w:spacing w:line="360" w:lineRule="auto"/>
        <w:ind w:firstLine="480" w:firstLineChars="200"/>
        <w:outlineLvl w:val="2"/>
        <w:rPr>
          <w:rFonts w:hint="eastAsia" w:ascii="宋体" w:hAnsi="宋体" w:eastAsia="宋体" w:cs="宋体"/>
          <w:sz w:val="24"/>
          <w:szCs w:val="24"/>
          <w:highlight w:val="none"/>
          <w:lang w:val="en-US" w:eastAsia="zh-CN"/>
        </w:rPr>
      </w:pPr>
      <w:bookmarkStart w:id="62" w:name="_Toc25628"/>
      <w:r>
        <w:rPr>
          <w:rFonts w:hint="eastAsia" w:ascii="宋体" w:hAnsi="宋体" w:eastAsia="宋体" w:cs="宋体"/>
          <w:sz w:val="24"/>
          <w:szCs w:val="24"/>
          <w:highlight w:val="none"/>
          <w:lang w:val="en-US" w:eastAsia="zh-CN"/>
        </w:rPr>
        <w:t>大足石刻作为世界文化遗产，是我国石窟艺术的杰出代表，其文物本体保护、景区治理与文化传承工作具有极高的历史价值与现实意义。近年来，随着数字化技术的飞速发展，“文化+科技”融合已成为遗产保护的核心趋势。为深入贯彻落实</w:t>
      </w:r>
      <w:r>
        <w:rPr>
          <w:rFonts w:hint="eastAsia" w:ascii="宋体" w:hAnsi="宋体" w:cs="宋体"/>
          <w:sz w:val="24"/>
          <w:szCs w:val="24"/>
          <w:highlight w:val="none"/>
          <w:lang w:val="en-US" w:eastAsia="zh-CN"/>
        </w:rPr>
        <w:t>数字重庆建设</w:t>
      </w:r>
      <w:r>
        <w:rPr>
          <w:rFonts w:hint="eastAsia" w:ascii="宋体" w:hAnsi="宋体" w:eastAsia="宋体" w:cs="宋体"/>
          <w:sz w:val="24"/>
          <w:szCs w:val="24"/>
          <w:highlight w:val="none"/>
          <w:lang w:val="en-US" w:eastAsia="zh-CN"/>
        </w:rPr>
        <w:t>要求，响应区级专班的部署安排，大足石刻研究院以“全链条文物保护”为核心主线，聚焦圆觉洞凝结水治理等关键痛点场景，启动AI+综合场景开发项目。</w:t>
      </w:r>
    </w:p>
    <w:p w14:paraId="03D1C0C4">
      <w:pPr>
        <w:snapToGrid w:val="0"/>
        <w:spacing w:line="360" w:lineRule="auto"/>
        <w:ind w:firstLine="480" w:firstLineChars="200"/>
        <w:outlineLvl w:val="2"/>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综合场景旨在</w:t>
      </w:r>
      <w:r>
        <w:rPr>
          <w:rFonts w:hint="eastAsia" w:ascii="宋体" w:hAnsi="宋体" w:eastAsia="宋体" w:cs="宋体"/>
          <w:sz w:val="24"/>
          <w:szCs w:val="24"/>
          <w:highlight w:val="none"/>
          <w:lang w:val="en-US" w:eastAsia="zh-CN"/>
        </w:rPr>
        <w:t>实现三大核心功能，</w:t>
      </w:r>
      <w:r>
        <w:rPr>
          <w:rFonts w:hint="eastAsia" w:ascii="宋体" w:hAnsi="宋体" w:cs="宋体"/>
          <w:sz w:val="24"/>
          <w:szCs w:val="24"/>
          <w:highlight w:val="none"/>
          <w:lang w:val="en-US" w:eastAsia="zh-CN"/>
        </w:rPr>
        <w:t>一是</w:t>
      </w:r>
      <w:r>
        <w:rPr>
          <w:rFonts w:hint="eastAsia" w:ascii="宋体" w:hAnsi="宋体" w:eastAsia="宋体" w:cs="宋体"/>
          <w:sz w:val="24"/>
          <w:szCs w:val="24"/>
          <w:highlight w:val="none"/>
          <w:lang w:val="en-US" w:eastAsia="zh-CN"/>
        </w:rPr>
        <w:t>构建全域感知的文物监测网络，通过系统WebAPI接口达成对石刻本体状态、周边微环境、游客行为特征的实时数据采集，数据更新频率达到分钟级，实现文物风险的早期识别与动态跟踪。</w:t>
      </w:r>
      <w:r>
        <w:rPr>
          <w:rFonts w:hint="eastAsia" w:ascii="宋体" w:hAnsi="宋体" w:cs="宋体"/>
          <w:sz w:val="24"/>
          <w:szCs w:val="24"/>
          <w:highlight w:val="none"/>
          <w:lang w:val="en-US" w:eastAsia="zh-CN"/>
        </w:rPr>
        <w:t>二是</w:t>
      </w:r>
      <w:r>
        <w:rPr>
          <w:rFonts w:hint="eastAsia" w:ascii="宋体" w:hAnsi="宋体" w:eastAsia="宋体" w:cs="宋体"/>
          <w:sz w:val="24"/>
          <w:szCs w:val="24"/>
          <w:highlight w:val="none"/>
          <w:lang w:val="en-US" w:eastAsia="zh-CN"/>
        </w:rPr>
        <w:t>，通过智能预警与分析技术，运用机器学习算法对监测数据进行多维度分析，</w:t>
      </w:r>
      <w:r>
        <w:rPr>
          <w:rFonts w:hint="eastAsia" w:ascii="宋体" w:hAnsi="宋体" w:cs="宋体"/>
          <w:sz w:val="24"/>
          <w:szCs w:val="24"/>
          <w:highlight w:val="none"/>
          <w:lang w:val="en-US" w:eastAsia="zh-CN"/>
        </w:rPr>
        <w:t>接入AI智能体，</w:t>
      </w:r>
      <w:r>
        <w:rPr>
          <w:rFonts w:hint="eastAsia" w:ascii="宋体" w:hAnsi="宋体" w:eastAsia="宋体" w:cs="宋体"/>
          <w:sz w:val="24"/>
          <w:szCs w:val="24"/>
          <w:highlight w:val="none"/>
          <w:lang w:val="en-US" w:eastAsia="zh-CN"/>
        </w:rPr>
        <w:t>建立文物病害、游客超载、环境突变等场景的预警模型，并通过与三级治理中心的联动，打通各业务部门之间的协作，提升应急处置能力。</w:t>
      </w:r>
      <w:r>
        <w:rPr>
          <w:rFonts w:hint="eastAsia" w:ascii="宋体" w:hAnsi="宋体" w:cs="宋体"/>
          <w:sz w:val="24"/>
          <w:szCs w:val="24"/>
          <w:highlight w:val="none"/>
          <w:lang w:val="en-US" w:eastAsia="zh-CN"/>
        </w:rPr>
        <w:t>三是</w:t>
      </w:r>
      <w:r>
        <w:rPr>
          <w:rFonts w:hint="eastAsia" w:ascii="宋体" w:hAnsi="宋体" w:eastAsia="宋体" w:cs="宋体"/>
          <w:sz w:val="24"/>
          <w:szCs w:val="24"/>
          <w:highlight w:val="none"/>
          <w:lang w:val="en-US" w:eastAsia="zh-CN"/>
        </w:rPr>
        <w:t>，打造一体化决策</w:t>
      </w:r>
      <w:r>
        <w:rPr>
          <w:rFonts w:hint="eastAsia" w:ascii="宋体" w:hAnsi="宋体" w:cs="宋体"/>
          <w:sz w:val="24"/>
          <w:szCs w:val="24"/>
          <w:highlight w:val="none"/>
          <w:lang w:val="en-US" w:eastAsia="zh-CN"/>
        </w:rPr>
        <w:t>综合场景</w:t>
      </w:r>
      <w:r>
        <w:rPr>
          <w:rFonts w:hint="eastAsia" w:ascii="宋体" w:hAnsi="宋体" w:eastAsia="宋体" w:cs="宋体"/>
          <w:sz w:val="24"/>
          <w:szCs w:val="24"/>
          <w:highlight w:val="none"/>
          <w:lang w:val="en-US" w:eastAsia="zh-CN"/>
        </w:rPr>
        <w:t>，整合保护、管理、服务各环节数据资源，形成可视化综合</w:t>
      </w:r>
      <w:r>
        <w:rPr>
          <w:rFonts w:hint="eastAsia" w:ascii="宋体" w:hAnsi="宋体" w:cs="宋体"/>
          <w:sz w:val="24"/>
          <w:szCs w:val="24"/>
          <w:highlight w:val="none"/>
          <w:lang w:val="en-US" w:eastAsia="zh-CN"/>
        </w:rPr>
        <w:t>场景驾驶舱</w:t>
      </w:r>
      <w:r>
        <w:rPr>
          <w:rFonts w:hint="eastAsia" w:ascii="宋体" w:hAnsi="宋体" w:eastAsia="宋体" w:cs="宋体"/>
          <w:sz w:val="24"/>
          <w:szCs w:val="24"/>
          <w:highlight w:val="none"/>
          <w:lang w:val="en-US" w:eastAsia="zh-CN"/>
        </w:rPr>
        <w:t>，为管理者提供数据驱动的决策建议，推动管理模式从经验驱动向科学决策转变。具体</w:t>
      </w:r>
      <w:r>
        <w:rPr>
          <w:rFonts w:hint="eastAsia" w:ascii="宋体" w:hAnsi="宋体" w:cs="宋体"/>
          <w:sz w:val="24"/>
          <w:szCs w:val="24"/>
          <w:highlight w:val="none"/>
          <w:lang w:val="en-US" w:eastAsia="zh-CN"/>
        </w:rPr>
        <w:t>内容</w:t>
      </w:r>
      <w:r>
        <w:rPr>
          <w:rFonts w:hint="eastAsia" w:ascii="宋体" w:hAnsi="宋体" w:eastAsia="宋体" w:cs="宋体"/>
          <w:sz w:val="24"/>
          <w:szCs w:val="24"/>
          <w:highlight w:val="none"/>
          <w:lang w:val="en-US" w:eastAsia="zh-CN"/>
        </w:rPr>
        <w:t>分解为以下五点：</w:t>
      </w:r>
    </w:p>
    <w:p w14:paraId="61E99B34">
      <w:pPr>
        <w:snapToGrid w:val="0"/>
        <w:spacing w:line="360" w:lineRule="auto"/>
        <w:ind w:firstLine="480" w:firstLineChars="20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1.搭建一体化综合</w:t>
      </w:r>
      <w:r>
        <w:rPr>
          <w:rFonts w:hint="eastAsia" w:ascii="宋体" w:hAnsi="宋体" w:cs="宋体"/>
          <w:sz w:val="24"/>
          <w:szCs w:val="24"/>
          <w:highlight w:val="none"/>
          <w:lang w:val="en-US" w:eastAsia="zh-CN"/>
        </w:rPr>
        <w:t>场景</w:t>
      </w:r>
      <w:r>
        <w:rPr>
          <w:rFonts w:hint="eastAsia" w:ascii="宋体" w:hAnsi="宋体" w:eastAsia="宋体" w:cs="宋体"/>
          <w:sz w:val="24"/>
          <w:szCs w:val="24"/>
          <w:highlight w:val="none"/>
          <w:lang w:val="en-US" w:eastAsia="zh-CN"/>
        </w:rPr>
        <w:t>：基于数字重庆2.0工具，实现文物监测、游客服务、景区治理等多维度数据的集中可视化展示与统筹调度；</w:t>
      </w:r>
    </w:p>
    <w:p w14:paraId="5A857AD2">
      <w:pPr>
        <w:snapToGrid w:val="0"/>
        <w:spacing w:line="360" w:lineRule="auto"/>
        <w:ind w:firstLine="480" w:firstLineChars="20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2.打通数据壁垒：实现监测系统、智慧景区平台、AI智能体、三级治理中心等多系统的数据实时对接与高效流转；</w:t>
      </w:r>
    </w:p>
    <w:p w14:paraId="4314DB71">
      <w:pPr>
        <w:snapToGrid w:val="0"/>
        <w:spacing w:line="360" w:lineRule="auto"/>
        <w:ind w:firstLine="480" w:firstLineChars="20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3.实现智能预警研判：</w:t>
      </w:r>
      <w:r>
        <w:rPr>
          <w:rFonts w:hint="eastAsia" w:ascii="宋体" w:hAnsi="宋体" w:cs="宋体"/>
          <w:sz w:val="24"/>
          <w:szCs w:val="24"/>
          <w:highlight w:val="none"/>
          <w:lang w:val="en-US" w:eastAsia="zh-CN"/>
        </w:rPr>
        <w:t>接入</w:t>
      </w:r>
      <w:r>
        <w:rPr>
          <w:rFonts w:hint="eastAsia" w:ascii="宋体" w:hAnsi="宋体" w:eastAsia="宋体" w:cs="宋体"/>
          <w:sz w:val="24"/>
          <w:szCs w:val="24"/>
          <w:highlight w:val="none"/>
          <w:lang w:val="en-US" w:eastAsia="zh-CN"/>
        </w:rPr>
        <w:t>AI智能体，完成多维度数据融合分析，实现凝结水等病害场景的分级预警；</w:t>
      </w:r>
    </w:p>
    <w:p w14:paraId="41EF13AE">
      <w:pPr>
        <w:snapToGrid w:val="0"/>
        <w:spacing w:line="360" w:lineRule="auto"/>
        <w:ind w:firstLine="480" w:firstLineChars="20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4.构建闭环工作模式：形成“监测—预警—处置—反馈—复盘”的实战化业务闭环，提升事件处置效率与管理决策科学性；</w:t>
      </w:r>
    </w:p>
    <w:p w14:paraId="27C15442">
      <w:pPr>
        <w:snapToGrid w:val="0"/>
        <w:spacing w:line="360" w:lineRule="auto"/>
        <w:ind w:firstLine="480" w:firstLineChars="20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5.建立标准化体系：形成涵盖数据采集、接口开发、系统运维的标准化流程，保障场景稳定运行与持续优化。</w:t>
      </w:r>
    </w:p>
    <w:p w14:paraId="32A0ED6B">
      <w:pPr>
        <w:snapToGrid w:val="0"/>
        <w:spacing w:line="360" w:lineRule="auto"/>
        <w:ind w:firstLine="480" w:firstLineChars="200"/>
        <w:outlineLvl w:val="2"/>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6.感知</w:t>
      </w:r>
      <w:r>
        <w:rPr>
          <w:rFonts w:hint="eastAsia" w:ascii="宋体" w:hAnsi="宋体" w:cs="宋体"/>
          <w:sz w:val="24"/>
          <w:szCs w:val="24"/>
          <w:highlight w:val="none"/>
          <w:lang w:val="en-US" w:eastAsia="zh-CN"/>
        </w:rPr>
        <w:t>搭建</w:t>
      </w:r>
      <w:r>
        <w:rPr>
          <w:rFonts w:hint="eastAsia" w:ascii="宋体" w:hAnsi="宋体" w:eastAsia="宋体" w:cs="宋体"/>
          <w:sz w:val="24"/>
          <w:szCs w:val="24"/>
          <w:highlight w:val="none"/>
          <w:lang w:val="en-US" w:eastAsia="zh-CN"/>
        </w:rPr>
        <w:t>：于大佛湾补充客流感知点位6个及</w:t>
      </w:r>
      <w:r>
        <w:rPr>
          <w:rFonts w:hint="eastAsia" w:ascii="宋体" w:hAnsi="宋体" w:cs="宋体"/>
          <w:sz w:val="24"/>
          <w:szCs w:val="24"/>
          <w:highlight w:val="none"/>
          <w:lang w:val="en-US" w:eastAsia="zh-CN"/>
        </w:rPr>
        <w:t>客流模块</w:t>
      </w:r>
      <w:r>
        <w:rPr>
          <w:rFonts w:hint="eastAsia" w:ascii="宋体" w:hAnsi="宋体" w:eastAsia="宋体" w:cs="宋体"/>
          <w:sz w:val="24"/>
          <w:szCs w:val="24"/>
          <w:highlight w:val="none"/>
          <w:lang w:val="en-US" w:eastAsia="zh-CN"/>
        </w:rPr>
        <w:t>。</w:t>
      </w:r>
    </w:p>
    <w:p w14:paraId="0A37C440">
      <w:pPr>
        <w:pStyle w:val="3"/>
        <w:spacing w:line="400" w:lineRule="exact"/>
        <w:ind w:firstLine="422" w:firstLineChars="200"/>
        <w:rPr>
          <w:rFonts w:hint="eastAsia" w:cs="宋体"/>
          <w:b/>
          <w:bCs/>
          <w:kern w:val="0"/>
          <w:sz w:val="21"/>
          <w:szCs w:val="21"/>
          <w:highlight w:val="none"/>
          <w:lang w:val="en-US" w:eastAsia="zh-CN"/>
        </w:rPr>
      </w:pPr>
      <w:bookmarkStart w:id="63" w:name="_Toc3359"/>
      <w:r>
        <w:rPr>
          <w:rFonts w:hint="eastAsia" w:ascii="宋体" w:hAnsi="宋体" w:eastAsia="宋体" w:cs="宋体"/>
          <w:b/>
          <w:bCs/>
          <w:kern w:val="0"/>
          <w:sz w:val="21"/>
          <w:szCs w:val="21"/>
          <w:highlight w:val="none"/>
          <w:lang w:val="en-US" w:eastAsia="zh-CN"/>
        </w:rPr>
        <w:t>三、服务内容</w:t>
      </w:r>
      <w:bookmarkEnd w:id="62"/>
      <w:r>
        <w:rPr>
          <w:rFonts w:hint="eastAsia" w:cs="宋体"/>
          <w:b/>
          <w:bCs/>
          <w:kern w:val="0"/>
          <w:sz w:val="21"/>
          <w:szCs w:val="21"/>
          <w:highlight w:val="none"/>
          <w:lang w:val="en-US" w:eastAsia="zh-CN"/>
        </w:rPr>
        <w:t>及要求</w:t>
      </w:r>
      <w:bookmarkEnd w:id="63"/>
    </w:p>
    <w:p w14:paraId="19B05319">
      <w:pPr>
        <w:snapToGrid w:val="0"/>
        <w:spacing w:line="360" w:lineRule="auto"/>
        <w:ind w:firstLine="480" w:firstLineChars="200"/>
        <w:outlineLvl w:val="2"/>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详见附件《大足石刻世界文化遗产保护管理综合场景</w:t>
      </w:r>
      <w:r>
        <w:rPr>
          <w:rFonts w:hint="eastAsia" w:ascii="宋体" w:hAnsi="宋体" w:cs="宋体"/>
          <w:sz w:val="24"/>
          <w:szCs w:val="24"/>
          <w:highlight w:val="none"/>
          <w:lang w:val="en-US" w:eastAsia="zh-CN"/>
        </w:rPr>
        <w:t>服务内容明细表</w:t>
      </w:r>
      <w:r>
        <w:rPr>
          <w:rFonts w:hint="eastAsia" w:ascii="宋体" w:hAnsi="宋体" w:eastAsia="宋体" w:cs="宋体"/>
          <w:sz w:val="24"/>
          <w:szCs w:val="24"/>
          <w:highlight w:val="none"/>
          <w:lang w:val="en-US" w:eastAsia="zh-CN"/>
        </w:rPr>
        <w:t>》</w:t>
      </w:r>
    </w:p>
    <w:p w14:paraId="43705166">
      <w:pPr>
        <w:rPr>
          <w:rFonts w:hint="eastAsia"/>
          <w:color w:val="auto"/>
          <w:highlight w:val="none"/>
        </w:rPr>
      </w:pPr>
    </w:p>
    <w:p w14:paraId="3BC9B190">
      <w:pPr>
        <w:pStyle w:val="2"/>
        <w:rPr>
          <w:rFonts w:hint="eastAsia"/>
          <w:color w:val="auto"/>
          <w:highlight w:val="none"/>
        </w:rPr>
      </w:pPr>
    </w:p>
    <w:p w14:paraId="399C2C2A">
      <w:pPr>
        <w:rPr>
          <w:rFonts w:hint="eastAsia"/>
          <w:color w:val="auto"/>
          <w:highlight w:val="none"/>
        </w:rPr>
      </w:pPr>
    </w:p>
    <w:p w14:paraId="05B82C12">
      <w:pPr>
        <w:pStyle w:val="2"/>
        <w:rPr>
          <w:rFonts w:hint="eastAsia"/>
          <w:color w:val="auto"/>
          <w:highlight w:val="none"/>
        </w:rPr>
      </w:pPr>
    </w:p>
    <w:p w14:paraId="0A11C2E2">
      <w:pPr>
        <w:rPr>
          <w:rFonts w:hint="eastAsia"/>
          <w:color w:val="auto"/>
          <w:highlight w:val="none"/>
        </w:rPr>
      </w:pPr>
    </w:p>
    <w:p w14:paraId="606FB548">
      <w:pPr>
        <w:rPr>
          <w:rFonts w:hint="eastAsia"/>
          <w:color w:val="auto"/>
          <w:highlight w:val="none"/>
        </w:rPr>
      </w:pPr>
    </w:p>
    <w:p w14:paraId="12B2A8B2">
      <w:pPr>
        <w:rPr>
          <w:rFonts w:hint="eastAsia"/>
          <w:color w:val="auto"/>
          <w:highlight w:val="none"/>
        </w:rPr>
      </w:pPr>
    </w:p>
    <w:p w14:paraId="1BC8709A">
      <w:pPr>
        <w:rPr>
          <w:rFonts w:hint="eastAsia"/>
          <w:color w:val="auto"/>
          <w:highlight w:val="none"/>
        </w:rPr>
      </w:pPr>
    </w:p>
    <w:p w14:paraId="138887BB">
      <w:pPr>
        <w:rPr>
          <w:rFonts w:hint="eastAsia"/>
          <w:color w:val="auto"/>
          <w:highlight w:val="none"/>
        </w:rPr>
      </w:pPr>
    </w:p>
    <w:p w14:paraId="7C853D48">
      <w:pPr>
        <w:rPr>
          <w:rFonts w:hint="eastAsia"/>
          <w:color w:val="auto"/>
          <w:highlight w:val="none"/>
        </w:rPr>
      </w:pPr>
    </w:p>
    <w:p w14:paraId="5946A746">
      <w:pPr>
        <w:rPr>
          <w:rFonts w:hint="eastAsia"/>
          <w:color w:val="auto"/>
          <w:highlight w:val="none"/>
        </w:rPr>
      </w:pPr>
    </w:p>
    <w:p w14:paraId="32485516">
      <w:pPr>
        <w:rPr>
          <w:rFonts w:hint="eastAsia"/>
          <w:color w:val="auto"/>
          <w:highlight w:val="none"/>
        </w:rPr>
      </w:pPr>
    </w:p>
    <w:p w14:paraId="1DBE9E41">
      <w:pPr>
        <w:rPr>
          <w:rFonts w:hint="eastAsia"/>
          <w:color w:val="auto"/>
          <w:highlight w:val="none"/>
        </w:rPr>
      </w:pPr>
    </w:p>
    <w:p w14:paraId="426536D2">
      <w:pPr>
        <w:rPr>
          <w:rFonts w:hint="eastAsia"/>
          <w:color w:val="auto"/>
          <w:highlight w:val="none"/>
        </w:rPr>
      </w:pPr>
    </w:p>
    <w:p w14:paraId="51B19024">
      <w:pPr>
        <w:rPr>
          <w:rFonts w:hint="eastAsia"/>
          <w:color w:val="auto"/>
          <w:highlight w:val="none"/>
        </w:rPr>
      </w:pPr>
    </w:p>
    <w:p w14:paraId="26490F24">
      <w:pPr>
        <w:rPr>
          <w:rFonts w:hint="eastAsia"/>
          <w:color w:val="auto"/>
          <w:highlight w:val="none"/>
        </w:rPr>
      </w:pPr>
    </w:p>
    <w:p w14:paraId="04E0450A">
      <w:pPr>
        <w:rPr>
          <w:rFonts w:hint="eastAsia"/>
          <w:color w:val="auto"/>
          <w:highlight w:val="none"/>
        </w:rPr>
      </w:pPr>
    </w:p>
    <w:p w14:paraId="741A4282">
      <w:pPr>
        <w:rPr>
          <w:rFonts w:hint="eastAsia"/>
          <w:color w:val="auto"/>
          <w:highlight w:val="none"/>
        </w:rPr>
      </w:pPr>
    </w:p>
    <w:p w14:paraId="22922672">
      <w:pPr>
        <w:rPr>
          <w:rFonts w:hint="eastAsia"/>
          <w:color w:val="auto"/>
          <w:highlight w:val="none"/>
        </w:rPr>
      </w:pPr>
    </w:p>
    <w:p w14:paraId="17AB3B6E">
      <w:pPr>
        <w:rPr>
          <w:rFonts w:hint="eastAsia"/>
          <w:color w:val="auto"/>
          <w:highlight w:val="none"/>
        </w:rPr>
      </w:pPr>
    </w:p>
    <w:p w14:paraId="074678F3">
      <w:pPr>
        <w:rPr>
          <w:rFonts w:hint="eastAsia"/>
          <w:color w:val="auto"/>
          <w:highlight w:val="none"/>
        </w:rPr>
      </w:pPr>
    </w:p>
    <w:p w14:paraId="348A8B9F">
      <w:pPr>
        <w:rPr>
          <w:rFonts w:hint="eastAsia"/>
          <w:color w:val="auto"/>
          <w:highlight w:val="none"/>
        </w:rPr>
      </w:pPr>
    </w:p>
    <w:p w14:paraId="2AC600E8">
      <w:pPr>
        <w:rPr>
          <w:rFonts w:hint="eastAsia"/>
          <w:color w:val="auto"/>
          <w:highlight w:val="none"/>
        </w:rPr>
      </w:pPr>
    </w:p>
    <w:p w14:paraId="69FAAD55">
      <w:pPr>
        <w:rPr>
          <w:rFonts w:hint="eastAsia"/>
          <w:color w:val="auto"/>
          <w:highlight w:val="none"/>
        </w:rPr>
      </w:pPr>
    </w:p>
    <w:p w14:paraId="0FEE6120">
      <w:pPr>
        <w:rPr>
          <w:rFonts w:hint="eastAsia"/>
          <w:color w:val="auto"/>
          <w:highlight w:val="none"/>
        </w:rPr>
      </w:pPr>
    </w:p>
    <w:p w14:paraId="74348F60">
      <w:pPr>
        <w:rPr>
          <w:rFonts w:hint="eastAsia"/>
          <w:color w:val="auto"/>
          <w:highlight w:val="none"/>
        </w:rPr>
      </w:pPr>
    </w:p>
    <w:p w14:paraId="47730E74">
      <w:pPr>
        <w:rPr>
          <w:rFonts w:hint="eastAsia"/>
          <w:color w:val="auto"/>
          <w:highlight w:val="none"/>
        </w:rPr>
      </w:pPr>
    </w:p>
    <w:p w14:paraId="0B7B5583">
      <w:pPr>
        <w:rPr>
          <w:rFonts w:hint="eastAsia"/>
          <w:color w:val="auto"/>
          <w:highlight w:val="none"/>
        </w:rPr>
      </w:pPr>
    </w:p>
    <w:p w14:paraId="76EBA6AB">
      <w:pPr>
        <w:rPr>
          <w:rFonts w:hint="eastAsia"/>
          <w:highlight w:val="none"/>
        </w:rPr>
      </w:pPr>
    </w:p>
    <w:p w14:paraId="29FB0207">
      <w:pPr>
        <w:pStyle w:val="2"/>
        <w:bidi w:val="0"/>
        <w:rPr>
          <w:rFonts w:hint="eastAsia"/>
          <w:color w:val="auto"/>
          <w:highlight w:val="none"/>
        </w:rPr>
      </w:pPr>
      <w:bookmarkStart w:id="64" w:name="_Toc15783"/>
      <w:r>
        <w:rPr>
          <w:rFonts w:hint="eastAsia"/>
          <w:color w:val="auto"/>
          <w:highlight w:val="none"/>
        </w:rPr>
        <w:t>第三篇  项目商务要求</w:t>
      </w:r>
      <w:bookmarkEnd w:id="64"/>
      <w:bookmarkStart w:id="65" w:name="_Toc267320049"/>
    </w:p>
    <w:bookmarkEnd w:id="65"/>
    <w:p w14:paraId="4E7059F4">
      <w:pPr>
        <w:pStyle w:val="3"/>
        <w:bidi w:val="0"/>
        <w:rPr>
          <w:rFonts w:hint="eastAsia"/>
          <w:b/>
          <w:bCs/>
          <w:highlight w:val="none"/>
        </w:rPr>
      </w:pPr>
      <w:bookmarkStart w:id="66" w:name="_Toc527367117"/>
      <w:bookmarkStart w:id="67" w:name="_Toc26143"/>
      <w:r>
        <w:rPr>
          <w:rFonts w:hint="eastAsia"/>
          <w:b/>
          <w:bCs/>
          <w:highlight w:val="none"/>
        </w:rPr>
        <w:t>一、</w:t>
      </w:r>
      <w:bookmarkEnd w:id="66"/>
      <w:bookmarkStart w:id="68" w:name="_Toc527367118"/>
      <w:bookmarkStart w:id="69" w:name="_Toc267320050"/>
      <w:r>
        <w:rPr>
          <w:rFonts w:hint="eastAsia"/>
          <w:b/>
          <w:bCs/>
          <w:highlight w:val="none"/>
        </w:rPr>
        <w:t>服务期、服务地点及验收方式</w:t>
      </w:r>
      <w:bookmarkEnd w:id="67"/>
    </w:p>
    <w:p w14:paraId="0AE77556">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（一）服务期</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采购合同签订后30天完工，服务1年。</w:t>
      </w:r>
    </w:p>
    <w:p w14:paraId="382DB05E">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（二）服务地点</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采购人指定地点。</w:t>
      </w:r>
    </w:p>
    <w:p w14:paraId="24E99264">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（三）验收方式</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采购人自行组织验收。</w:t>
      </w:r>
    </w:p>
    <w:p w14:paraId="28E2747B">
      <w:pPr>
        <w:pageBreakBefore w:val="0"/>
        <w:widowControl/>
        <w:kinsoku/>
        <w:wordWrap/>
        <w:overflowPunct/>
        <w:topLinePunct w:val="0"/>
        <w:autoSpaceDE/>
        <w:autoSpaceDN/>
        <w:bidi w:val="0"/>
        <w:spacing w:line="400" w:lineRule="exact"/>
        <w:textAlignment w:val="auto"/>
        <w:rPr>
          <w:rFonts w:hint="eastAsia" w:ascii="宋体" w:hAnsi="宋体" w:eastAsia="宋体" w:cs="Times New Roman"/>
          <w:b/>
          <w:bCs/>
          <w:kern w:val="2"/>
          <w:sz w:val="28"/>
          <w:highlight w:val="none"/>
          <w:lang w:val="en-US" w:eastAsia="zh-CN" w:bidi="ar-SA"/>
        </w:rPr>
      </w:pPr>
      <w:r>
        <w:rPr>
          <w:rFonts w:hint="eastAsia" w:ascii="宋体" w:hAnsi="宋体" w:eastAsia="宋体" w:cs="Times New Roman"/>
          <w:b/>
          <w:bCs/>
          <w:kern w:val="2"/>
          <w:sz w:val="28"/>
          <w:highlight w:val="none"/>
          <w:lang w:val="en-US" w:eastAsia="zh-CN" w:bidi="ar-SA"/>
        </w:rPr>
        <w:t>二、报价要求</w:t>
      </w:r>
      <w:bookmarkEnd w:id="68"/>
    </w:p>
    <w:p w14:paraId="3A6B889C">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70" w:name="_Toc527367119"/>
      <w:r>
        <w:rPr>
          <w:rFonts w:hint="eastAsia" w:asciiTheme="minorEastAsia" w:hAnsiTheme="minorEastAsia" w:eastAsiaTheme="minorEastAsia" w:cstheme="minorEastAsia"/>
          <w:color w:val="auto"/>
          <w:sz w:val="24"/>
          <w:szCs w:val="24"/>
          <w:highlight w:val="none"/>
        </w:rPr>
        <w:t>本项目报价须为人民币报价。供应商的报价应包括完成项目的全部费用，包括但不限于运维服务费、技术升级费、辅材费、耗材费、人工费、培训费、税费及其它与本项目相关的一切费用。采购人除此以外不支付其它费用。因供应商自身原因造成漏报、少报皆由其自行承担责任，采购人不再补偿。</w:t>
      </w:r>
      <w:bookmarkEnd w:id="69"/>
      <w:bookmarkEnd w:id="70"/>
    </w:p>
    <w:p w14:paraId="42D5AD9B">
      <w:pPr>
        <w:pageBreakBefore w:val="0"/>
        <w:widowControl/>
        <w:kinsoku/>
        <w:wordWrap/>
        <w:overflowPunct/>
        <w:topLinePunct w:val="0"/>
        <w:autoSpaceDE/>
        <w:autoSpaceDN/>
        <w:bidi w:val="0"/>
        <w:spacing w:line="400" w:lineRule="exact"/>
        <w:textAlignment w:val="auto"/>
        <w:rPr>
          <w:rFonts w:hint="eastAsia" w:ascii="宋体" w:hAnsi="宋体" w:eastAsia="宋体" w:cs="Times New Roman"/>
          <w:b/>
          <w:bCs/>
          <w:kern w:val="2"/>
          <w:sz w:val="28"/>
          <w:highlight w:val="none"/>
          <w:lang w:val="en-US" w:eastAsia="zh-CN" w:bidi="ar-SA"/>
        </w:rPr>
      </w:pPr>
      <w:bookmarkStart w:id="71" w:name="_Toc267320051"/>
      <w:bookmarkStart w:id="72" w:name="_Toc527367120"/>
      <w:r>
        <w:rPr>
          <w:rFonts w:hint="eastAsia" w:ascii="宋体" w:hAnsi="宋体" w:eastAsia="宋体" w:cs="Times New Roman"/>
          <w:b/>
          <w:bCs/>
          <w:kern w:val="2"/>
          <w:sz w:val="28"/>
          <w:highlight w:val="none"/>
          <w:lang w:val="en-US" w:eastAsia="zh-CN" w:bidi="ar-SA"/>
        </w:rPr>
        <w:t>三、付款方式</w:t>
      </w:r>
      <w:bookmarkEnd w:id="71"/>
      <w:bookmarkEnd w:id="72"/>
      <w:bookmarkStart w:id="73" w:name="_Toc527367123"/>
    </w:p>
    <w:p w14:paraId="46673DF0">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1.合同签订后，成交供应商按照合同约定时间内完成项目，提交采购人并通过采购人验收合格后支付合同金额的100%，由成交供应商出具合法合规的发票，经采购人审核无误后支付。</w:t>
      </w:r>
    </w:p>
    <w:p w14:paraId="34A1C56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2、采购人支付款项前，中标人应向采购人提供足额、有效的增值税普通发票，否则，采购人有权不予付款，且不承担任何法律责任。</w:t>
      </w:r>
    </w:p>
    <w:p w14:paraId="083C39F0">
      <w:pPr>
        <w:pageBreakBefore w:val="0"/>
        <w:widowControl/>
        <w:kinsoku/>
        <w:wordWrap/>
        <w:overflowPunct/>
        <w:topLinePunct w:val="0"/>
        <w:autoSpaceDE/>
        <w:autoSpaceDN/>
        <w:bidi w:val="0"/>
        <w:spacing w:line="400" w:lineRule="exact"/>
        <w:textAlignment w:val="auto"/>
        <w:rPr>
          <w:rFonts w:hint="eastAsia" w:ascii="宋体" w:hAnsi="宋体" w:eastAsia="宋体" w:cs="Times New Roman"/>
          <w:b/>
          <w:bCs/>
          <w:kern w:val="2"/>
          <w:sz w:val="28"/>
          <w:highlight w:val="none"/>
          <w:lang w:val="en-US" w:eastAsia="zh-CN" w:bidi="ar-SA"/>
        </w:rPr>
      </w:pPr>
      <w:r>
        <w:rPr>
          <w:rFonts w:hint="eastAsia" w:ascii="宋体" w:hAnsi="宋体" w:eastAsia="宋体" w:cs="Times New Roman"/>
          <w:b/>
          <w:bCs/>
          <w:kern w:val="2"/>
          <w:sz w:val="28"/>
          <w:highlight w:val="none"/>
          <w:lang w:val="en-US" w:eastAsia="zh-CN" w:bidi="ar-SA"/>
        </w:rPr>
        <w:t xml:space="preserve"> </w:t>
      </w:r>
      <w:r>
        <w:rPr>
          <w:rFonts w:hint="eastAsia" w:ascii="宋体" w:hAnsi="宋体" w:cs="Times New Roman"/>
          <w:b/>
          <w:bCs/>
          <w:kern w:val="2"/>
          <w:sz w:val="28"/>
          <w:highlight w:val="none"/>
          <w:lang w:val="en-US" w:eastAsia="zh-CN" w:bidi="ar-SA"/>
        </w:rPr>
        <w:t>四</w:t>
      </w:r>
      <w:r>
        <w:rPr>
          <w:rFonts w:hint="eastAsia" w:ascii="宋体" w:hAnsi="宋体" w:eastAsia="宋体" w:cs="Times New Roman"/>
          <w:b/>
          <w:bCs/>
          <w:kern w:val="2"/>
          <w:sz w:val="28"/>
          <w:highlight w:val="none"/>
          <w:lang w:val="en-US" w:eastAsia="zh-CN" w:bidi="ar-SA"/>
        </w:rPr>
        <w:t>、</w:t>
      </w:r>
      <w:bookmarkStart w:id="74" w:name="_Toc398650620"/>
      <w:r>
        <w:rPr>
          <w:rFonts w:hint="eastAsia" w:ascii="宋体" w:hAnsi="宋体" w:eastAsia="宋体" w:cs="Times New Roman"/>
          <w:b/>
          <w:bCs/>
          <w:kern w:val="2"/>
          <w:sz w:val="28"/>
          <w:highlight w:val="none"/>
          <w:lang w:val="en-US" w:eastAsia="zh-CN" w:bidi="ar-SA"/>
        </w:rPr>
        <w:t>质量保证及售后服务</w:t>
      </w:r>
      <w:bookmarkEnd w:id="74"/>
      <w:bookmarkStart w:id="75" w:name="_Toc474603918"/>
    </w:p>
    <w:p w14:paraId="67EE4585">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（一）质量保证期</w:t>
      </w:r>
      <w:bookmarkStart w:id="76" w:name="_Toc24914"/>
      <w:r>
        <w:rPr>
          <w:rFonts w:hint="eastAsia" w:asciiTheme="minorEastAsia" w:hAnsiTheme="minorEastAsia" w:eastAsiaTheme="minorEastAsia" w:cstheme="minorEastAsia"/>
          <w:color w:val="auto"/>
          <w:sz w:val="24"/>
          <w:szCs w:val="24"/>
          <w:highlight w:val="none"/>
        </w:rPr>
        <w:t>：自验收合格之日起，提供1年的质量保证期。</w:t>
      </w:r>
      <w:bookmarkEnd w:id="75"/>
      <w:bookmarkEnd w:id="76"/>
      <w:bookmarkStart w:id="77" w:name="_Toc474603919"/>
    </w:p>
    <w:p w14:paraId="11896411">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（二）售后服务内容</w:t>
      </w:r>
      <w:bookmarkEnd w:id="77"/>
      <w:bookmarkStart w:id="78" w:name="_Toc275"/>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供应商在服务质保期内应当为采购人提供以下技术支持服务：</w:t>
      </w:r>
      <w:bookmarkEnd w:id="78"/>
    </w:p>
    <w:p w14:paraId="7EB36A36">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79" w:name="_Toc4573"/>
      <w:bookmarkStart w:id="80" w:name="_Toc20214"/>
      <w:r>
        <w:rPr>
          <w:rFonts w:hint="eastAsia" w:asciiTheme="minorEastAsia" w:hAnsiTheme="minorEastAsia" w:eastAsiaTheme="minorEastAsia" w:cstheme="minorEastAsia"/>
          <w:color w:val="auto"/>
          <w:sz w:val="24"/>
          <w:szCs w:val="24"/>
          <w:highlight w:val="none"/>
        </w:rPr>
        <w:t>1、质量保证期内服务要求</w:t>
      </w:r>
      <w:bookmarkEnd w:id="79"/>
      <w:bookmarkEnd w:id="80"/>
    </w:p>
    <w:p w14:paraId="5EC3F273">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81" w:name="_Toc16137"/>
      <w:bookmarkStart w:id="82" w:name="_Toc25055"/>
      <w:r>
        <w:rPr>
          <w:rFonts w:hint="eastAsia" w:asciiTheme="minorEastAsia" w:hAnsiTheme="minorEastAsia" w:eastAsiaTheme="minorEastAsia" w:cstheme="minorEastAsia"/>
          <w:color w:val="auto"/>
          <w:sz w:val="24"/>
          <w:szCs w:val="24"/>
          <w:highlight w:val="none"/>
        </w:rPr>
        <w:t>1.1电话咨询</w:t>
      </w:r>
      <w:bookmarkEnd w:id="81"/>
      <w:bookmarkEnd w:id="82"/>
    </w:p>
    <w:p w14:paraId="48FD37A4">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83" w:name="_Toc17459"/>
      <w:bookmarkStart w:id="84" w:name="_Toc32267"/>
      <w:r>
        <w:rPr>
          <w:rFonts w:hint="eastAsia" w:asciiTheme="minorEastAsia" w:hAnsiTheme="minorEastAsia" w:eastAsiaTheme="minorEastAsia" w:cstheme="minorEastAsia"/>
          <w:color w:val="auto"/>
          <w:sz w:val="24"/>
          <w:szCs w:val="24"/>
          <w:highlight w:val="none"/>
        </w:rPr>
        <w:t>成交供应商应当为用户提供技术援助电话，解答用户在使用中遇到的问题，及时为用户提出解决问题的建议。</w:t>
      </w:r>
      <w:bookmarkEnd w:id="83"/>
      <w:bookmarkEnd w:id="84"/>
    </w:p>
    <w:p w14:paraId="3E380F0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85" w:name="_Toc2968"/>
      <w:bookmarkStart w:id="86" w:name="_Toc32259"/>
      <w:r>
        <w:rPr>
          <w:rFonts w:hint="eastAsia" w:asciiTheme="minorEastAsia" w:hAnsiTheme="minorEastAsia" w:eastAsiaTheme="minorEastAsia" w:cstheme="minorEastAsia"/>
          <w:color w:val="auto"/>
          <w:sz w:val="24"/>
          <w:szCs w:val="24"/>
          <w:highlight w:val="none"/>
        </w:rPr>
        <w:t>1.2现场响应</w:t>
      </w:r>
      <w:bookmarkEnd w:id="85"/>
      <w:bookmarkEnd w:id="86"/>
    </w:p>
    <w:p w14:paraId="0BA92344">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87" w:name="_Toc18189"/>
      <w:bookmarkStart w:id="88" w:name="_Toc31226"/>
      <w:r>
        <w:rPr>
          <w:rFonts w:hint="eastAsia" w:asciiTheme="minorEastAsia" w:hAnsiTheme="minorEastAsia" w:eastAsiaTheme="minorEastAsia" w:cstheme="minorEastAsia"/>
          <w:color w:val="auto"/>
          <w:sz w:val="24"/>
          <w:szCs w:val="24"/>
          <w:highlight w:val="none"/>
        </w:rPr>
        <w:t>用户遇到使用及技术问题，电话咨询不能解决的，成交供应商应在24小时内采取相应响应措施；无法在4小时内解决的，应在48小时内派出专业人员进行技术支持。</w:t>
      </w:r>
      <w:bookmarkEnd w:id="87"/>
      <w:bookmarkEnd w:id="88"/>
    </w:p>
    <w:p w14:paraId="6D809530">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89" w:name="_Toc29206"/>
      <w:bookmarkStart w:id="90" w:name="_Toc20809"/>
      <w:r>
        <w:rPr>
          <w:rFonts w:hint="eastAsia" w:asciiTheme="minorEastAsia" w:hAnsiTheme="minorEastAsia" w:eastAsiaTheme="minorEastAsia" w:cstheme="minorEastAsia"/>
          <w:color w:val="auto"/>
          <w:sz w:val="24"/>
          <w:szCs w:val="24"/>
          <w:highlight w:val="none"/>
        </w:rPr>
        <w:t>2、质保期外服务要求</w:t>
      </w:r>
      <w:bookmarkEnd w:id="89"/>
      <w:bookmarkEnd w:id="90"/>
    </w:p>
    <w:p w14:paraId="757816EE">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91" w:name="_Toc19758"/>
      <w:bookmarkStart w:id="92" w:name="_Toc507"/>
      <w:r>
        <w:rPr>
          <w:rFonts w:hint="eastAsia" w:asciiTheme="minorEastAsia" w:hAnsiTheme="minorEastAsia" w:eastAsiaTheme="minorEastAsia" w:cstheme="minorEastAsia"/>
          <w:color w:val="auto"/>
          <w:sz w:val="24"/>
          <w:szCs w:val="24"/>
          <w:highlight w:val="none"/>
        </w:rPr>
        <w:t>2.1质量保证期过后，成交供应商应同样提供免费电话咨询服务，并应承诺提供上门维护服务。</w:t>
      </w:r>
      <w:bookmarkEnd w:id="91"/>
      <w:bookmarkEnd w:id="92"/>
    </w:p>
    <w:p w14:paraId="0794B6C4">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bookmarkStart w:id="93" w:name="_Toc17253"/>
      <w:bookmarkStart w:id="94" w:name="_Toc2580"/>
      <w:r>
        <w:rPr>
          <w:rFonts w:hint="eastAsia" w:asciiTheme="minorEastAsia" w:hAnsiTheme="minorEastAsia" w:eastAsiaTheme="minorEastAsia" w:cstheme="minorEastAsia"/>
          <w:color w:val="auto"/>
          <w:sz w:val="24"/>
          <w:szCs w:val="24"/>
          <w:highlight w:val="none"/>
        </w:rPr>
        <w:t>2.2质量保证期过后，采购人需要继续由原成交供应商提供售后服务的，成交供应商应以优惠价格提供售后服务。</w:t>
      </w:r>
      <w:bookmarkEnd w:id="93"/>
      <w:bookmarkEnd w:id="94"/>
    </w:p>
    <w:p w14:paraId="4EF8168E">
      <w:pPr>
        <w:pageBreakBefore w:val="0"/>
        <w:widowControl/>
        <w:kinsoku/>
        <w:wordWrap/>
        <w:overflowPunct/>
        <w:topLinePunct w:val="0"/>
        <w:autoSpaceDE/>
        <w:autoSpaceDN/>
        <w:bidi w:val="0"/>
        <w:spacing w:line="400" w:lineRule="exact"/>
        <w:textAlignment w:val="auto"/>
        <w:rPr>
          <w:rFonts w:hint="eastAsia" w:ascii="宋体" w:hAnsi="宋体" w:cs="Times New Roman"/>
          <w:b/>
          <w:bCs/>
          <w:kern w:val="2"/>
          <w:sz w:val="28"/>
          <w:highlight w:val="none"/>
          <w:lang w:val="en-US" w:eastAsia="zh-CN" w:bidi="ar-SA"/>
        </w:rPr>
      </w:pPr>
    </w:p>
    <w:p w14:paraId="50DD4AB5">
      <w:pPr>
        <w:pageBreakBefore w:val="0"/>
        <w:widowControl/>
        <w:kinsoku/>
        <w:wordWrap/>
        <w:overflowPunct/>
        <w:topLinePunct w:val="0"/>
        <w:autoSpaceDE/>
        <w:autoSpaceDN/>
        <w:bidi w:val="0"/>
        <w:spacing w:line="400" w:lineRule="exact"/>
        <w:textAlignment w:val="auto"/>
        <w:rPr>
          <w:rFonts w:hint="eastAsia" w:ascii="宋体" w:hAnsi="宋体" w:cs="Times New Roman"/>
          <w:b/>
          <w:bCs/>
          <w:kern w:val="2"/>
          <w:sz w:val="28"/>
          <w:highlight w:val="none"/>
          <w:lang w:val="en-US" w:eastAsia="zh-CN" w:bidi="ar-SA"/>
        </w:rPr>
      </w:pPr>
    </w:p>
    <w:p w14:paraId="4BC6702D">
      <w:pPr>
        <w:pageBreakBefore w:val="0"/>
        <w:widowControl/>
        <w:kinsoku/>
        <w:wordWrap/>
        <w:overflowPunct/>
        <w:topLinePunct w:val="0"/>
        <w:autoSpaceDE/>
        <w:autoSpaceDN/>
        <w:bidi w:val="0"/>
        <w:spacing w:line="400" w:lineRule="exact"/>
        <w:textAlignment w:val="auto"/>
        <w:rPr>
          <w:rFonts w:hint="eastAsia" w:ascii="宋体" w:hAnsi="宋体" w:cs="Times New Roman"/>
          <w:b/>
          <w:bCs/>
          <w:kern w:val="2"/>
          <w:sz w:val="28"/>
          <w:highlight w:val="none"/>
          <w:lang w:val="en-US" w:eastAsia="zh-CN" w:bidi="ar-SA"/>
        </w:rPr>
      </w:pPr>
    </w:p>
    <w:p w14:paraId="49B1177E">
      <w:pPr>
        <w:pageBreakBefore w:val="0"/>
        <w:widowControl/>
        <w:kinsoku/>
        <w:wordWrap/>
        <w:overflowPunct/>
        <w:topLinePunct w:val="0"/>
        <w:autoSpaceDE/>
        <w:autoSpaceDN/>
        <w:bidi w:val="0"/>
        <w:spacing w:line="400" w:lineRule="exact"/>
        <w:textAlignment w:val="auto"/>
        <w:rPr>
          <w:rFonts w:hint="eastAsia" w:ascii="宋体" w:hAnsi="宋体" w:eastAsia="宋体" w:cs="Times New Roman"/>
          <w:b/>
          <w:bCs/>
          <w:kern w:val="2"/>
          <w:sz w:val="28"/>
          <w:highlight w:val="none"/>
          <w:lang w:val="en-US" w:eastAsia="zh-CN" w:bidi="ar-SA"/>
        </w:rPr>
      </w:pPr>
      <w:r>
        <w:rPr>
          <w:rFonts w:hint="eastAsia" w:ascii="宋体" w:hAnsi="宋体" w:cs="Times New Roman"/>
          <w:b/>
          <w:bCs/>
          <w:kern w:val="2"/>
          <w:sz w:val="28"/>
          <w:highlight w:val="none"/>
          <w:lang w:val="en-US" w:eastAsia="zh-CN" w:bidi="ar-SA"/>
        </w:rPr>
        <w:t>五</w:t>
      </w:r>
      <w:r>
        <w:rPr>
          <w:rFonts w:hint="eastAsia" w:ascii="宋体" w:hAnsi="宋体" w:eastAsia="宋体" w:cs="Times New Roman"/>
          <w:b/>
          <w:bCs/>
          <w:kern w:val="2"/>
          <w:sz w:val="28"/>
          <w:highlight w:val="none"/>
          <w:lang w:val="en-US" w:eastAsia="zh-CN" w:bidi="ar-SA"/>
        </w:rPr>
        <w:t>、</w:t>
      </w:r>
      <w:bookmarkEnd w:id="73"/>
      <w:r>
        <w:rPr>
          <w:rFonts w:hint="eastAsia" w:ascii="宋体" w:hAnsi="宋体" w:eastAsia="宋体" w:cs="Times New Roman"/>
          <w:b/>
          <w:bCs/>
          <w:kern w:val="2"/>
          <w:sz w:val="28"/>
          <w:highlight w:val="none"/>
          <w:lang w:val="en-US" w:eastAsia="zh-CN" w:bidi="ar-SA"/>
        </w:rPr>
        <w:t>知识产权</w:t>
      </w:r>
    </w:p>
    <w:p w14:paraId="242A225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采购方在中华人民共和国境内使用中标人提供的货物及服务时，免受第三方提出的侵犯其专利权或其它知识产权的起诉。如果第三方提出侵权指控，中标人应承担由此而引起的一切法律责任和费用。</w:t>
      </w:r>
    </w:p>
    <w:p w14:paraId="737AB8AF">
      <w:pPr>
        <w:pageBreakBefore w:val="0"/>
        <w:widowControl/>
        <w:kinsoku/>
        <w:wordWrap/>
        <w:overflowPunct/>
        <w:topLinePunct w:val="0"/>
        <w:autoSpaceDE/>
        <w:autoSpaceDN/>
        <w:bidi w:val="0"/>
        <w:spacing w:line="400" w:lineRule="exact"/>
        <w:textAlignment w:val="auto"/>
        <w:rPr>
          <w:rFonts w:hint="eastAsia" w:ascii="宋体" w:hAnsi="宋体" w:eastAsia="宋体" w:cs="Times New Roman"/>
          <w:b/>
          <w:bCs/>
          <w:kern w:val="2"/>
          <w:sz w:val="28"/>
          <w:highlight w:val="none"/>
          <w:lang w:val="en-US" w:eastAsia="zh-CN" w:bidi="ar-SA"/>
        </w:rPr>
      </w:pPr>
      <w:bookmarkStart w:id="95" w:name="_Toc267320054"/>
      <w:bookmarkStart w:id="96" w:name="_Toc527367124"/>
      <w:r>
        <w:rPr>
          <w:rFonts w:hint="eastAsia" w:ascii="宋体" w:hAnsi="宋体" w:cs="Times New Roman"/>
          <w:b/>
          <w:bCs/>
          <w:kern w:val="2"/>
          <w:sz w:val="28"/>
          <w:highlight w:val="none"/>
          <w:lang w:val="en-US" w:eastAsia="zh-CN" w:bidi="ar-SA"/>
        </w:rPr>
        <w:t>六</w:t>
      </w:r>
      <w:r>
        <w:rPr>
          <w:rFonts w:hint="eastAsia" w:ascii="宋体" w:hAnsi="宋体" w:eastAsia="宋体" w:cs="Times New Roman"/>
          <w:b/>
          <w:bCs/>
          <w:kern w:val="2"/>
          <w:sz w:val="28"/>
          <w:highlight w:val="none"/>
          <w:lang w:val="en-US" w:eastAsia="zh-CN" w:bidi="ar-SA"/>
        </w:rPr>
        <w:t>、</w:t>
      </w:r>
      <w:bookmarkEnd w:id="95"/>
      <w:r>
        <w:rPr>
          <w:rFonts w:hint="eastAsia" w:ascii="宋体" w:hAnsi="宋体" w:eastAsia="宋体" w:cs="Times New Roman"/>
          <w:b/>
          <w:bCs/>
          <w:kern w:val="2"/>
          <w:sz w:val="28"/>
          <w:highlight w:val="none"/>
          <w:lang w:val="en-US" w:eastAsia="zh-CN" w:bidi="ar-SA"/>
        </w:rPr>
        <w:t>其他商务要求内容</w:t>
      </w:r>
      <w:bookmarkEnd w:id="96"/>
    </w:p>
    <w:p w14:paraId="39500D4E">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供应商必须在响应文件中对以上条款和服务承诺明确列出，承诺内容必须达到本篇及竞争性磋商文件其他条款的要求。</w:t>
      </w:r>
    </w:p>
    <w:p w14:paraId="1EE3E7E4">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其他未尽事宜由供需双方在采购合同中详细约定。</w:t>
      </w:r>
    </w:p>
    <w:p w14:paraId="44FDAE2F">
      <w:pPr>
        <w:rPr>
          <w:rFonts w:hint="eastAsia" w:ascii="宋体" w:hAnsi="宋体" w:eastAsia="宋体" w:cs="宋体"/>
          <w:highlight w:val="none"/>
        </w:rPr>
      </w:pPr>
      <w:r>
        <w:rPr>
          <w:rFonts w:hint="eastAsia" w:ascii="宋体" w:hAnsi="宋体" w:eastAsia="宋体" w:cs="宋体"/>
          <w:highlight w:val="none"/>
        </w:rPr>
        <w:br w:type="page"/>
      </w:r>
      <w:bookmarkStart w:id="97" w:name="_Toc17999"/>
      <w:bookmarkEnd w:id="97"/>
      <w:bookmarkStart w:id="98" w:name="_Toc30463"/>
      <w:bookmarkEnd w:id="98"/>
      <w:bookmarkStart w:id="99" w:name="_Toc21574"/>
      <w:bookmarkEnd w:id="99"/>
      <w:bookmarkStart w:id="100" w:name="_Toc8343"/>
      <w:bookmarkEnd w:id="100"/>
      <w:bookmarkStart w:id="101" w:name="_Toc13225"/>
      <w:bookmarkEnd w:id="101"/>
      <w:bookmarkStart w:id="102" w:name="_Toc11941"/>
      <w:bookmarkEnd w:id="102"/>
      <w:bookmarkStart w:id="103" w:name="_Toc9332"/>
      <w:bookmarkEnd w:id="103"/>
    </w:p>
    <w:p w14:paraId="4D5A3C5A">
      <w:pPr>
        <w:pStyle w:val="2"/>
        <w:bidi w:val="0"/>
        <w:rPr>
          <w:rFonts w:hint="eastAsia"/>
          <w:color w:val="auto"/>
          <w:highlight w:val="none"/>
        </w:rPr>
      </w:pPr>
      <w:bookmarkStart w:id="104" w:name="_Toc27705"/>
      <w:r>
        <w:rPr>
          <w:rFonts w:hint="eastAsia"/>
          <w:color w:val="auto"/>
          <w:highlight w:val="none"/>
        </w:rPr>
        <w:t>第</w:t>
      </w:r>
      <w:r>
        <w:rPr>
          <w:rFonts w:hint="eastAsia"/>
          <w:color w:val="auto"/>
          <w:highlight w:val="none"/>
          <w:lang w:eastAsia="zh-CN"/>
        </w:rPr>
        <w:t>四</w:t>
      </w:r>
      <w:r>
        <w:rPr>
          <w:rFonts w:hint="eastAsia"/>
          <w:color w:val="auto"/>
          <w:highlight w:val="none"/>
        </w:rPr>
        <w:t xml:space="preserve">篇 </w:t>
      </w:r>
      <w:bookmarkStart w:id="105" w:name="_Toc5725"/>
      <w:bookmarkStart w:id="106" w:name="_Toc77151661"/>
      <w:bookmarkStart w:id="107" w:name="_Toc474603926"/>
      <w:r>
        <w:rPr>
          <w:rFonts w:hint="eastAsia"/>
          <w:color w:val="auto"/>
          <w:highlight w:val="none"/>
        </w:rPr>
        <w:t>磋商程序及方法、评审标准、无效响应和采购终止</w:t>
      </w:r>
      <w:bookmarkEnd w:id="104"/>
      <w:bookmarkEnd w:id="105"/>
    </w:p>
    <w:p w14:paraId="12A01135">
      <w:pPr>
        <w:pStyle w:val="3"/>
        <w:pageBreakBefore w:val="0"/>
        <w:widowControl/>
        <w:kinsoku/>
        <w:wordWrap/>
        <w:overflowPunct/>
        <w:topLinePunct w:val="0"/>
        <w:autoSpaceDE/>
        <w:autoSpaceDN/>
        <w:bidi w:val="0"/>
        <w:spacing w:before="0" w:after="0" w:line="400" w:lineRule="exact"/>
        <w:ind w:left="0"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08" w:name="_Toc31848"/>
      <w:bookmarkStart w:id="109" w:name="_Toc30720"/>
      <w:bookmarkStart w:id="110" w:name="_Toc4696"/>
      <w:r>
        <w:rPr>
          <w:rFonts w:hint="eastAsia" w:asciiTheme="minorEastAsia" w:hAnsiTheme="minorEastAsia" w:eastAsiaTheme="minorEastAsia" w:cstheme="minorEastAsia"/>
          <w:b/>
          <w:bCs/>
          <w:color w:val="auto"/>
          <w:sz w:val="24"/>
          <w:szCs w:val="24"/>
          <w:highlight w:val="none"/>
        </w:rPr>
        <w:t>一、磋商程序及方法</w:t>
      </w:r>
      <w:bookmarkEnd w:id="106"/>
      <w:bookmarkEnd w:id="108"/>
      <w:bookmarkEnd w:id="109"/>
      <w:bookmarkEnd w:id="110"/>
    </w:p>
    <w:p w14:paraId="4AE5D914">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磋商按竞争性磋商文件规定的时间和地点进行，供应商须有法定代表人（或其授权代表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或自然人参加并签到。竞争性磋商以抽签的形式确定磋商顺序，由本项目依法组建的竞争性磋商小组（以下简称磋商小组</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分别与各供应商进行磋商。</w:t>
      </w:r>
    </w:p>
    <w:p w14:paraId="0BE984D9">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磋商小组对各供应商的资格条件、响应文件的有效性、完整性和响应程度进行审查。各供应商只有在完全符合要求的前提下，才能参与正式磋商。</w:t>
      </w:r>
    </w:p>
    <w:p w14:paraId="542D14E5">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1.资格性审查。依据法律法规和竞争性磋商文件的规定，对响应文件中的资格证明、等进行审查，以确定供应商是否具备磋商资格。资格性审查资料表如下：</w:t>
      </w:r>
    </w:p>
    <w:tbl>
      <w:tblPr>
        <w:tblStyle w:val="58"/>
        <w:tblW w:w="9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18"/>
        <w:gridCol w:w="3161"/>
        <w:gridCol w:w="5052"/>
      </w:tblGrid>
      <w:tr w14:paraId="031A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14:paraId="2E6B7836">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序号</w:t>
            </w:r>
          </w:p>
        </w:tc>
        <w:tc>
          <w:tcPr>
            <w:tcW w:w="3879" w:type="dxa"/>
            <w:gridSpan w:val="2"/>
            <w:tcBorders>
              <w:top w:val="single" w:color="auto" w:sz="4" w:space="0"/>
              <w:left w:val="single" w:color="auto" w:sz="4" w:space="0"/>
              <w:bottom w:val="single" w:color="auto" w:sz="4" w:space="0"/>
              <w:right w:val="single" w:color="auto" w:sz="4" w:space="0"/>
            </w:tcBorders>
            <w:noWrap w:val="0"/>
            <w:vAlign w:val="center"/>
          </w:tcPr>
          <w:p w14:paraId="09E2D071">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检查因素</w:t>
            </w:r>
          </w:p>
        </w:tc>
        <w:tc>
          <w:tcPr>
            <w:tcW w:w="5052" w:type="dxa"/>
            <w:tcBorders>
              <w:top w:val="single" w:color="auto" w:sz="4" w:space="0"/>
              <w:left w:val="single" w:color="auto" w:sz="4" w:space="0"/>
              <w:bottom w:val="single" w:color="auto" w:sz="4" w:space="0"/>
              <w:right w:val="single" w:color="auto" w:sz="4" w:space="0"/>
            </w:tcBorders>
            <w:noWrap w:val="0"/>
            <w:vAlign w:val="center"/>
          </w:tcPr>
          <w:p w14:paraId="4E83B753">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检查内容</w:t>
            </w:r>
          </w:p>
        </w:tc>
      </w:tr>
      <w:tr w14:paraId="29FA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828" w:type="dxa"/>
            <w:vMerge w:val="restart"/>
            <w:noWrap w:val="0"/>
            <w:vAlign w:val="center"/>
          </w:tcPr>
          <w:p w14:paraId="6E3BAAE4">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p>
        </w:tc>
        <w:tc>
          <w:tcPr>
            <w:tcW w:w="718" w:type="dxa"/>
            <w:vMerge w:val="restart"/>
            <w:noWrap w:val="0"/>
            <w:vAlign w:val="center"/>
          </w:tcPr>
          <w:p w14:paraId="03B79AF0">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《中华人民共和国政府采购法》第二十二条规定</w:t>
            </w:r>
          </w:p>
        </w:tc>
        <w:tc>
          <w:tcPr>
            <w:tcW w:w="3161" w:type="dxa"/>
            <w:noWrap w:val="0"/>
            <w:vAlign w:val="center"/>
          </w:tcPr>
          <w:p w14:paraId="4AE1E7BF">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1.具有独立承担民事责任的能力</w:t>
            </w:r>
          </w:p>
        </w:tc>
        <w:tc>
          <w:tcPr>
            <w:tcW w:w="5052" w:type="dxa"/>
            <w:noWrap w:val="0"/>
            <w:vAlign w:val="center"/>
          </w:tcPr>
          <w:p w14:paraId="115836D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1.供应商法人营业执照（副本</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或事业单位法人证书（副本</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或个体工商户营业执照或有效的自然人身份证明或社会团体法人登记证书（提供复印件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 xml:space="preserve">。 </w:t>
            </w:r>
          </w:p>
          <w:p w14:paraId="0A2A1D3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2.供应商法定代表人身份证明和法定代表人授权代表委托书。</w:t>
            </w:r>
          </w:p>
        </w:tc>
      </w:tr>
      <w:tr w14:paraId="10B4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1F43EC62">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sz w:val="24"/>
                <w:szCs w:val="24"/>
                <w:highlight w:val="none"/>
              </w:rPr>
            </w:pPr>
          </w:p>
        </w:tc>
        <w:tc>
          <w:tcPr>
            <w:tcW w:w="718" w:type="dxa"/>
            <w:vMerge w:val="continue"/>
            <w:noWrap w:val="0"/>
            <w:vAlign w:val="center"/>
          </w:tcPr>
          <w:p w14:paraId="34C7926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p>
        </w:tc>
        <w:tc>
          <w:tcPr>
            <w:tcW w:w="3161" w:type="dxa"/>
            <w:noWrap w:val="0"/>
            <w:vAlign w:val="center"/>
          </w:tcPr>
          <w:p w14:paraId="69CC2F26">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rPr>
              <w:t>2.</w:t>
            </w:r>
            <w:r>
              <w:rPr>
                <w:rFonts w:hint="eastAsia" w:asciiTheme="minorEastAsia" w:hAnsiTheme="minorEastAsia" w:eastAsiaTheme="minorEastAsia" w:cstheme="minorEastAsia"/>
                <w:color w:val="auto"/>
                <w:sz w:val="24"/>
                <w:szCs w:val="24"/>
                <w:highlight w:val="none"/>
              </w:rPr>
              <w:t>具有良好的商业信誉和健全的财务会计制度</w:t>
            </w:r>
          </w:p>
        </w:tc>
        <w:tc>
          <w:tcPr>
            <w:tcW w:w="5052" w:type="dxa"/>
            <w:vMerge w:val="restart"/>
            <w:noWrap w:val="0"/>
            <w:vAlign w:val="center"/>
          </w:tcPr>
          <w:p w14:paraId="263422C3">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供应商提供“基本资格条件承诺函”（格式详见第七篇</w:t>
            </w:r>
            <w:r>
              <w:rPr>
                <w:rFonts w:hint="eastAsia" w:asciiTheme="minorEastAsia" w:hAnsiTheme="minorEastAsia" w:eastAsiaTheme="minorEastAsia" w:cstheme="minorEastAsia"/>
                <w:color w:val="auto"/>
                <w:sz w:val="24"/>
                <w:szCs w:val="24"/>
                <w:highlight w:val="none"/>
                <w:lang w:eastAsia="zh-CN"/>
              </w:rPr>
              <w:t>）</w:t>
            </w:r>
          </w:p>
        </w:tc>
      </w:tr>
      <w:tr w14:paraId="36FA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551E23F6">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sz w:val="24"/>
                <w:szCs w:val="24"/>
                <w:highlight w:val="none"/>
              </w:rPr>
            </w:pPr>
          </w:p>
        </w:tc>
        <w:tc>
          <w:tcPr>
            <w:tcW w:w="718" w:type="dxa"/>
            <w:vMerge w:val="continue"/>
            <w:noWrap w:val="0"/>
            <w:vAlign w:val="center"/>
          </w:tcPr>
          <w:p w14:paraId="49CF193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p>
        </w:tc>
        <w:tc>
          <w:tcPr>
            <w:tcW w:w="3161" w:type="dxa"/>
            <w:noWrap w:val="0"/>
            <w:vAlign w:val="center"/>
          </w:tcPr>
          <w:p w14:paraId="0FABBA2D">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3.具有履行合同所必需的设备和专业技术能力</w:t>
            </w:r>
          </w:p>
        </w:tc>
        <w:tc>
          <w:tcPr>
            <w:tcW w:w="5052" w:type="dxa"/>
            <w:vMerge w:val="continue"/>
            <w:noWrap w:val="0"/>
            <w:vAlign w:val="center"/>
          </w:tcPr>
          <w:p w14:paraId="0C9F3AE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p>
        </w:tc>
      </w:tr>
      <w:tr w14:paraId="4BA0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3623C826">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sz w:val="24"/>
                <w:szCs w:val="24"/>
                <w:highlight w:val="none"/>
              </w:rPr>
            </w:pPr>
          </w:p>
        </w:tc>
        <w:tc>
          <w:tcPr>
            <w:tcW w:w="718" w:type="dxa"/>
            <w:vMerge w:val="continue"/>
            <w:noWrap w:val="0"/>
            <w:vAlign w:val="center"/>
          </w:tcPr>
          <w:p w14:paraId="61F9E36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p>
        </w:tc>
        <w:tc>
          <w:tcPr>
            <w:tcW w:w="3161" w:type="dxa"/>
            <w:noWrap w:val="0"/>
            <w:vAlign w:val="center"/>
          </w:tcPr>
          <w:p w14:paraId="411B043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4.有依法缴纳税收和社会保障金的良好记录</w:t>
            </w:r>
          </w:p>
        </w:tc>
        <w:tc>
          <w:tcPr>
            <w:tcW w:w="5052" w:type="dxa"/>
            <w:vMerge w:val="continue"/>
            <w:noWrap w:val="0"/>
            <w:vAlign w:val="center"/>
          </w:tcPr>
          <w:p w14:paraId="38576D1C">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p>
        </w:tc>
      </w:tr>
      <w:tr w14:paraId="62CD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vMerge w:val="continue"/>
            <w:noWrap w:val="0"/>
            <w:vAlign w:val="center"/>
          </w:tcPr>
          <w:p w14:paraId="179245B1">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sz w:val="24"/>
                <w:szCs w:val="24"/>
                <w:highlight w:val="none"/>
              </w:rPr>
            </w:pPr>
          </w:p>
        </w:tc>
        <w:tc>
          <w:tcPr>
            <w:tcW w:w="718" w:type="dxa"/>
            <w:vMerge w:val="continue"/>
            <w:noWrap w:val="0"/>
            <w:vAlign w:val="center"/>
          </w:tcPr>
          <w:p w14:paraId="649EE126">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p>
        </w:tc>
        <w:tc>
          <w:tcPr>
            <w:tcW w:w="3161" w:type="dxa"/>
            <w:noWrap w:val="0"/>
            <w:vAlign w:val="center"/>
          </w:tcPr>
          <w:p w14:paraId="301F3C9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5.参加政府采购活动前三年内，在经营活动中没有重大违法记录</w:t>
            </w:r>
          </w:p>
        </w:tc>
        <w:tc>
          <w:tcPr>
            <w:tcW w:w="5052" w:type="dxa"/>
            <w:vMerge w:val="continue"/>
            <w:noWrap w:val="0"/>
            <w:vAlign w:val="center"/>
          </w:tcPr>
          <w:p w14:paraId="47E580EA">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b/>
                <w:color w:val="auto"/>
                <w:sz w:val="24"/>
                <w:szCs w:val="24"/>
                <w:highlight w:val="none"/>
              </w:rPr>
            </w:pPr>
          </w:p>
        </w:tc>
      </w:tr>
      <w:tr w14:paraId="0F87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Merge w:val="continue"/>
            <w:noWrap w:val="0"/>
            <w:vAlign w:val="center"/>
          </w:tcPr>
          <w:p w14:paraId="1B0B9C7D">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sz w:val="24"/>
                <w:szCs w:val="24"/>
                <w:highlight w:val="none"/>
              </w:rPr>
            </w:pPr>
          </w:p>
        </w:tc>
        <w:tc>
          <w:tcPr>
            <w:tcW w:w="718" w:type="dxa"/>
            <w:vMerge w:val="continue"/>
            <w:noWrap w:val="0"/>
            <w:vAlign w:val="center"/>
          </w:tcPr>
          <w:p w14:paraId="175CF8AF">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p>
        </w:tc>
        <w:tc>
          <w:tcPr>
            <w:tcW w:w="3161" w:type="dxa"/>
            <w:noWrap w:val="0"/>
            <w:vAlign w:val="center"/>
          </w:tcPr>
          <w:p w14:paraId="55E1B53D">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6.法律、行政法规规定的其他条件</w:t>
            </w:r>
          </w:p>
        </w:tc>
        <w:tc>
          <w:tcPr>
            <w:tcW w:w="5052" w:type="dxa"/>
            <w:noWrap w:val="0"/>
            <w:vAlign w:val="center"/>
          </w:tcPr>
          <w:p w14:paraId="4C72BF2D">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p>
        </w:tc>
      </w:tr>
    </w:tbl>
    <w:p w14:paraId="15735590">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090027EF">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eq \o\ac(</w:instrText>
      </w:r>
      <w:r>
        <w:rPr>
          <w:rFonts w:hint="eastAsia" w:asciiTheme="minorEastAsia" w:hAnsiTheme="minorEastAsia" w:eastAsiaTheme="minorEastAsia" w:cstheme="minorEastAsia"/>
          <w:color w:val="auto"/>
          <w:kern w:val="0"/>
          <w:position w:val="-4"/>
          <w:sz w:val="36"/>
          <w:szCs w:val="24"/>
          <w:highlight w:val="none"/>
        </w:rPr>
        <w:instrText xml:space="preserve">○</w:instrText>
      </w:r>
      <w:r>
        <w:rPr>
          <w:rFonts w:hint="eastAsia" w:asciiTheme="minorEastAsia" w:hAnsiTheme="minorEastAsia" w:eastAsiaTheme="minorEastAsia" w:cstheme="minorEastAsia"/>
          <w:color w:val="auto"/>
          <w:kern w:val="0"/>
          <w:position w:val="0"/>
          <w:sz w:val="24"/>
          <w:szCs w:val="24"/>
          <w:highlight w:val="none"/>
        </w:rPr>
        <w:instrText xml:space="preserve">,1)</w:instrTex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供应商按“多证合一”登记制度办理营业执照的，税务登记证（副本</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和社会保险登记证以供应商所提供的营业执照（副本</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复印件为准。</w:t>
      </w:r>
    </w:p>
    <w:p w14:paraId="2A28DE4A">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eq \o\ac(</w:instrText>
      </w:r>
      <w:r>
        <w:rPr>
          <w:rFonts w:hint="eastAsia" w:asciiTheme="minorEastAsia" w:hAnsiTheme="minorEastAsia" w:eastAsiaTheme="minorEastAsia" w:cstheme="minorEastAsia"/>
          <w:color w:val="auto"/>
          <w:kern w:val="0"/>
          <w:position w:val="-4"/>
          <w:sz w:val="36"/>
          <w:szCs w:val="24"/>
          <w:highlight w:val="none"/>
        </w:rPr>
        <w:instrText xml:space="preserve">○</w:instrText>
      </w:r>
      <w:r>
        <w:rPr>
          <w:rFonts w:hint="eastAsia" w:asciiTheme="minorEastAsia" w:hAnsiTheme="minorEastAsia" w:eastAsiaTheme="minorEastAsia" w:cstheme="minorEastAsia"/>
          <w:color w:val="auto"/>
          <w:kern w:val="0"/>
          <w:position w:val="0"/>
          <w:sz w:val="24"/>
          <w:szCs w:val="24"/>
          <w:highlight w:val="none"/>
        </w:rPr>
        <w:instrText xml:space="preserve">,2)</w:instrTex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0E1A5E52">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2.符合性审查。依据竞争性磋商文件的规定，从响应文件的有效性、完整性和对竞争性磋商文件的响应程度进行审查，以确定是否对竞争性磋商文件的实质性要求作出响应。符合性检查资料表如下：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545"/>
        <w:gridCol w:w="1966"/>
        <w:gridCol w:w="5359"/>
      </w:tblGrid>
      <w:tr w14:paraId="6CEE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68" w:type="dxa"/>
            <w:noWrap w:val="0"/>
            <w:vAlign w:val="center"/>
          </w:tcPr>
          <w:p w14:paraId="2532E86F">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序号</w:t>
            </w:r>
          </w:p>
        </w:tc>
        <w:tc>
          <w:tcPr>
            <w:tcW w:w="3511" w:type="dxa"/>
            <w:gridSpan w:val="2"/>
            <w:noWrap w:val="0"/>
            <w:vAlign w:val="center"/>
          </w:tcPr>
          <w:p w14:paraId="75E81115">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评审因素</w:t>
            </w:r>
          </w:p>
        </w:tc>
        <w:tc>
          <w:tcPr>
            <w:tcW w:w="5359" w:type="dxa"/>
            <w:noWrap w:val="0"/>
            <w:vAlign w:val="center"/>
          </w:tcPr>
          <w:p w14:paraId="38CB5D09">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评审标准</w:t>
            </w:r>
          </w:p>
        </w:tc>
      </w:tr>
      <w:tr w14:paraId="3DB3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8" w:type="dxa"/>
            <w:vMerge w:val="restart"/>
            <w:noWrap w:val="0"/>
            <w:vAlign w:val="center"/>
          </w:tcPr>
          <w:p w14:paraId="4866E4F3">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1545" w:type="dxa"/>
            <w:vMerge w:val="restart"/>
            <w:noWrap w:val="0"/>
            <w:vAlign w:val="center"/>
          </w:tcPr>
          <w:p w14:paraId="01A980E7">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有效性审查</w:t>
            </w:r>
          </w:p>
        </w:tc>
        <w:tc>
          <w:tcPr>
            <w:tcW w:w="1966" w:type="dxa"/>
            <w:noWrap w:val="0"/>
            <w:vAlign w:val="center"/>
          </w:tcPr>
          <w:p w14:paraId="0D9234EC">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响应文件签署或盖章</w:t>
            </w:r>
          </w:p>
        </w:tc>
        <w:tc>
          <w:tcPr>
            <w:tcW w:w="5359" w:type="dxa"/>
            <w:noWrap w:val="0"/>
            <w:vAlign w:val="center"/>
          </w:tcPr>
          <w:p w14:paraId="7904697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按竞争性磋商文件“第七篇响应文件编制要求”要求签署或盖章。</w:t>
            </w:r>
          </w:p>
        </w:tc>
      </w:tr>
      <w:tr w14:paraId="35E9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8" w:type="dxa"/>
            <w:vMerge w:val="continue"/>
            <w:noWrap w:val="0"/>
            <w:vAlign w:val="center"/>
          </w:tcPr>
          <w:p w14:paraId="359699B8">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p>
        </w:tc>
        <w:tc>
          <w:tcPr>
            <w:tcW w:w="1545" w:type="dxa"/>
            <w:vMerge w:val="continue"/>
            <w:noWrap w:val="0"/>
            <w:vAlign w:val="center"/>
          </w:tcPr>
          <w:p w14:paraId="5EC5A2C9">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p>
        </w:tc>
        <w:tc>
          <w:tcPr>
            <w:tcW w:w="1966" w:type="dxa"/>
            <w:noWrap w:val="0"/>
            <w:vAlign w:val="center"/>
          </w:tcPr>
          <w:p w14:paraId="7FEBB00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法定代表人身份证明及授权委托书</w:t>
            </w:r>
          </w:p>
        </w:tc>
        <w:tc>
          <w:tcPr>
            <w:tcW w:w="5359" w:type="dxa"/>
            <w:noWrap w:val="0"/>
            <w:vAlign w:val="center"/>
          </w:tcPr>
          <w:p w14:paraId="6682D47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法定代表人身份证明及授权委托书有效，符合竞争性磋商文件规定的格式，签署或盖章齐全。</w:t>
            </w:r>
          </w:p>
        </w:tc>
      </w:tr>
      <w:tr w14:paraId="1C44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68" w:type="dxa"/>
            <w:vMerge w:val="continue"/>
            <w:noWrap w:val="0"/>
            <w:vAlign w:val="center"/>
          </w:tcPr>
          <w:p w14:paraId="4C3974DD">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p>
        </w:tc>
        <w:tc>
          <w:tcPr>
            <w:tcW w:w="1545" w:type="dxa"/>
            <w:vMerge w:val="continue"/>
            <w:noWrap w:val="0"/>
            <w:vAlign w:val="center"/>
          </w:tcPr>
          <w:p w14:paraId="368E3F24">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p>
        </w:tc>
        <w:tc>
          <w:tcPr>
            <w:tcW w:w="1966" w:type="dxa"/>
            <w:noWrap w:val="0"/>
            <w:vAlign w:val="center"/>
          </w:tcPr>
          <w:p w14:paraId="481A45D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eastAsiaTheme="minorEastAsia" w:cstheme="minorEastAsia"/>
                <w:color w:val="auto"/>
                <w:sz w:val="24"/>
                <w:szCs w:val="24"/>
                <w:highlight w:val="none"/>
                <w:lang w:val="zh-CN"/>
              </w:rPr>
              <w:t>方案</w:t>
            </w:r>
          </w:p>
        </w:tc>
        <w:tc>
          <w:tcPr>
            <w:tcW w:w="5359" w:type="dxa"/>
            <w:noWrap w:val="0"/>
            <w:vAlign w:val="center"/>
          </w:tcPr>
          <w:p w14:paraId="1F804A5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val="zh-CN"/>
              </w:rPr>
              <w:t>每个包只能有一个</w:t>
            </w: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eastAsiaTheme="minorEastAsia" w:cstheme="minorEastAsia"/>
                <w:color w:val="auto"/>
                <w:sz w:val="24"/>
                <w:szCs w:val="24"/>
                <w:highlight w:val="none"/>
                <w:lang w:val="zh-CN"/>
              </w:rPr>
              <w:t>方案。</w:t>
            </w:r>
          </w:p>
        </w:tc>
      </w:tr>
      <w:tr w14:paraId="1F62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68" w:type="dxa"/>
            <w:vMerge w:val="continue"/>
            <w:noWrap w:val="0"/>
            <w:vAlign w:val="center"/>
          </w:tcPr>
          <w:p w14:paraId="10B4A2EE">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p>
        </w:tc>
        <w:tc>
          <w:tcPr>
            <w:tcW w:w="1545" w:type="dxa"/>
            <w:vMerge w:val="continue"/>
            <w:noWrap w:val="0"/>
            <w:vAlign w:val="center"/>
          </w:tcPr>
          <w:p w14:paraId="6D122D5E">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p>
        </w:tc>
        <w:tc>
          <w:tcPr>
            <w:tcW w:w="1966" w:type="dxa"/>
            <w:noWrap w:val="0"/>
            <w:vAlign w:val="center"/>
          </w:tcPr>
          <w:p w14:paraId="3306FD4F">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报价唯一</w:t>
            </w:r>
          </w:p>
        </w:tc>
        <w:tc>
          <w:tcPr>
            <w:tcW w:w="5359" w:type="dxa"/>
            <w:noWrap w:val="0"/>
            <w:vAlign w:val="center"/>
          </w:tcPr>
          <w:p w14:paraId="0D086488">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只能有一个有效报价，不得提交选择性报价。</w:t>
            </w:r>
          </w:p>
        </w:tc>
      </w:tr>
      <w:tr w14:paraId="4B33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668" w:type="dxa"/>
            <w:noWrap w:val="0"/>
            <w:vAlign w:val="center"/>
          </w:tcPr>
          <w:p w14:paraId="6FFCCD9E">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1545" w:type="dxa"/>
            <w:noWrap w:val="0"/>
            <w:vAlign w:val="center"/>
          </w:tcPr>
          <w:p w14:paraId="468087CB">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完整性审查</w:t>
            </w:r>
          </w:p>
        </w:tc>
        <w:tc>
          <w:tcPr>
            <w:tcW w:w="1966" w:type="dxa"/>
            <w:noWrap w:val="0"/>
            <w:vAlign w:val="center"/>
          </w:tcPr>
          <w:p w14:paraId="4DBD147A">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eastAsiaTheme="minorEastAsia" w:cstheme="minorEastAsia"/>
                <w:color w:val="auto"/>
                <w:sz w:val="24"/>
                <w:szCs w:val="24"/>
                <w:highlight w:val="none"/>
                <w:lang w:val="zh-CN"/>
              </w:rPr>
              <w:t>文件份数</w:t>
            </w:r>
          </w:p>
        </w:tc>
        <w:tc>
          <w:tcPr>
            <w:tcW w:w="5359" w:type="dxa"/>
            <w:noWrap w:val="0"/>
            <w:vAlign w:val="center"/>
          </w:tcPr>
          <w:p w14:paraId="4DBAEE2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eastAsiaTheme="minorEastAsia" w:cstheme="minorEastAsia"/>
                <w:color w:val="auto"/>
                <w:sz w:val="24"/>
                <w:szCs w:val="24"/>
                <w:highlight w:val="none"/>
                <w:lang w:val="zh-CN"/>
              </w:rPr>
              <w:t>文件正、副本数量（含电子文档）符合</w:t>
            </w:r>
            <w:r>
              <w:rPr>
                <w:rFonts w:hint="eastAsia" w:asciiTheme="minorEastAsia" w:hAnsiTheme="minorEastAsia" w:eastAsiaTheme="minorEastAsia" w:cstheme="minorEastAsia"/>
                <w:color w:val="auto"/>
                <w:sz w:val="24"/>
                <w:szCs w:val="24"/>
                <w:highlight w:val="none"/>
              </w:rPr>
              <w:t>竞争性磋商</w:t>
            </w:r>
            <w:r>
              <w:rPr>
                <w:rFonts w:hint="eastAsia" w:asciiTheme="minorEastAsia" w:hAnsiTheme="minorEastAsia" w:eastAsiaTheme="minorEastAsia" w:cstheme="minorEastAsia"/>
                <w:color w:val="auto"/>
                <w:sz w:val="24"/>
                <w:szCs w:val="24"/>
                <w:highlight w:val="none"/>
                <w:lang w:val="zh-CN"/>
              </w:rPr>
              <w:t>文件要求。</w:t>
            </w:r>
          </w:p>
        </w:tc>
      </w:tr>
      <w:tr w14:paraId="2EBE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68" w:type="dxa"/>
            <w:vMerge w:val="restart"/>
            <w:noWrap w:val="0"/>
            <w:vAlign w:val="center"/>
          </w:tcPr>
          <w:p w14:paraId="6958B8AB">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1545" w:type="dxa"/>
            <w:vMerge w:val="restart"/>
            <w:noWrap w:val="0"/>
            <w:vAlign w:val="center"/>
          </w:tcPr>
          <w:p w14:paraId="15ECD1F2">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kern w:val="0"/>
                <w:sz w:val="24"/>
                <w:szCs w:val="24"/>
                <w:highlight w:val="none"/>
              </w:rPr>
              <w:t>响应程度审查</w:t>
            </w:r>
          </w:p>
        </w:tc>
        <w:tc>
          <w:tcPr>
            <w:tcW w:w="1966" w:type="dxa"/>
            <w:noWrap w:val="0"/>
            <w:vAlign w:val="center"/>
          </w:tcPr>
          <w:p w14:paraId="630BFEB7">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实质性响应</w:t>
            </w:r>
          </w:p>
        </w:tc>
        <w:tc>
          <w:tcPr>
            <w:tcW w:w="5359" w:type="dxa"/>
            <w:noWrap w:val="0"/>
            <w:vAlign w:val="center"/>
          </w:tcPr>
          <w:p w14:paraId="6912AF50">
            <w:pPr>
              <w:pStyle w:val="32"/>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宋体" w:hAnsi="宋体" w:cs="宋体"/>
                <w:sz w:val="24"/>
                <w:szCs w:val="24"/>
                <w:highlight w:val="none"/>
              </w:rPr>
              <w:t>对</w:t>
            </w:r>
            <w:r>
              <w:rPr>
                <w:rFonts w:hint="eastAsia" w:ascii="宋体" w:hAnsi="宋体" w:cs="宋体"/>
                <w:sz w:val="24"/>
                <w:szCs w:val="24"/>
                <w:highlight w:val="none"/>
                <w:lang w:eastAsia="zh-CN"/>
              </w:rPr>
              <w:t>竞争性磋商</w:t>
            </w:r>
            <w:r>
              <w:rPr>
                <w:rFonts w:hint="eastAsia" w:ascii="宋体" w:hAnsi="宋体" w:cs="宋体"/>
                <w:sz w:val="24"/>
                <w:szCs w:val="24"/>
                <w:highlight w:val="none"/>
              </w:rPr>
              <w:t>文件第二篇、第三篇规定的内容作出响应。</w:t>
            </w:r>
          </w:p>
        </w:tc>
      </w:tr>
      <w:tr w14:paraId="2E56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68" w:type="dxa"/>
            <w:vMerge w:val="continue"/>
            <w:noWrap w:val="0"/>
            <w:vAlign w:val="center"/>
          </w:tcPr>
          <w:p w14:paraId="3CA04CF8">
            <w:pPr>
              <w:keepNext w:val="0"/>
              <w:keepLines w:val="0"/>
              <w:pageBreakBefore w:val="0"/>
              <w:widowControl/>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auto"/>
                <w:kern w:val="0"/>
                <w:sz w:val="24"/>
                <w:szCs w:val="24"/>
                <w:highlight w:val="none"/>
              </w:rPr>
            </w:pPr>
          </w:p>
        </w:tc>
        <w:tc>
          <w:tcPr>
            <w:tcW w:w="1545" w:type="dxa"/>
            <w:vMerge w:val="continue"/>
            <w:noWrap w:val="0"/>
            <w:vAlign w:val="center"/>
          </w:tcPr>
          <w:p w14:paraId="1E19B330">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sz w:val="24"/>
                <w:szCs w:val="24"/>
                <w:highlight w:val="none"/>
                <w:lang w:val="zh-CN"/>
              </w:rPr>
            </w:pPr>
          </w:p>
        </w:tc>
        <w:tc>
          <w:tcPr>
            <w:tcW w:w="1966" w:type="dxa"/>
            <w:noWrap w:val="0"/>
            <w:vAlign w:val="center"/>
          </w:tcPr>
          <w:p w14:paraId="1D589FB3">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磋商有效期</w:t>
            </w:r>
          </w:p>
        </w:tc>
        <w:tc>
          <w:tcPr>
            <w:tcW w:w="5359" w:type="dxa"/>
            <w:noWrap w:val="0"/>
            <w:vAlign w:val="center"/>
          </w:tcPr>
          <w:p w14:paraId="464DBE81">
            <w:pPr>
              <w:keepNext w:val="0"/>
              <w:keepLines w:val="0"/>
              <w:pageBreakBefore w:val="0"/>
              <w:widowControl/>
              <w:kinsoku/>
              <w:wordWrap/>
              <w:overflowPunct/>
              <w:topLinePunct w:val="0"/>
              <w:autoSpaceDE/>
              <w:autoSpaceDN/>
              <w:bidi w:val="0"/>
              <w:adjustRightInd/>
              <w:snapToGrid/>
              <w:spacing w:line="240" w:lineRule="auto"/>
              <w:ind w:left="0" w:firstLine="0" w:firstLine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响应文件及有关承诺文件有效期为提交响应文件截止时间起90天。</w:t>
            </w:r>
          </w:p>
        </w:tc>
      </w:tr>
    </w:tbl>
    <w:p w14:paraId="506B3B76">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3.根据《财政部关于政府采购竞争性磋商采购方式管理暂行办法有关问题的补充通知》（财库〔2015〕124号</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采用竞争性磋商采购方式采购的政府购买服务项目（含政府和社会资本合作项目</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，在采购过程中符合要求的供应商（社会资本</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只有2家的，竞争性磋商采购活动可以继续进行。</w:t>
      </w:r>
    </w:p>
    <w:p w14:paraId="22634DC4">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（三</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2F419ED">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（四</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磋商小组要求供应商澄清、说明或者更正响应文件应当以书面形式作出。供应商的澄清、说明或者更正应当由法定代表人（或其授权代表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或自然人签字或者加盖公章。由授权代表签字的，应当附法定代表人授权书。供应商为自然人的，应当由本人签字并附身份证明。</w:t>
      </w:r>
    </w:p>
    <w:p w14:paraId="4A945A39">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（五</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在磋商过程中磋商的任何一方不得向他人透露与磋商有关的服务资料、价格或其他信息。</w:t>
      </w:r>
    </w:p>
    <w:p w14:paraId="590AB275">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（六</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60223D8C">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（七</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供应商在磋商时作出的所有书面承诺须由法定代表人（或其授权代表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或自然人签字。</w:t>
      </w:r>
    </w:p>
    <w:p w14:paraId="00E0D05F">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（八</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经磋商确定最终采购需求且磋商结束后，供应商应当按照竞争性磋商文件的变动情况和磋商小组的要求重新提交响应文件或重新做出相关的书面承诺，最后书面提交最后报价及有关承诺（《最后报价表》详见附</w:t>
      </w:r>
      <w:r>
        <w:rPr>
          <w:rFonts w:hint="eastAsia" w:asciiTheme="minorEastAsia" w:hAnsiTheme="minorEastAsia" w:eastAsiaTheme="minorEastAsia" w:cstheme="minorEastAsia"/>
          <w:color w:val="auto"/>
          <w:kern w:val="0"/>
          <w:sz w:val="24"/>
          <w:szCs w:val="24"/>
          <w:highlight w:val="none"/>
          <w:lang w:eastAsia="zh-CN"/>
        </w:rPr>
        <w:t>三）</w:t>
      </w:r>
      <w:r>
        <w:rPr>
          <w:rFonts w:hint="eastAsia" w:asciiTheme="minorEastAsia" w:hAnsiTheme="minorEastAsia" w:eastAsiaTheme="minorEastAsia" w:cstheme="minorEastAsia"/>
          <w:color w:val="auto"/>
          <w:kern w:val="0"/>
          <w:sz w:val="24"/>
          <w:szCs w:val="24"/>
          <w:highlight w:val="none"/>
        </w:rPr>
        <w:t>。已提交响应文件但未在规定时间内进行最后报价的供应商，视为放弃最后报价，以供应商响应文件中的报价为准。</w:t>
      </w:r>
    </w:p>
    <w:p w14:paraId="06979429">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（九</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磋商小组采用综合评分法对提交最后报价的供应商的响应文件和最后报价（含有效书面承诺</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进行综合评分。综合评分法，是指响应文件满足竞争性磋商文件全部实质性要求且按照评审因素的量化指标评审得分最高的供应商为成交候选供应商的评审方法。供应商总得分为价格、</w:t>
      </w:r>
      <w:r>
        <w:rPr>
          <w:rFonts w:hint="eastAsia" w:asciiTheme="minorEastAsia" w:hAnsiTheme="minorEastAsia" w:eastAsiaTheme="minorEastAsia" w:cstheme="minorEastAsia"/>
          <w:color w:val="auto"/>
          <w:kern w:val="0"/>
          <w:sz w:val="24"/>
          <w:szCs w:val="24"/>
          <w:highlight w:val="none"/>
          <w:lang w:eastAsia="zh-CN"/>
        </w:rPr>
        <w:t>技术</w:t>
      </w:r>
      <w:r>
        <w:rPr>
          <w:rFonts w:hint="eastAsia" w:asciiTheme="minorEastAsia" w:hAnsiTheme="minorEastAsia" w:eastAsiaTheme="minorEastAsia" w:cstheme="minorEastAsia"/>
          <w:color w:val="auto"/>
          <w:kern w:val="0"/>
          <w:sz w:val="24"/>
          <w:szCs w:val="24"/>
          <w:highlight w:val="none"/>
        </w:rPr>
        <w:t>、商务等评定因素分别按照相应权重值计算分项得分后相加，满分为100分。</w:t>
      </w:r>
    </w:p>
    <w:p w14:paraId="05C38747">
      <w:pPr>
        <w:pageBreakBefore w:val="0"/>
        <w:widowControl/>
        <w:kinsoku/>
        <w:wordWrap/>
        <w:overflowPunct/>
        <w:topLinePunct w:val="0"/>
        <w:autoSpaceDE/>
        <w:autoSpaceDN/>
        <w:bidi w:val="0"/>
        <w:snapToGrid w:val="0"/>
        <w:spacing w:line="400" w:lineRule="exact"/>
        <w:ind w:left="0"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（十</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磋商小组各成员独立对每个有效响应（通过资格性审查、符合性审查的供应商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w:t>
      </w:r>
      <w:r>
        <w:rPr>
          <w:rFonts w:hint="eastAsia" w:asciiTheme="minorEastAsia" w:hAnsiTheme="minorEastAsia" w:eastAsiaTheme="minorEastAsia" w:cstheme="minorEastAsia"/>
          <w:color w:val="auto"/>
          <w:kern w:val="0"/>
          <w:sz w:val="24"/>
          <w:szCs w:val="24"/>
          <w:highlight w:val="none"/>
          <w:lang w:eastAsia="zh-CN"/>
        </w:rPr>
        <w:t>技术</w:t>
      </w:r>
      <w:r>
        <w:rPr>
          <w:rFonts w:hint="eastAsia" w:asciiTheme="minorEastAsia" w:hAnsiTheme="minorEastAsia" w:eastAsiaTheme="minorEastAsia" w:cstheme="minorEastAsia"/>
          <w:color w:val="auto"/>
          <w:kern w:val="0"/>
          <w:sz w:val="24"/>
          <w:szCs w:val="24"/>
          <w:highlight w:val="none"/>
        </w:rPr>
        <w:t>指标优劣顺序排列推荐。以上都相同的，按商务条款的优劣顺序排列推荐。若供应商的</w:t>
      </w:r>
      <w:r>
        <w:rPr>
          <w:rFonts w:hint="eastAsia" w:asciiTheme="minorEastAsia" w:hAnsiTheme="minorEastAsia" w:eastAsiaTheme="minorEastAsia" w:cstheme="minorEastAsia"/>
          <w:color w:val="auto"/>
          <w:kern w:val="0"/>
          <w:sz w:val="24"/>
          <w:szCs w:val="24"/>
          <w:highlight w:val="none"/>
          <w:lang w:eastAsia="zh-CN"/>
        </w:rPr>
        <w:t>技术</w:t>
      </w:r>
      <w:r>
        <w:rPr>
          <w:rFonts w:hint="eastAsia" w:asciiTheme="minorEastAsia" w:hAnsiTheme="minorEastAsia" w:eastAsiaTheme="minorEastAsia" w:cstheme="minorEastAsia"/>
          <w:color w:val="auto"/>
          <w:kern w:val="0"/>
          <w:sz w:val="24"/>
          <w:szCs w:val="24"/>
          <w:highlight w:val="none"/>
        </w:rPr>
        <w:t>部分为0分，将失去成为成交候选供应商的资格。</w:t>
      </w:r>
    </w:p>
    <w:p w14:paraId="090E2A9B">
      <w:pPr>
        <w:pStyle w:val="3"/>
        <w:pageBreakBefore w:val="0"/>
        <w:widowControl/>
        <w:kinsoku/>
        <w:wordWrap/>
        <w:overflowPunct/>
        <w:topLinePunct w:val="0"/>
        <w:autoSpaceDE/>
        <w:autoSpaceDN/>
        <w:bidi w:val="0"/>
        <w:spacing w:before="0" w:after="0"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rPr>
      </w:pPr>
      <w:bookmarkStart w:id="111" w:name="_Toc13524"/>
      <w:bookmarkStart w:id="112" w:name="_Toc26569"/>
      <w:bookmarkStart w:id="113" w:name="_Toc4582"/>
      <w:r>
        <w:rPr>
          <w:rFonts w:hint="eastAsia" w:asciiTheme="minorEastAsia" w:hAnsiTheme="minorEastAsia" w:eastAsiaTheme="minorEastAsia" w:cstheme="minorEastAsia"/>
          <w:b/>
          <w:bCs/>
          <w:color w:val="auto"/>
          <w:sz w:val="24"/>
          <w:szCs w:val="24"/>
          <w:highlight w:val="none"/>
        </w:rPr>
        <w:t>二、评审标准</w:t>
      </w:r>
      <w:bookmarkEnd w:id="111"/>
      <w:bookmarkEnd w:id="112"/>
      <w:bookmarkEnd w:id="113"/>
    </w:p>
    <w:tbl>
      <w:tblPr>
        <w:tblStyle w:val="58"/>
        <w:tblW w:w="92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7"/>
        <w:gridCol w:w="1911"/>
        <w:gridCol w:w="1006"/>
        <w:gridCol w:w="3216"/>
        <w:gridCol w:w="2334"/>
      </w:tblGrid>
      <w:tr w14:paraId="24A2D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65F1B41C">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1911" w:type="dxa"/>
            <w:noWrap w:val="0"/>
            <w:vAlign w:val="center"/>
          </w:tcPr>
          <w:p w14:paraId="5E56A6AA">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评分因素及权值</w:t>
            </w:r>
          </w:p>
        </w:tc>
        <w:tc>
          <w:tcPr>
            <w:tcW w:w="0" w:type="auto"/>
            <w:tcBorders>
              <w:right w:val="single" w:color="auto" w:sz="4" w:space="0"/>
            </w:tcBorders>
            <w:noWrap w:val="0"/>
            <w:vAlign w:val="center"/>
          </w:tcPr>
          <w:p w14:paraId="1F85E2FE">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分值</w:t>
            </w:r>
          </w:p>
        </w:tc>
        <w:tc>
          <w:tcPr>
            <w:tcW w:w="3216" w:type="dxa"/>
            <w:tcBorders>
              <w:left w:val="single" w:color="auto" w:sz="4" w:space="0"/>
            </w:tcBorders>
            <w:noWrap w:val="0"/>
            <w:vAlign w:val="center"/>
          </w:tcPr>
          <w:p w14:paraId="09DC4D1E">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评分标准</w:t>
            </w:r>
          </w:p>
        </w:tc>
        <w:tc>
          <w:tcPr>
            <w:tcW w:w="2334" w:type="dxa"/>
            <w:noWrap w:val="0"/>
            <w:vAlign w:val="center"/>
          </w:tcPr>
          <w:p w14:paraId="0ABD955F">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w:t>
            </w:r>
          </w:p>
        </w:tc>
      </w:tr>
      <w:tr w14:paraId="4F12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noWrap w:val="0"/>
            <w:vAlign w:val="center"/>
          </w:tcPr>
          <w:p w14:paraId="40C1F8D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lang w:val="en-US" w:eastAsia="zh-CN"/>
              </w:rPr>
            </w:pPr>
            <w:bookmarkStart w:id="114" w:name="_Toc26686"/>
            <w:r>
              <w:rPr>
                <w:rFonts w:hint="eastAsia" w:ascii="宋体" w:hAnsi="宋体" w:eastAsia="宋体" w:cs="宋体"/>
                <w:b w:val="0"/>
                <w:bCs w:val="0"/>
                <w:color w:val="auto"/>
                <w:sz w:val="21"/>
                <w:szCs w:val="21"/>
                <w:highlight w:val="none"/>
                <w:lang w:val="en-US" w:eastAsia="zh-CN"/>
              </w:rPr>
              <w:t>1</w:t>
            </w:r>
            <w:bookmarkEnd w:id="114"/>
          </w:p>
        </w:tc>
        <w:tc>
          <w:tcPr>
            <w:tcW w:w="1911" w:type="dxa"/>
            <w:noWrap w:val="0"/>
            <w:vAlign w:val="center"/>
          </w:tcPr>
          <w:p w14:paraId="5B2CA8E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rPr>
            </w:pPr>
            <w:bookmarkStart w:id="115" w:name="_Toc12414"/>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w:t>
            </w:r>
            <w:bookmarkEnd w:id="115"/>
          </w:p>
          <w:p w14:paraId="2F7E27F9">
            <w:pPr>
              <w:keepNext w:val="0"/>
              <w:keepLines w:val="0"/>
              <w:pageBreakBefore w:val="0"/>
              <w:widowControl w:val="0"/>
              <w:kinsoku/>
              <w:wordWrap w:val="0"/>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val="0"/>
                <w:bCs w:val="0"/>
                <w:color w:val="auto"/>
                <w:sz w:val="21"/>
                <w:szCs w:val="21"/>
                <w:highlight w:val="none"/>
                <w:lang w:val="en-US"/>
              </w:rPr>
            </w:pPr>
            <w:bookmarkStart w:id="116" w:name="_Toc23381"/>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3</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val="en-US" w:eastAsia="zh-CN"/>
              </w:rPr>
              <w:t>%）</w:t>
            </w:r>
            <w:bookmarkEnd w:id="116"/>
          </w:p>
        </w:tc>
        <w:tc>
          <w:tcPr>
            <w:tcW w:w="0" w:type="auto"/>
            <w:tcBorders>
              <w:right w:val="single" w:color="auto" w:sz="4" w:space="0"/>
            </w:tcBorders>
            <w:noWrap w:val="0"/>
            <w:vAlign w:val="center"/>
          </w:tcPr>
          <w:p w14:paraId="6E1A419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bookmarkStart w:id="117" w:name="_Toc21629"/>
            <w:r>
              <w:rPr>
                <w:rFonts w:hint="eastAsia" w:ascii="宋体" w:hAnsi="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lang w:val="en-US" w:eastAsia="zh-CN"/>
              </w:rPr>
              <w:t>分</w:t>
            </w:r>
            <w:bookmarkEnd w:id="117"/>
          </w:p>
        </w:tc>
        <w:tc>
          <w:tcPr>
            <w:tcW w:w="3216" w:type="dxa"/>
            <w:tcBorders>
              <w:left w:val="single" w:color="auto" w:sz="4" w:space="0"/>
            </w:tcBorders>
            <w:noWrap w:val="0"/>
            <w:vAlign w:val="center"/>
          </w:tcPr>
          <w:p w14:paraId="0CBA573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18" w:name="_Toc11949"/>
            <w:r>
              <w:rPr>
                <w:rFonts w:hint="eastAsia" w:ascii="宋体" w:hAnsi="宋体" w:eastAsia="宋体" w:cs="宋体"/>
                <w:b w:val="0"/>
                <w:bCs w:val="0"/>
                <w:color w:val="auto"/>
                <w:sz w:val="21"/>
                <w:szCs w:val="21"/>
                <w:highlight w:val="none"/>
              </w:rPr>
              <w:t>满足资格性、符合性要求且最后报价最低的供应商的价格为磋商基准价，其价格分为满分。其他供应商的价格分统一按照下列公式计算：</w:t>
            </w:r>
            <w:bookmarkEnd w:id="118"/>
          </w:p>
          <w:p w14:paraId="566D6FA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19" w:name="_Toc30482"/>
            <w:r>
              <w:rPr>
                <w:rFonts w:hint="eastAsia" w:ascii="宋体" w:hAnsi="宋体" w:eastAsia="宋体" w:cs="宋体"/>
                <w:b w:val="0"/>
                <w:bCs w:val="0"/>
                <w:color w:val="auto"/>
                <w:sz w:val="21"/>
                <w:szCs w:val="21"/>
                <w:highlight w:val="none"/>
              </w:rPr>
              <w:t>磋商报价得分=（磋商基准价/最后磋商报价）×价格权值×100</w:t>
            </w:r>
            <w:bookmarkEnd w:id="119"/>
          </w:p>
        </w:tc>
        <w:tc>
          <w:tcPr>
            <w:tcW w:w="2334" w:type="dxa"/>
            <w:noWrap w:val="0"/>
            <w:vAlign w:val="center"/>
          </w:tcPr>
          <w:p w14:paraId="0525C00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高于最高限价的报价为无效报价。</w:t>
            </w:r>
          </w:p>
        </w:tc>
      </w:tr>
      <w:tr w14:paraId="38DAE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restart"/>
            <w:tcBorders>
              <w:top w:val="single" w:color="auto" w:sz="4" w:space="0"/>
            </w:tcBorders>
            <w:noWrap w:val="0"/>
            <w:vAlign w:val="center"/>
          </w:tcPr>
          <w:p w14:paraId="6E2BC53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lang w:val="en-US" w:eastAsia="zh-CN"/>
              </w:rPr>
            </w:pPr>
            <w:bookmarkStart w:id="120" w:name="_Toc16449"/>
            <w:r>
              <w:rPr>
                <w:rFonts w:hint="eastAsia" w:ascii="宋体" w:hAnsi="宋体" w:eastAsia="宋体" w:cs="宋体"/>
                <w:b w:val="0"/>
                <w:bCs w:val="0"/>
                <w:color w:val="auto"/>
                <w:sz w:val="21"/>
                <w:szCs w:val="21"/>
                <w:highlight w:val="none"/>
                <w:lang w:val="en-US" w:eastAsia="zh-CN"/>
              </w:rPr>
              <w:t>2</w:t>
            </w:r>
            <w:bookmarkEnd w:id="120"/>
          </w:p>
        </w:tc>
        <w:tc>
          <w:tcPr>
            <w:tcW w:w="1911" w:type="dxa"/>
            <w:vMerge w:val="restart"/>
            <w:tcBorders>
              <w:top w:val="single" w:color="auto" w:sz="4" w:space="0"/>
            </w:tcBorders>
            <w:noWrap w:val="0"/>
            <w:vAlign w:val="center"/>
          </w:tcPr>
          <w:p w14:paraId="4A910F5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rPr>
            </w:pPr>
            <w:bookmarkStart w:id="121" w:name="_Toc21611"/>
            <w:r>
              <w:rPr>
                <w:rFonts w:hint="eastAsia" w:ascii="宋体" w:hAnsi="宋体" w:eastAsia="宋体" w:cs="宋体"/>
                <w:b w:val="0"/>
                <w:bCs w:val="0"/>
                <w:color w:val="auto"/>
                <w:sz w:val="21"/>
                <w:szCs w:val="21"/>
                <w:highlight w:val="none"/>
              </w:rPr>
              <w:t>服务部分（</w:t>
            </w:r>
            <w:r>
              <w:rPr>
                <w:rFonts w:hint="eastAsia" w:ascii="宋体" w:hAnsi="宋体" w:eastAsia="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w:t>
            </w:r>
            <w:bookmarkEnd w:id="121"/>
          </w:p>
        </w:tc>
        <w:tc>
          <w:tcPr>
            <w:tcW w:w="0" w:type="auto"/>
            <w:tcBorders>
              <w:left w:val="single" w:color="auto" w:sz="4" w:space="0"/>
            </w:tcBorders>
            <w:noWrap w:val="0"/>
            <w:vAlign w:val="center"/>
          </w:tcPr>
          <w:p w14:paraId="1546A19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2" w:name="_Toc9979"/>
            <w:r>
              <w:rPr>
                <w:rFonts w:hint="eastAsia" w:ascii="宋体" w:hAnsi="宋体" w:cs="宋体"/>
                <w:b w:val="0"/>
                <w:bCs w:val="0"/>
                <w:color w:val="auto"/>
                <w:sz w:val="21"/>
                <w:szCs w:val="21"/>
                <w:highlight w:val="none"/>
                <w:lang w:val="en-US" w:eastAsia="zh-CN"/>
              </w:rPr>
              <w:t>服务</w:t>
            </w:r>
            <w:r>
              <w:rPr>
                <w:rFonts w:hint="eastAsia" w:ascii="宋体" w:hAnsi="宋体" w:eastAsia="宋体" w:cs="宋体"/>
                <w:b w:val="0"/>
                <w:bCs w:val="0"/>
                <w:color w:val="auto"/>
                <w:sz w:val="21"/>
                <w:szCs w:val="21"/>
                <w:highlight w:val="none"/>
                <w:lang w:val="en-US" w:eastAsia="zh-CN"/>
              </w:rPr>
              <w:t>方案</w:t>
            </w: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val="en-US" w:eastAsia="zh-CN"/>
              </w:rPr>
              <w:t>25</w:t>
            </w:r>
            <w:r>
              <w:rPr>
                <w:rFonts w:hint="eastAsia" w:ascii="宋体" w:hAnsi="宋体" w:eastAsia="宋体" w:cs="宋体"/>
                <w:b w:val="0"/>
                <w:bCs w:val="0"/>
                <w:color w:val="auto"/>
                <w:sz w:val="21"/>
                <w:szCs w:val="21"/>
                <w:highlight w:val="none"/>
              </w:rPr>
              <w:t>分）</w:t>
            </w:r>
            <w:bookmarkEnd w:id="122"/>
          </w:p>
        </w:tc>
        <w:tc>
          <w:tcPr>
            <w:tcW w:w="3216" w:type="dxa"/>
            <w:noWrap w:val="0"/>
            <w:vAlign w:val="center"/>
          </w:tcPr>
          <w:p w14:paraId="6BFE548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根据项目采购需求提供服务保障方案，内容包括</w:t>
            </w:r>
            <w:r>
              <w:rPr>
                <w:rFonts w:hint="eastAsia" w:ascii="宋体" w:hAnsi="宋体" w:cs="宋体"/>
                <w:b w:val="0"/>
                <w:bCs w:val="0"/>
                <w:color w:val="auto"/>
                <w:sz w:val="21"/>
                <w:szCs w:val="21"/>
                <w:highlight w:val="none"/>
                <w:lang w:val="en-US" w:eastAsia="zh-CN"/>
              </w:rPr>
              <w:t>需求</w:t>
            </w:r>
            <w:r>
              <w:rPr>
                <w:rFonts w:hint="eastAsia" w:ascii="宋体" w:hAnsi="宋体" w:eastAsia="宋体" w:cs="宋体"/>
                <w:b w:val="0"/>
                <w:bCs w:val="0"/>
                <w:color w:val="auto"/>
                <w:sz w:val="21"/>
                <w:szCs w:val="21"/>
                <w:highlight w:val="none"/>
                <w:lang w:val="en-US" w:eastAsia="zh-CN"/>
              </w:rPr>
              <w:t>分析、</w:t>
            </w:r>
            <w:r>
              <w:rPr>
                <w:rFonts w:hint="eastAsia" w:ascii="宋体" w:hAnsi="宋体" w:cs="宋体"/>
                <w:b w:val="0"/>
                <w:bCs w:val="0"/>
                <w:color w:val="auto"/>
                <w:sz w:val="21"/>
                <w:szCs w:val="21"/>
                <w:highlight w:val="none"/>
                <w:lang w:val="en-US" w:eastAsia="zh-CN"/>
              </w:rPr>
              <w:t>设计方案、信息安全、人员管理、进度管理、质量管理、风险管理等内容</w:t>
            </w:r>
            <w:r>
              <w:rPr>
                <w:rFonts w:hint="eastAsia" w:ascii="宋体" w:hAnsi="宋体" w:eastAsia="宋体" w:cs="宋体"/>
                <w:b w:val="0"/>
                <w:bCs w:val="0"/>
                <w:color w:val="auto"/>
                <w:sz w:val="21"/>
                <w:szCs w:val="21"/>
                <w:highlight w:val="none"/>
              </w:rPr>
              <w:t>。</w:t>
            </w:r>
          </w:p>
          <w:p w14:paraId="04BD7BF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方案内容不存在瑕疵，得</w:t>
            </w:r>
            <w:r>
              <w:rPr>
                <w:rFonts w:hint="eastAsia" w:ascii="宋体" w:hAnsi="宋体" w:cs="宋体"/>
                <w:b w:val="0"/>
                <w:bCs w:val="0"/>
                <w:color w:val="auto"/>
                <w:sz w:val="21"/>
                <w:szCs w:val="21"/>
                <w:highlight w:val="none"/>
                <w:lang w:val="en-US" w:eastAsia="zh-CN"/>
              </w:rPr>
              <w:t>25</w:t>
            </w:r>
            <w:r>
              <w:rPr>
                <w:rFonts w:hint="eastAsia" w:ascii="宋体" w:hAnsi="宋体" w:eastAsia="宋体" w:cs="宋体"/>
                <w:b w:val="0"/>
                <w:bCs w:val="0"/>
                <w:color w:val="auto"/>
                <w:sz w:val="21"/>
                <w:szCs w:val="21"/>
                <w:highlight w:val="none"/>
              </w:rPr>
              <w:t>分；</w:t>
            </w:r>
          </w:p>
          <w:p w14:paraId="442B1EF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方案内容存在1处瑕疵，得</w:t>
            </w:r>
            <w:r>
              <w:rPr>
                <w:rFonts w:hint="eastAsia" w:ascii="宋体" w:hAnsi="宋体" w:cs="宋体"/>
                <w:b w:val="0"/>
                <w:bCs w:val="0"/>
                <w:color w:val="auto"/>
                <w:sz w:val="21"/>
                <w:szCs w:val="21"/>
                <w:highlight w:val="none"/>
                <w:lang w:val="en-US" w:eastAsia="zh-CN"/>
              </w:rPr>
              <w:t>20</w:t>
            </w:r>
            <w:r>
              <w:rPr>
                <w:rFonts w:hint="eastAsia" w:ascii="宋体" w:hAnsi="宋体" w:eastAsia="宋体" w:cs="宋体"/>
                <w:b w:val="0"/>
                <w:bCs w:val="0"/>
                <w:color w:val="auto"/>
                <w:sz w:val="21"/>
                <w:szCs w:val="21"/>
                <w:highlight w:val="none"/>
              </w:rPr>
              <w:t>分；</w:t>
            </w:r>
          </w:p>
          <w:p w14:paraId="5EC769A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方案内容存在2处瑕疵，得</w:t>
            </w:r>
            <w:r>
              <w:rPr>
                <w:rFonts w:hint="eastAsia" w:ascii="宋体" w:hAnsi="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rPr>
              <w:t>分；</w:t>
            </w:r>
          </w:p>
          <w:p w14:paraId="2586043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方案内容存在3处瑕疵，得</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p w14:paraId="2220B77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方案内容存在4处瑕疵，得</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p>
          <w:p w14:paraId="614D8ED9">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处瑕疵，得</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分；</w:t>
            </w:r>
          </w:p>
          <w:p w14:paraId="1FD4517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方案内容存在</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处及以上瑕疵或未提供得0分</w:t>
            </w:r>
            <w:r>
              <w:rPr>
                <w:rFonts w:hint="eastAsia" w:ascii="宋体" w:hAnsi="宋体" w:eastAsia="宋体" w:cs="宋体"/>
                <w:b w:val="0"/>
                <w:bCs w:val="0"/>
                <w:color w:val="auto"/>
                <w:sz w:val="21"/>
                <w:szCs w:val="21"/>
                <w:highlight w:val="none"/>
                <w:lang w:eastAsia="zh-CN"/>
              </w:rPr>
              <w:t>。</w:t>
            </w:r>
          </w:p>
        </w:tc>
        <w:tc>
          <w:tcPr>
            <w:tcW w:w="2334" w:type="dxa"/>
            <w:vMerge w:val="restart"/>
            <w:noWrap w:val="0"/>
            <w:vAlign w:val="center"/>
          </w:tcPr>
          <w:p w14:paraId="796F3B1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3" w:name="_Toc24298"/>
            <w:r>
              <w:rPr>
                <w:rFonts w:hint="eastAsia" w:ascii="宋体" w:hAnsi="宋体" w:eastAsia="宋体" w:cs="宋体"/>
                <w:b w:val="0"/>
                <w:bCs w:val="0"/>
                <w:color w:val="auto"/>
                <w:sz w:val="21"/>
                <w:szCs w:val="21"/>
                <w:highlight w:val="none"/>
              </w:rPr>
              <w:t>提供方案，格式自拟。</w:t>
            </w:r>
            <w:bookmarkEnd w:id="123"/>
          </w:p>
          <w:p w14:paraId="6E33E10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4" w:name="_Toc13138"/>
            <w:r>
              <w:rPr>
                <w:rFonts w:hint="eastAsia" w:ascii="宋体" w:hAnsi="宋体" w:eastAsia="宋体" w:cs="宋体"/>
                <w:b w:val="0"/>
                <w:bCs w:val="0"/>
                <w:color w:val="auto"/>
                <w:sz w:val="21"/>
                <w:szCs w:val="21"/>
                <w:highlight w:val="none"/>
              </w:rPr>
              <w:t>注：</w:t>
            </w:r>
            <w:bookmarkEnd w:id="124"/>
          </w:p>
          <w:p w14:paraId="0F454ADC">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5" w:name="_Toc12917"/>
            <w:r>
              <w:rPr>
                <w:rFonts w:hint="eastAsia" w:ascii="宋体" w:hAnsi="宋体" w:eastAsia="宋体" w:cs="宋体"/>
                <w:b w:val="0"/>
                <w:bCs w:val="0"/>
                <w:color w:val="auto"/>
                <w:sz w:val="21"/>
                <w:szCs w:val="21"/>
                <w:highlight w:val="none"/>
              </w:rPr>
              <w:t>1.</w:t>
            </w:r>
            <w:r>
              <w:rPr>
                <w:rFonts w:hint="eastAsia" w:ascii="宋体" w:hAnsi="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所提供方案必须建立在</w:t>
            </w:r>
            <w:r>
              <w:rPr>
                <w:rFonts w:hint="eastAsia" w:ascii="宋体" w:hAnsi="宋体" w:eastAsia="宋体" w:cs="宋体"/>
                <w:b w:val="0"/>
                <w:bCs w:val="0"/>
                <w:color w:val="auto"/>
                <w:sz w:val="21"/>
                <w:szCs w:val="21"/>
                <w:highlight w:val="none"/>
                <w:lang w:val="en-US" w:eastAsia="zh-CN"/>
              </w:rPr>
              <w:t>本项目实际情况</w:t>
            </w:r>
            <w:r>
              <w:rPr>
                <w:rFonts w:hint="eastAsia" w:ascii="宋体" w:hAnsi="宋体" w:eastAsia="宋体" w:cs="宋体"/>
                <w:b w:val="0"/>
                <w:bCs w:val="0"/>
                <w:color w:val="auto"/>
                <w:sz w:val="21"/>
                <w:szCs w:val="21"/>
                <w:highlight w:val="none"/>
              </w:rPr>
              <w:t>之上进行展开，否则相关内容按0分；</w:t>
            </w:r>
            <w:bookmarkEnd w:id="125"/>
          </w:p>
          <w:p w14:paraId="7C5AFE36">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6" w:name="_Toc29672"/>
            <w:r>
              <w:rPr>
                <w:rFonts w:hint="eastAsia" w:ascii="宋体" w:hAnsi="宋体" w:eastAsia="宋体" w:cs="宋体"/>
                <w:b w:val="0"/>
                <w:bCs w:val="0"/>
                <w:color w:val="auto"/>
                <w:sz w:val="21"/>
                <w:szCs w:val="21"/>
                <w:highlight w:val="none"/>
              </w:rPr>
              <w:t>2.本项内容中所称的“瑕疵”：</w:t>
            </w:r>
            <w:bookmarkEnd w:id="126"/>
          </w:p>
          <w:p w14:paraId="0EC1885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7" w:name="_Toc5931"/>
            <w:r>
              <w:rPr>
                <w:rFonts w:hint="eastAsia" w:ascii="宋体" w:hAnsi="宋体" w:eastAsia="宋体" w:cs="宋体"/>
                <w:b w:val="0"/>
                <w:bCs w:val="0"/>
                <w:color w:val="auto"/>
                <w:sz w:val="21"/>
                <w:szCs w:val="21"/>
                <w:highlight w:val="none"/>
              </w:rPr>
              <w:t>①内容表述不完整或缺少关键分析点；</w:t>
            </w:r>
            <w:bookmarkEnd w:id="127"/>
          </w:p>
          <w:p w14:paraId="292D0FC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8" w:name="_Toc18936"/>
            <w:r>
              <w:rPr>
                <w:rFonts w:hint="eastAsia" w:ascii="宋体" w:hAnsi="宋体" w:eastAsia="宋体" w:cs="宋体"/>
                <w:b w:val="0"/>
                <w:bCs w:val="0"/>
                <w:color w:val="auto"/>
                <w:sz w:val="21"/>
                <w:szCs w:val="21"/>
                <w:highlight w:val="none"/>
              </w:rPr>
              <w:t>②计划及措施不科学合理方案；</w:t>
            </w:r>
            <w:bookmarkEnd w:id="128"/>
          </w:p>
          <w:p w14:paraId="7D7D25B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29" w:name="_Toc8577"/>
            <w:r>
              <w:rPr>
                <w:rFonts w:hint="eastAsia" w:ascii="宋体" w:hAnsi="宋体" w:eastAsia="宋体" w:cs="宋体"/>
                <w:b w:val="0"/>
                <w:bCs w:val="0"/>
                <w:color w:val="auto"/>
                <w:sz w:val="21"/>
                <w:szCs w:val="21"/>
                <w:highlight w:val="none"/>
              </w:rPr>
              <w:t>③内容表述前后矛盾、无连贯性、内容存在逻辑漏洞；</w:t>
            </w:r>
            <w:bookmarkEnd w:id="129"/>
          </w:p>
          <w:p w14:paraId="54EC564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30" w:name="_Toc14858"/>
            <w:r>
              <w:rPr>
                <w:rFonts w:hint="eastAsia" w:ascii="宋体" w:hAnsi="宋体" w:eastAsia="宋体" w:cs="宋体"/>
                <w:b w:val="0"/>
                <w:bCs w:val="0"/>
                <w:color w:val="auto"/>
                <w:sz w:val="21"/>
                <w:szCs w:val="21"/>
                <w:highlight w:val="none"/>
              </w:rPr>
              <w:t>④常识性错误；</w:t>
            </w:r>
            <w:bookmarkEnd w:id="130"/>
          </w:p>
          <w:p w14:paraId="0943CA9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31" w:name="_Toc1588"/>
            <w:r>
              <w:rPr>
                <w:rFonts w:hint="eastAsia" w:ascii="宋体" w:hAnsi="宋体" w:eastAsia="宋体" w:cs="宋体"/>
                <w:b w:val="0"/>
                <w:bCs w:val="0"/>
                <w:color w:val="auto"/>
                <w:sz w:val="21"/>
                <w:szCs w:val="21"/>
                <w:highlight w:val="none"/>
              </w:rPr>
              <w:t>⑤技术措施保障安排并不适用本项目特性或非专门针对本项目制定；</w:t>
            </w:r>
            <w:bookmarkEnd w:id="131"/>
          </w:p>
          <w:p w14:paraId="0BAC437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32" w:name="_Toc18130"/>
            <w:r>
              <w:rPr>
                <w:rFonts w:hint="eastAsia" w:ascii="宋体" w:hAnsi="宋体" w:eastAsia="宋体" w:cs="宋体"/>
                <w:b w:val="0"/>
                <w:bCs w:val="0"/>
                <w:color w:val="auto"/>
                <w:sz w:val="21"/>
                <w:szCs w:val="21"/>
                <w:highlight w:val="none"/>
              </w:rPr>
              <w:t>⑥方案中提出的措施举措不利于本项目目标的实现；</w:t>
            </w:r>
            <w:bookmarkEnd w:id="132"/>
          </w:p>
          <w:p w14:paraId="6DAB801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bookmarkStart w:id="133" w:name="_Toc8790"/>
            <w:r>
              <w:rPr>
                <w:rFonts w:hint="eastAsia" w:ascii="宋体" w:hAnsi="宋体" w:eastAsia="宋体" w:cs="宋体"/>
                <w:b w:val="0"/>
                <w:bCs w:val="0"/>
                <w:color w:val="auto"/>
                <w:sz w:val="21"/>
                <w:szCs w:val="21"/>
                <w:highlight w:val="none"/>
              </w:rPr>
              <w:t>⑦现有技术条件下不可能实现采购目标；</w:t>
            </w:r>
            <w:bookmarkEnd w:id="133"/>
          </w:p>
          <w:p w14:paraId="2134E6D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bookmarkStart w:id="134" w:name="_Toc20897"/>
            <w:r>
              <w:rPr>
                <w:rFonts w:hint="eastAsia" w:ascii="宋体" w:hAnsi="宋体" w:eastAsia="宋体" w:cs="宋体"/>
                <w:b w:val="0"/>
                <w:bCs w:val="0"/>
                <w:color w:val="auto"/>
                <w:sz w:val="21"/>
                <w:szCs w:val="21"/>
                <w:highlight w:val="none"/>
              </w:rPr>
              <w:t>上述任意一种情形为1处瑕疵。</w:t>
            </w:r>
            <w:bookmarkEnd w:id="134"/>
          </w:p>
        </w:tc>
      </w:tr>
      <w:tr w14:paraId="1E3C0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6D82832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rPr>
            </w:pPr>
            <w:bookmarkStart w:id="135" w:name="_Toc22360"/>
          </w:p>
        </w:tc>
        <w:tc>
          <w:tcPr>
            <w:tcW w:w="1911" w:type="dxa"/>
            <w:vMerge w:val="continue"/>
            <w:noWrap w:val="0"/>
            <w:vAlign w:val="center"/>
          </w:tcPr>
          <w:p w14:paraId="223638A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rPr>
            </w:pPr>
          </w:p>
        </w:tc>
        <w:tc>
          <w:tcPr>
            <w:tcW w:w="0" w:type="auto"/>
            <w:tcBorders>
              <w:left w:val="single" w:color="auto" w:sz="4" w:space="0"/>
            </w:tcBorders>
            <w:noWrap w:val="0"/>
            <w:vAlign w:val="center"/>
          </w:tcPr>
          <w:p w14:paraId="192605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质量及进度方案</w:t>
            </w:r>
          </w:p>
          <w:p w14:paraId="49FE19D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p>
        </w:tc>
        <w:tc>
          <w:tcPr>
            <w:tcW w:w="3216" w:type="dxa"/>
            <w:noWrap w:val="0"/>
            <w:vAlign w:val="center"/>
          </w:tcPr>
          <w:p w14:paraId="06F1B10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结合本</w:t>
            </w:r>
            <w:r>
              <w:rPr>
                <w:rFonts w:hint="eastAsia" w:ascii="宋体" w:hAnsi="宋体" w:eastAsia="宋体" w:cs="宋体"/>
                <w:color w:val="auto"/>
                <w:sz w:val="21"/>
                <w:szCs w:val="21"/>
                <w:highlight w:val="none"/>
                <w:lang w:val="en-US" w:eastAsia="zh-CN"/>
              </w:rPr>
              <w:t>项目实际情况和</w:t>
            </w:r>
            <w:r>
              <w:rPr>
                <w:rFonts w:hint="eastAsia" w:ascii="宋体" w:hAnsi="宋体" w:eastAsia="宋体" w:cs="宋体"/>
                <w:color w:val="auto"/>
                <w:sz w:val="21"/>
                <w:szCs w:val="21"/>
                <w:highlight w:val="none"/>
              </w:rPr>
              <w:t>采购需求，</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质量及进度方案</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sz w:val="21"/>
                <w:szCs w:val="21"/>
                <w:highlight w:val="none"/>
              </w:rPr>
              <w:t>内容包括</w:t>
            </w:r>
            <w:r>
              <w:rPr>
                <w:rFonts w:hint="eastAsia" w:ascii="宋体" w:hAnsi="宋体" w:eastAsia="宋体" w:cs="宋体"/>
                <w:color w:val="auto"/>
                <w:sz w:val="21"/>
                <w:szCs w:val="21"/>
                <w:highlight w:val="none"/>
                <w:lang w:val="en-US" w:eastAsia="zh-CN"/>
              </w:rPr>
              <w:t>但不限于：①质量管理及保障措施；②组织架构及职责；③进度计划；④进度保障措施。</w:t>
            </w:r>
          </w:p>
          <w:p w14:paraId="0C237F2B">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方案内容不存在瑕疵，得</w:t>
            </w:r>
            <w:r>
              <w:rPr>
                <w:rFonts w:hint="eastAsia" w:ascii="宋体" w:hAnsi="宋体" w:cs="宋体"/>
                <w:b w:val="0"/>
                <w:bCs w:val="0"/>
                <w:color w:val="auto"/>
                <w:sz w:val="21"/>
                <w:szCs w:val="21"/>
                <w:highlight w:val="none"/>
                <w:lang w:val="en-US" w:eastAsia="zh-CN"/>
              </w:rPr>
              <w:t>25</w:t>
            </w:r>
            <w:r>
              <w:rPr>
                <w:rFonts w:hint="eastAsia" w:ascii="宋体" w:hAnsi="宋体" w:eastAsia="宋体" w:cs="宋体"/>
                <w:b w:val="0"/>
                <w:bCs w:val="0"/>
                <w:color w:val="auto"/>
                <w:sz w:val="21"/>
                <w:szCs w:val="21"/>
                <w:highlight w:val="none"/>
              </w:rPr>
              <w:t>分；</w:t>
            </w:r>
          </w:p>
          <w:p w14:paraId="3357F03D">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方案内容存在1处瑕疵，得</w:t>
            </w:r>
            <w:r>
              <w:rPr>
                <w:rFonts w:hint="eastAsia" w:ascii="宋体" w:hAnsi="宋体" w:cs="宋体"/>
                <w:b w:val="0"/>
                <w:bCs w:val="0"/>
                <w:color w:val="auto"/>
                <w:sz w:val="21"/>
                <w:szCs w:val="21"/>
                <w:highlight w:val="none"/>
                <w:lang w:val="en-US" w:eastAsia="zh-CN"/>
              </w:rPr>
              <w:t>20</w:t>
            </w:r>
            <w:r>
              <w:rPr>
                <w:rFonts w:hint="eastAsia" w:ascii="宋体" w:hAnsi="宋体" w:eastAsia="宋体" w:cs="宋体"/>
                <w:b w:val="0"/>
                <w:bCs w:val="0"/>
                <w:color w:val="auto"/>
                <w:sz w:val="21"/>
                <w:szCs w:val="21"/>
                <w:highlight w:val="none"/>
              </w:rPr>
              <w:t>分；</w:t>
            </w:r>
          </w:p>
          <w:p w14:paraId="45851ED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方案内容存在2处瑕疵，得</w:t>
            </w:r>
            <w:r>
              <w:rPr>
                <w:rFonts w:hint="eastAsia" w:ascii="宋体" w:hAnsi="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rPr>
              <w:t>分；</w:t>
            </w:r>
          </w:p>
          <w:p w14:paraId="3A39C7D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方案内容存在3处瑕疵，得</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p w14:paraId="37A6BC5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方案内容存在4处瑕疵，得</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p>
          <w:p w14:paraId="4662C50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处瑕疵，得</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分；</w:t>
            </w:r>
          </w:p>
          <w:p w14:paraId="0BEA8F2F">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方案内容存在</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处及以上瑕疵或未提供得0分</w:t>
            </w:r>
          </w:p>
        </w:tc>
        <w:tc>
          <w:tcPr>
            <w:tcW w:w="2334" w:type="dxa"/>
            <w:vMerge w:val="continue"/>
            <w:noWrap w:val="0"/>
            <w:vAlign w:val="center"/>
          </w:tcPr>
          <w:p w14:paraId="08C4FD48">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p>
        </w:tc>
      </w:tr>
      <w:tr w14:paraId="2685A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57" w:type="dxa"/>
            <w:vMerge w:val="continue"/>
            <w:noWrap w:val="0"/>
            <w:vAlign w:val="center"/>
          </w:tcPr>
          <w:p w14:paraId="0D95A090">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rPr>
            </w:pPr>
          </w:p>
        </w:tc>
        <w:tc>
          <w:tcPr>
            <w:tcW w:w="1911" w:type="dxa"/>
            <w:vMerge w:val="continue"/>
            <w:noWrap w:val="0"/>
            <w:vAlign w:val="center"/>
          </w:tcPr>
          <w:p w14:paraId="5BB4981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rPr>
            </w:pPr>
          </w:p>
        </w:tc>
        <w:tc>
          <w:tcPr>
            <w:tcW w:w="1006" w:type="dxa"/>
            <w:tcBorders>
              <w:left w:val="single" w:color="auto" w:sz="4" w:space="0"/>
            </w:tcBorders>
            <w:noWrap w:val="0"/>
            <w:vAlign w:val="center"/>
          </w:tcPr>
          <w:p w14:paraId="3CBDC6C7">
            <w:pPr>
              <w:keepNext w:val="0"/>
              <w:keepLines w:val="0"/>
              <w:pageBreakBefore w:val="0"/>
              <w:widowControl w:val="0"/>
              <w:kinsoku/>
              <w:wordWrap w:val="0"/>
              <w:overflowPunct/>
              <w:topLinePunct w:val="0"/>
              <w:autoSpaceDE/>
              <w:autoSpaceDN/>
              <w:bidi w:val="0"/>
              <w:adjustRightInd/>
              <w:snapToGrid w:val="0"/>
              <w:spacing w:line="240" w:lineRule="auto"/>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售后服务方案（</w:t>
            </w:r>
            <w:r>
              <w:rPr>
                <w:rFonts w:hint="eastAsia" w:ascii="宋体" w:hAnsi="宋体" w:cs="宋体"/>
                <w:b w:val="0"/>
                <w:bCs w:val="0"/>
                <w:color w:val="auto"/>
                <w:sz w:val="21"/>
                <w:szCs w:val="21"/>
                <w:highlight w:val="none"/>
                <w:lang w:val="en-US" w:eastAsia="zh-CN"/>
              </w:rPr>
              <w:t>20</w:t>
            </w:r>
            <w:r>
              <w:rPr>
                <w:rFonts w:hint="eastAsia" w:ascii="宋体" w:hAnsi="宋体" w:eastAsia="宋体" w:cs="宋体"/>
                <w:b w:val="0"/>
                <w:bCs w:val="0"/>
                <w:color w:val="auto"/>
                <w:sz w:val="21"/>
                <w:szCs w:val="21"/>
                <w:highlight w:val="none"/>
              </w:rPr>
              <w:t>分）</w:t>
            </w:r>
          </w:p>
        </w:tc>
        <w:tc>
          <w:tcPr>
            <w:tcW w:w="3216" w:type="dxa"/>
            <w:noWrap w:val="0"/>
            <w:vAlign w:val="center"/>
          </w:tcPr>
          <w:p w14:paraId="1FD89C3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根据供应商提供的售后服务方案进行评审，售后服务方案需至少包括机构设置、人员配置、系统维护与升级、问题处理流程的内容。</w:t>
            </w:r>
          </w:p>
          <w:p w14:paraId="3F0ADFCE">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方案内容不存在瑕疵，得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分；</w:t>
            </w:r>
          </w:p>
          <w:p w14:paraId="6706872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方案内容存在1处瑕疵，得</w:t>
            </w:r>
            <w:r>
              <w:rPr>
                <w:rFonts w:hint="eastAsia" w:ascii="宋体" w:hAnsi="宋体" w:cs="宋体"/>
                <w:b w:val="0"/>
                <w:bCs w:val="0"/>
                <w:color w:val="auto"/>
                <w:sz w:val="21"/>
                <w:szCs w:val="21"/>
                <w:highlight w:val="none"/>
                <w:lang w:val="en-US" w:eastAsia="zh-CN"/>
              </w:rPr>
              <w:t>16</w:t>
            </w:r>
            <w:r>
              <w:rPr>
                <w:rFonts w:hint="eastAsia" w:ascii="宋体" w:hAnsi="宋体" w:eastAsia="宋体" w:cs="宋体"/>
                <w:b w:val="0"/>
                <w:bCs w:val="0"/>
                <w:color w:val="auto"/>
                <w:sz w:val="21"/>
                <w:szCs w:val="21"/>
                <w:highlight w:val="none"/>
              </w:rPr>
              <w:t>分；</w:t>
            </w:r>
          </w:p>
          <w:p w14:paraId="182C8614">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方案内容存在2处瑕疵，得</w:t>
            </w:r>
            <w:r>
              <w:rPr>
                <w:rFonts w:hint="eastAsia" w:ascii="宋体" w:hAnsi="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rPr>
              <w:t>分；</w:t>
            </w:r>
          </w:p>
          <w:p w14:paraId="72173C35">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方案内容存在3处瑕疵，得</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分；</w:t>
            </w:r>
          </w:p>
          <w:p w14:paraId="11C4A001">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方案内容存在4处瑕疵，得</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p>
          <w:p w14:paraId="2018A553">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方案内容存在</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处瑕疵，得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p>
          <w:p w14:paraId="5634726A">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方案内容存在</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处及以上瑕疵或未提供得0分</w:t>
            </w:r>
            <w:r>
              <w:rPr>
                <w:rFonts w:hint="eastAsia" w:ascii="宋体" w:hAnsi="宋体" w:eastAsia="宋体" w:cs="宋体"/>
                <w:b w:val="0"/>
                <w:bCs w:val="0"/>
                <w:color w:val="auto"/>
                <w:sz w:val="21"/>
                <w:szCs w:val="21"/>
                <w:highlight w:val="none"/>
                <w:lang w:eastAsia="zh-CN"/>
              </w:rPr>
              <w:t>。</w:t>
            </w:r>
          </w:p>
        </w:tc>
        <w:tc>
          <w:tcPr>
            <w:tcW w:w="2334" w:type="dxa"/>
            <w:vMerge w:val="continue"/>
            <w:noWrap w:val="0"/>
            <w:vAlign w:val="center"/>
          </w:tcPr>
          <w:p w14:paraId="6AC21567">
            <w:pPr>
              <w:keepNext w:val="0"/>
              <w:keepLines w:val="0"/>
              <w:pageBreakBefore w:val="0"/>
              <w:widowControl w:val="0"/>
              <w:kinsoku/>
              <w:wordWrap w:val="0"/>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rPr>
            </w:pPr>
          </w:p>
        </w:tc>
      </w:tr>
      <w:bookmarkEnd w:id="135"/>
    </w:tbl>
    <w:p w14:paraId="2C3505CD">
      <w:pPr>
        <w:rPr>
          <w:rFonts w:hint="eastAsia" w:asciiTheme="minorEastAsia" w:hAnsiTheme="minorEastAsia" w:eastAsiaTheme="minorEastAsia" w:cstheme="minorEastAsia"/>
          <w:b/>
          <w:bCs/>
          <w:color w:val="auto"/>
          <w:sz w:val="24"/>
          <w:szCs w:val="24"/>
          <w:highlight w:val="none"/>
        </w:rPr>
      </w:pPr>
    </w:p>
    <w:p w14:paraId="51467ABF">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sz w:val="24"/>
          <w:szCs w:val="24"/>
          <w:highlight w:val="none"/>
          <w:lang w:eastAsia="zh-CN"/>
        </w:rPr>
        <w:t>磋商小组</w:t>
      </w:r>
      <w:r>
        <w:rPr>
          <w:rFonts w:hint="eastAsia" w:asciiTheme="minorEastAsia" w:hAnsiTheme="minorEastAsia" w:eastAsiaTheme="minorEastAsia" w:cstheme="minorEastAsia"/>
          <w:color w:val="auto"/>
          <w:sz w:val="24"/>
          <w:szCs w:val="24"/>
          <w:highlight w:val="none"/>
        </w:rPr>
        <w:t>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Theme="minorEastAsia" w:hAnsiTheme="minorEastAsia" w:eastAsiaTheme="minorEastAsia" w:cstheme="minorEastAsia"/>
          <w:color w:val="auto"/>
          <w:sz w:val="24"/>
          <w:szCs w:val="24"/>
          <w:highlight w:val="none"/>
          <w:lang w:eastAsia="zh-CN"/>
        </w:rPr>
        <w:t>磋商小组</w:t>
      </w:r>
      <w:r>
        <w:rPr>
          <w:rFonts w:hint="eastAsia" w:asciiTheme="minorEastAsia" w:hAnsiTheme="minorEastAsia" w:eastAsiaTheme="minorEastAsia" w:cstheme="minorEastAsia"/>
          <w:color w:val="auto"/>
          <w:sz w:val="24"/>
          <w:szCs w:val="24"/>
          <w:highlight w:val="none"/>
        </w:rPr>
        <w:t>应当将其作为无效投标处理。</w:t>
      </w:r>
    </w:p>
    <w:bookmarkEnd w:id="107"/>
    <w:p w14:paraId="34646716">
      <w:pPr>
        <w:pStyle w:val="3"/>
        <w:pageBreakBefore w:val="0"/>
        <w:widowControl/>
        <w:kinsoku/>
        <w:wordWrap/>
        <w:overflowPunct/>
        <w:topLinePunct w:val="0"/>
        <w:autoSpaceDE/>
        <w:autoSpaceDN/>
        <w:bidi w:val="0"/>
        <w:spacing w:before="0" w:after="0" w:line="400" w:lineRule="exact"/>
        <w:ind w:left="0"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36" w:name="_Toc15492"/>
      <w:bookmarkStart w:id="137" w:name="_Toc474603927"/>
      <w:bookmarkStart w:id="138" w:name="_Toc8792"/>
      <w:bookmarkStart w:id="139" w:name="_Toc11249"/>
      <w:bookmarkStart w:id="140" w:name="_Toc342913394"/>
      <w:bookmarkStart w:id="141" w:name="_Toc102227320"/>
      <w:r>
        <w:rPr>
          <w:rFonts w:hint="eastAsia" w:asciiTheme="minorEastAsia" w:hAnsiTheme="minorEastAsia" w:eastAsiaTheme="minorEastAsia" w:cstheme="minorEastAsia"/>
          <w:b/>
          <w:bCs/>
          <w:color w:val="auto"/>
          <w:sz w:val="24"/>
          <w:szCs w:val="24"/>
          <w:highlight w:val="none"/>
        </w:rPr>
        <w:t>三、无效响应</w:t>
      </w:r>
      <w:bookmarkEnd w:id="136"/>
      <w:bookmarkEnd w:id="137"/>
      <w:bookmarkEnd w:id="138"/>
      <w:bookmarkEnd w:id="139"/>
    </w:p>
    <w:p w14:paraId="2FD6EFCD">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供应商发生以下条款情况之一者，视为无效响应，其响应文件将被拒绝：</w:t>
      </w:r>
    </w:p>
    <w:p w14:paraId="728C3CB8">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供应商不符合规定的基本资格条件或特定资格条件的；</w:t>
      </w:r>
    </w:p>
    <w:p w14:paraId="4611FE4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供应商的法定代表人或其授权代表未参加磋商；</w:t>
      </w:r>
    </w:p>
    <w:p w14:paraId="06549F0A">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供应商未按照竞争性磋商文件的要求缴纳</w:t>
      </w:r>
      <w:r>
        <w:rPr>
          <w:rFonts w:hint="eastAsia" w:asciiTheme="minorEastAsia" w:hAnsiTheme="minorEastAsia" w:eastAsiaTheme="minorEastAsia" w:cstheme="minorEastAsia"/>
          <w:color w:val="auto"/>
          <w:sz w:val="24"/>
          <w:szCs w:val="24"/>
          <w:highlight w:val="none"/>
          <w:lang w:eastAsia="zh-CN"/>
        </w:rPr>
        <w:t>磋商保证金</w:t>
      </w:r>
      <w:r>
        <w:rPr>
          <w:rFonts w:hint="eastAsia" w:asciiTheme="minorEastAsia" w:hAnsiTheme="minorEastAsia" w:eastAsiaTheme="minorEastAsia" w:cstheme="minorEastAsia"/>
          <w:color w:val="auto"/>
          <w:sz w:val="24"/>
          <w:szCs w:val="24"/>
          <w:highlight w:val="none"/>
        </w:rPr>
        <w:t>；</w:t>
      </w:r>
    </w:p>
    <w:p w14:paraId="5E29F18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供应商所提交的响应文件不按第七篇“响应文件编制要求”规定签字、盖章；</w:t>
      </w:r>
    </w:p>
    <w:p w14:paraId="31D3D5EF">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供应商的最后报价超过采购限价的；</w:t>
      </w:r>
    </w:p>
    <w:p w14:paraId="4295490E">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法定代表人为同一个人的两个及两个以上法人，母公司、全资子公司及其控股公司，在同一分包采购中同时参与磋商；</w:t>
      </w:r>
    </w:p>
    <w:p w14:paraId="276F758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单位负责人为同一人或者存在直接控股、管理关系的不同供应商，参加同一合同项下的政府采购活动的；</w:t>
      </w:r>
    </w:p>
    <w:p w14:paraId="5845C0AF">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为采购项目提供整体设计、规范编制或者项目管理、监理、检测等服务的供应商，再参加该采购项目的其他采购活动；</w:t>
      </w:r>
    </w:p>
    <w:p w14:paraId="2CA9353B">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（九</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供应商的服务期、质量保证期及磋商有效期不满足竞争性磋商文件要求的；</w:t>
      </w:r>
    </w:p>
    <w:p w14:paraId="58DE1B48">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供应商响应文件内容有与国家现行法律法规相违背的内容，或附有采购人无法接受的条件。</w:t>
      </w:r>
    </w:p>
    <w:p w14:paraId="1656D78C">
      <w:pPr>
        <w:pStyle w:val="3"/>
        <w:pageBreakBefore w:val="0"/>
        <w:widowControl/>
        <w:kinsoku/>
        <w:wordWrap/>
        <w:overflowPunct/>
        <w:topLinePunct w:val="0"/>
        <w:autoSpaceDE/>
        <w:autoSpaceDN/>
        <w:bidi w:val="0"/>
        <w:spacing w:before="0" w:after="0" w:line="400" w:lineRule="exact"/>
        <w:ind w:left="0"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42" w:name="_Toc16356"/>
      <w:bookmarkStart w:id="143" w:name="_Toc27516"/>
      <w:bookmarkStart w:id="144" w:name="_Toc474603928"/>
      <w:bookmarkStart w:id="145" w:name="_Toc2142"/>
      <w:r>
        <w:rPr>
          <w:rFonts w:hint="eastAsia" w:asciiTheme="minorEastAsia" w:hAnsiTheme="minorEastAsia" w:eastAsiaTheme="minorEastAsia" w:cstheme="minorEastAsia"/>
          <w:b/>
          <w:bCs/>
          <w:color w:val="auto"/>
          <w:sz w:val="24"/>
          <w:szCs w:val="24"/>
          <w:highlight w:val="none"/>
        </w:rPr>
        <w:t>四、</w:t>
      </w:r>
      <w:bookmarkEnd w:id="140"/>
      <w:bookmarkEnd w:id="141"/>
      <w:r>
        <w:rPr>
          <w:rFonts w:hint="eastAsia" w:asciiTheme="minorEastAsia" w:hAnsiTheme="minorEastAsia" w:eastAsiaTheme="minorEastAsia" w:cstheme="minorEastAsia"/>
          <w:b/>
          <w:bCs/>
          <w:color w:val="auto"/>
          <w:sz w:val="24"/>
          <w:szCs w:val="24"/>
          <w:highlight w:val="none"/>
        </w:rPr>
        <w:t>采购终止</w:t>
      </w:r>
      <w:bookmarkEnd w:id="142"/>
      <w:bookmarkEnd w:id="143"/>
      <w:bookmarkEnd w:id="144"/>
      <w:bookmarkEnd w:id="145"/>
    </w:p>
    <w:p w14:paraId="6E8E2652">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出现下列情形之一的，采购人或者采购代理机构应当终止竞争性磋商采购活动，发布项目终止公告并说明原因，重新开展采购活动：</w:t>
      </w:r>
    </w:p>
    <w:p w14:paraId="559AD71C">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因情况变化，不再符合规定的竞争性磋商采购方式适用情形的；</w:t>
      </w:r>
    </w:p>
    <w:p w14:paraId="2201B2D0">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出现影响采购公正的违法、违规行为的；</w:t>
      </w:r>
    </w:p>
    <w:p w14:paraId="520C16AA">
      <w:pPr>
        <w:pageBreakBefore w:val="0"/>
        <w:widowControl/>
        <w:kinsoku/>
        <w:wordWrap/>
        <w:overflowPunct/>
        <w:topLinePunct w:val="0"/>
        <w:autoSpaceDE/>
        <w:autoSpaceDN/>
        <w:bidi w:val="0"/>
        <w:spacing w:line="400" w:lineRule="exact"/>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在采购过程中符合要求的供应商或者报价未超过采购预算的供应商不足3家的，但《政府采购竞争性磋商采购方式管理暂行办法》第二十一条第三款规定的情形,以及财政部财库[2015]124号文件规定的情形除外。</w:t>
      </w:r>
    </w:p>
    <w:p w14:paraId="585ABD96">
      <w:pPr>
        <w:pStyle w:val="4"/>
        <w:rPr>
          <w:rFonts w:hint="eastAsia"/>
          <w:highlight w:val="none"/>
        </w:rPr>
      </w:pPr>
    </w:p>
    <w:p w14:paraId="6DCD90D2">
      <w:pPr>
        <w:pStyle w:val="2"/>
        <w:bidi w:val="0"/>
        <w:rPr>
          <w:rFonts w:hint="eastAsia"/>
          <w:color w:val="auto"/>
          <w:highlight w:val="none"/>
        </w:rPr>
      </w:pPr>
      <w:r>
        <w:rPr>
          <w:rFonts w:hint="eastAsia" w:asciiTheme="minorEastAsia" w:hAnsiTheme="minorEastAsia" w:eastAsiaTheme="minorEastAsia" w:cstheme="minorEastAsia"/>
          <w:color w:val="auto"/>
          <w:highlight w:val="none"/>
        </w:rPr>
        <w:br w:type="page"/>
      </w:r>
      <w:bookmarkStart w:id="146" w:name="_Toc21848"/>
      <w:r>
        <w:rPr>
          <w:rFonts w:hint="eastAsia"/>
          <w:color w:val="auto"/>
          <w:highlight w:val="none"/>
        </w:rPr>
        <w:t>第五篇  供应商须知</w:t>
      </w:r>
      <w:bookmarkEnd w:id="146"/>
    </w:p>
    <w:p w14:paraId="1363706B">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bookmarkStart w:id="147" w:name="_Toc342913389"/>
      <w:bookmarkStart w:id="148" w:name="_Toc760"/>
      <w:bookmarkStart w:id="149" w:name="_Toc25049"/>
      <w:r>
        <w:rPr>
          <w:rFonts w:hint="eastAsia" w:asciiTheme="minorEastAsia" w:hAnsiTheme="minorEastAsia" w:eastAsiaTheme="minorEastAsia" w:cstheme="minorEastAsia"/>
          <w:b/>
          <w:bCs/>
          <w:color w:val="auto"/>
          <w:sz w:val="24"/>
          <w:szCs w:val="24"/>
          <w:highlight w:val="none"/>
          <w:lang w:eastAsia="zh-CN"/>
        </w:rPr>
        <w:t>一、磋商费用</w:t>
      </w:r>
      <w:bookmarkEnd w:id="147"/>
      <w:bookmarkEnd w:id="148"/>
      <w:bookmarkEnd w:id="149"/>
    </w:p>
    <w:p w14:paraId="581A84B4">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bookmarkStart w:id="150" w:name="_Toc342913391"/>
      <w:bookmarkStart w:id="151" w:name="_Toc12111"/>
      <w:r>
        <w:rPr>
          <w:rFonts w:hint="eastAsia" w:asciiTheme="minorEastAsia" w:hAnsiTheme="minorEastAsia" w:eastAsiaTheme="minorEastAsia" w:cstheme="minorEastAsia"/>
          <w:color w:val="auto"/>
          <w:sz w:val="24"/>
          <w:szCs w:val="24"/>
          <w:highlight w:val="none"/>
        </w:rPr>
        <w:t>参与磋商的供应商应承担其编制响应文件与递交响应文件所涉及的一切费用，不论磋商结果如何，采购人和采购代理机构在任何情况下无义务也无责任承担这些费用。</w:t>
      </w:r>
    </w:p>
    <w:bookmarkEnd w:id="150"/>
    <w:bookmarkEnd w:id="151"/>
    <w:p w14:paraId="76FA95DA">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bookmarkStart w:id="152" w:name="_Toc21372"/>
      <w:bookmarkStart w:id="153" w:name="_Toc102227318"/>
      <w:bookmarkStart w:id="154" w:name="_Toc28442"/>
      <w:bookmarkStart w:id="155" w:name="_Toc342913392"/>
      <w:bookmarkStart w:id="156" w:name="_Toc179714297"/>
      <w:r>
        <w:rPr>
          <w:rFonts w:hint="eastAsia" w:asciiTheme="minorEastAsia" w:hAnsiTheme="minorEastAsia" w:eastAsiaTheme="minorEastAsia" w:cstheme="minorEastAsia"/>
          <w:b/>
          <w:bCs/>
          <w:color w:val="auto"/>
          <w:sz w:val="24"/>
          <w:szCs w:val="24"/>
          <w:highlight w:val="none"/>
          <w:lang w:eastAsia="zh-CN"/>
        </w:rPr>
        <w:t>二、竞争性磋商文件</w:t>
      </w:r>
      <w:bookmarkEnd w:id="152"/>
    </w:p>
    <w:p w14:paraId="6DCB0A36">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竞争性磋商文件由采购邀请书、项目</w:t>
      </w:r>
      <w:r>
        <w:rPr>
          <w:rFonts w:hint="eastAsia" w:asciiTheme="minorEastAsia" w:hAnsiTheme="minorEastAsia" w:eastAsiaTheme="minorEastAsia" w:cstheme="minorEastAsia"/>
          <w:color w:val="auto"/>
          <w:sz w:val="24"/>
          <w:szCs w:val="24"/>
          <w:highlight w:val="none"/>
          <w:lang w:eastAsia="zh-CN"/>
        </w:rPr>
        <w:t>服务</w:t>
      </w:r>
      <w:r>
        <w:rPr>
          <w:rFonts w:hint="eastAsia" w:asciiTheme="minorEastAsia" w:hAnsiTheme="minorEastAsia" w:eastAsiaTheme="minorEastAsia" w:cstheme="minorEastAsia"/>
          <w:color w:val="auto"/>
          <w:sz w:val="24"/>
          <w:szCs w:val="24"/>
          <w:highlight w:val="none"/>
        </w:rPr>
        <w:t>需求、供应商须知、项目商务需求、磋商程序及方法、评审标准、无效响应和采购终止、供应商须知</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color w:val="auto"/>
          <w:sz w:val="24"/>
          <w:szCs w:val="24"/>
          <w:highlight w:val="none"/>
        </w:rPr>
        <w:t>政府采购合同</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color w:val="auto"/>
          <w:sz w:val="24"/>
          <w:szCs w:val="24"/>
          <w:highlight w:val="none"/>
        </w:rPr>
        <w:t>响应文件编制要求七部分组成。</w:t>
      </w:r>
    </w:p>
    <w:p w14:paraId="4665DC86">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采购人所作的一切有效的书面通知、修改及补充，都是竞争性磋商文件不可分割的部分。</w:t>
      </w:r>
    </w:p>
    <w:p w14:paraId="52C45604">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竞争性磋商文件的解释</w:t>
      </w:r>
    </w:p>
    <w:p w14:paraId="09083BF9">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如对竞争性磋商文件有疑问，必须以书面形式在提交响应文件截止时间3个工作日前向采购人要求澄清，采购人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157" w:name="_Toc318166429"/>
      <w:bookmarkStart w:id="158" w:name="_Toc318159780"/>
      <w:bookmarkStart w:id="159" w:name="_Toc318159349"/>
      <w:bookmarkStart w:id="160" w:name="_Toc318159160"/>
    </w:p>
    <w:p w14:paraId="3E2304EB">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本竞争性磋商文件中，磋商小组根据与供应商进行磋商可能实质性变动的内容为竞争性磋商文件第二、三、四篇全部内容。</w:t>
      </w:r>
    </w:p>
    <w:p w14:paraId="1CD9C4AF">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评审的依据为竞争性磋商文件和响应文件（含有效的书面承诺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。磋商小组判断响应文件对竞争性磋商文件的响应，仅基于响应文件本身而不靠外部证据。</w:t>
      </w:r>
    </w:p>
    <w:bookmarkEnd w:id="157"/>
    <w:bookmarkEnd w:id="158"/>
    <w:bookmarkEnd w:id="159"/>
    <w:bookmarkEnd w:id="160"/>
    <w:p w14:paraId="23FEF36E">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bookmarkStart w:id="161" w:name="_Toc9422"/>
      <w:r>
        <w:rPr>
          <w:rFonts w:hint="eastAsia" w:asciiTheme="minorEastAsia" w:hAnsiTheme="minorEastAsia" w:eastAsiaTheme="minorEastAsia" w:cstheme="minorEastAsia"/>
          <w:b/>
          <w:bCs/>
          <w:color w:val="auto"/>
          <w:sz w:val="24"/>
          <w:szCs w:val="24"/>
          <w:highlight w:val="none"/>
          <w:lang w:eastAsia="zh-CN"/>
        </w:rPr>
        <w:t>三、磋商要求</w:t>
      </w:r>
      <w:bookmarkEnd w:id="153"/>
      <w:bookmarkEnd w:id="154"/>
      <w:bookmarkEnd w:id="155"/>
      <w:bookmarkEnd w:id="156"/>
      <w:bookmarkEnd w:id="161"/>
    </w:p>
    <w:p w14:paraId="018A3E8C">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响应文件</w:t>
      </w:r>
    </w:p>
    <w:p w14:paraId="18761E3A">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 供应商应当按照竞争性磋商文件的要求编制响应文件，并对竞争性磋商文件提出的要求和条件作出实质性响应，响应文件原则上采用软面订本，同时应编制完整的页码、目录。</w:t>
      </w:r>
    </w:p>
    <w:p w14:paraId="3507D0ED">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响应文件组成</w:t>
      </w:r>
    </w:p>
    <w:p w14:paraId="4B4D3A7C">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5CA6D24">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联合体</w:t>
      </w:r>
    </w:p>
    <w:p w14:paraId="0434923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本项目不接受联合体参与磋商。</w:t>
      </w:r>
    </w:p>
    <w:p w14:paraId="31CEFFCB">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磋商有效期：响应文件及有关承诺文件有效期为提交响应文件截止时间起90天。</w:t>
      </w:r>
    </w:p>
    <w:p w14:paraId="2BCE8D71">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修正错误</w:t>
      </w:r>
    </w:p>
    <w:p w14:paraId="5085D0A5">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 若供应商所递交的响应文件或最后报价中的价格出现大写金额和小写金额不一致的错误，以大写金额修正为准。</w:t>
      </w:r>
    </w:p>
    <w:p w14:paraId="2B16C97E">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磋商小组按上述修正错误的原则及方法修正供应商的报价，供应商同意并签字确认后，修正后的报价对供应商具有约束作用。如果供应商不接受修正后的价格，将失去成为成交供应商的资格。</w:t>
      </w:r>
    </w:p>
    <w:p w14:paraId="192B16DD">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提交响应文件的份数和签署</w:t>
      </w:r>
    </w:p>
    <w:p w14:paraId="6AC43E0F">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 响应文件一式4份，其中正本1份，副本2份，电子文档1份（电子文档内容应与纸质文件正本一致，如不一致以纸质文件正本为准。推荐采用光盘或U盘为电子文档载体</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；副本可为正本的复印件，应与正本一致，如出现不一致情况以正本为准。</w:t>
      </w:r>
    </w:p>
    <w:p w14:paraId="63B139B3">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2. </w:t>
      </w:r>
      <w:r>
        <w:rPr>
          <w:rFonts w:hint="eastAsia" w:asciiTheme="minorEastAsia" w:hAnsiTheme="minorEastAsia" w:eastAsiaTheme="minorEastAsia" w:cstheme="minorEastAsia"/>
          <w:color w:val="auto"/>
          <w:sz w:val="24"/>
          <w:highlight w:val="none"/>
        </w:rPr>
        <w:t>在响应文件正本中，竞争性磋商文件第七篇响应文件编制要求中规定签字、盖章的地方必须按其规定签字、盖章。</w:t>
      </w:r>
    </w:p>
    <w:p w14:paraId="4E822E80">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响应文件的递交</w:t>
      </w:r>
    </w:p>
    <w:p w14:paraId="31167E35">
      <w:pPr>
        <w:pStyle w:val="30"/>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 xml:space="preserve">1. </w:t>
      </w:r>
      <w:r>
        <w:rPr>
          <w:rFonts w:hint="eastAsia" w:asciiTheme="minorEastAsia" w:hAnsiTheme="minorEastAsia" w:eastAsiaTheme="minorEastAsia" w:cstheme="minorEastAsia"/>
          <w:color w:val="auto"/>
          <w:sz w:val="24"/>
          <w:highlight w:val="none"/>
        </w:rPr>
        <w:t>响应文件的密封与标记</w:t>
      </w:r>
    </w:p>
    <w:p w14:paraId="089F271D">
      <w:pPr>
        <w:pStyle w:val="30"/>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1.1</w:t>
      </w:r>
      <w:r>
        <w:rPr>
          <w:rFonts w:hint="eastAsia" w:asciiTheme="minorEastAsia" w:hAnsiTheme="minorEastAsia" w:eastAsiaTheme="minorEastAsia" w:cstheme="minorEastAsia"/>
          <w:color w:val="auto"/>
          <w:sz w:val="24"/>
          <w:highlight w:val="none"/>
        </w:rPr>
        <w:t>响应文件的正本、副本</w:t>
      </w:r>
      <w:r>
        <w:rPr>
          <w:rFonts w:hint="eastAsia" w:asciiTheme="minorEastAsia" w:hAnsiTheme="minorEastAsia" w:eastAsiaTheme="minorEastAsia" w:cstheme="minorEastAsia"/>
          <w:color w:val="auto"/>
          <w:sz w:val="24"/>
          <w:highlight w:val="none"/>
          <w:lang w:eastAsia="zh-CN"/>
        </w:rPr>
        <w:t>及电子档</w:t>
      </w:r>
      <w:r>
        <w:rPr>
          <w:rFonts w:hint="eastAsia" w:asciiTheme="minorEastAsia" w:hAnsiTheme="minorEastAsia" w:eastAsiaTheme="minorEastAsia" w:cstheme="minorEastAsia"/>
          <w:color w:val="auto"/>
          <w:sz w:val="24"/>
          <w:highlight w:val="none"/>
        </w:rPr>
        <w:t>均应密封送达磋商地点，应在封套上注明项目名称、供应商名称。若正本、副本以及电子文档分别进行密封的，还应在封套上注明“正本”、“副本”字样</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电子文档</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字样。</w:t>
      </w:r>
    </w:p>
    <w:p w14:paraId="486E750F">
      <w:pPr>
        <w:pStyle w:val="30"/>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1.2</w:t>
      </w:r>
      <w:r>
        <w:rPr>
          <w:rFonts w:hint="eastAsia" w:asciiTheme="minorEastAsia" w:hAnsiTheme="minorEastAsia" w:eastAsiaTheme="minorEastAsia" w:cstheme="minorEastAsia"/>
          <w:color w:val="auto"/>
          <w:sz w:val="24"/>
          <w:highlight w:val="none"/>
        </w:rPr>
        <w:t>封套的封口处应加盖供应商公章或由法定代表人授权代表签字。</w:t>
      </w:r>
    </w:p>
    <w:p w14:paraId="58ED4EF7">
      <w:pPr>
        <w:pStyle w:val="30"/>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2.本次</w:t>
      </w:r>
      <w:r>
        <w:rPr>
          <w:rFonts w:hint="eastAsia" w:asciiTheme="minorEastAsia" w:hAnsiTheme="minorEastAsia" w:eastAsiaTheme="minorEastAsia" w:cstheme="minorEastAsia"/>
          <w:color w:val="auto"/>
          <w:sz w:val="24"/>
          <w:highlight w:val="none"/>
        </w:rPr>
        <w:t>响应文件不接受邮寄递交。</w:t>
      </w:r>
    </w:p>
    <w:p w14:paraId="6F246BC9">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highlight w:val="none"/>
        </w:rPr>
        <w:t>如果未按上述规定进行密封和标记，采购代理机构对响应文件误投、丢失或提前拆封不负责任。</w:t>
      </w:r>
    </w:p>
    <w:p w14:paraId="54A5C5E4">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供应商参与人员</w:t>
      </w:r>
    </w:p>
    <w:p w14:paraId="095A966D">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各个供应商应当派1—2名代表参与磋商，至少1人应为法定代表人或具有法定代表人授权委托书的授权代表。</w:t>
      </w:r>
    </w:p>
    <w:p w14:paraId="767D37C7">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bookmarkStart w:id="162" w:name="_Toc12534"/>
      <w:bookmarkStart w:id="163" w:name="_Toc15129"/>
      <w:r>
        <w:rPr>
          <w:rFonts w:hint="eastAsia" w:asciiTheme="minorEastAsia" w:hAnsiTheme="minorEastAsia" w:eastAsiaTheme="minorEastAsia" w:cstheme="minorEastAsia"/>
          <w:b/>
          <w:bCs/>
          <w:color w:val="auto"/>
          <w:sz w:val="24"/>
          <w:szCs w:val="24"/>
          <w:highlight w:val="none"/>
          <w:lang w:eastAsia="zh-CN"/>
        </w:rPr>
        <w:t>四、成交供应商的确认和变更</w:t>
      </w:r>
      <w:bookmarkEnd w:id="162"/>
      <w:bookmarkEnd w:id="163"/>
    </w:p>
    <w:p w14:paraId="04B2AD58">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成交供应商的确认</w:t>
      </w:r>
    </w:p>
    <w:p w14:paraId="46169057">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77D108B">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成交供应商的变更</w:t>
      </w:r>
    </w:p>
    <w:p w14:paraId="5F751AFC">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成交供应商因不可抗力或者自身原因不能履行合同的，采购人可以确定排名其后一位的成交候选人为成交供应商。</w:t>
      </w:r>
    </w:p>
    <w:p w14:paraId="2B23D4E4">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成交供应商无充分理由放弃成交的，采购人将会同采购代理机构把相关情况报财政部门，财政部门将根据财政部十八号令第七十五条的规定对违规供应商进行处罚。</w:t>
      </w:r>
    </w:p>
    <w:p w14:paraId="3B4C3F0B">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bookmarkStart w:id="164" w:name="_Toc342913395"/>
      <w:bookmarkStart w:id="165" w:name="_Toc102227321"/>
      <w:bookmarkStart w:id="166" w:name="_Toc14485"/>
      <w:bookmarkStart w:id="167" w:name="_Toc8869"/>
      <w:r>
        <w:rPr>
          <w:rFonts w:hint="eastAsia" w:asciiTheme="minorEastAsia" w:hAnsiTheme="minorEastAsia" w:eastAsiaTheme="minorEastAsia" w:cstheme="minorEastAsia"/>
          <w:b/>
          <w:bCs/>
          <w:color w:val="auto"/>
          <w:sz w:val="24"/>
          <w:szCs w:val="24"/>
          <w:highlight w:val="none"/>
          <w:lang w:eastAsia="zh-CN"/>
        </w:rPr>
        <w:t>五、成交通知</w:t>
      </w:r>
      <w:bookmarkEnd w:id="164"/>
      <w:bookmarkEnd w:id="165"/>
      <w:bookmarkEnd w:id="166"/>
      <w:bookmarkEnd w:id="167"/>
    </w:p>
    <w:p w14:paraId="1716CFAC">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成交供应商确定后，采购人将在“行采家”网上发布成交结果公告。</w:t>
      </w:r>
    </w:p>
    <w:p w14:paraId="5FEEF858">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结果公告发出同时，采购人将以书面形式发出《成交通知书》。《成交通知书》一经发出即发生法律效力。</w:t>
      </w:r>
    </w:p>
    <w:p w14:paraId="6D5D0156">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《成交通知书》将作为签订合同的依据。</w:t>
      </w:r>
    </w:p>
    <w:p w14:paraId="30E621E9">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如有供应商对成交结果提出质疑的，在质疑处理完毕后发出成交通知书。</w:t>
      </w:r>
    </w:p>
    <w:p w14:paraId="7F512BD6">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bookmarkStart w:id="168" w:name="_Toc20776"/>
      <w:r>
        <w:rPr>
          <w:rFonts w:hint="eastAsia" w:asciiTheme="minorEastAsia" w:hAnsiTheme="minorEastAsia" w:eastAsiaTheme="minorEastAsia" w:cstheme="minorEastAsia"/>
          <w:b/>
          <w:bCs/>
          <w:color w:val="auto"/>
          <w:sz w:val="24"/>
          <w:szCs w:val="24"/>
          <w:highlight w:val="none"/>
          <w:lang w:eastAsia="zh-CN"/>
        </w:rPr>
        <w:t>六、采购代理服务费</w:t>
      </w:r>
      <w:bookmarkEnd w:id="168"/>
    </w:p>
    <w:p w14:paraId="07B35E01">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缴纳代理服务费</w:t>
      </w:r>
    </w:p>
    <w:p w14:paraId="5C45A927">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本项目采购代理服务费由</w:t>
      </w:r>
      <w:r>
        <w:rPr>
          <w:rFonts w:hint="eastAsia" w:asciiTheme="minorEastAsia" w:hAnsiTheme="minorEastAsia" w:eastAsiaTheme="minorEastAsia" w:cstheme="minorEastAsia"/>
          <w:color w:val="auto"/>
          <w:sz w:val="24"/>
          <w:highlight w:val="none"/>
          <w:lang w:eastAsia="zh-CN"/>
        </w:rPr>
        <w:t>采购人支付</w:t>
      </w:r>
      <w:r>
        <w:rPr>
          <w:rFonts w:hint="eastAsia" w:asciiTheme="minorEastAsia" w:hAnsiTheme="minorEastAsia" w:eastAsiaTheme="minorEastAsia" w:cstheme="minorEastAsia"/>
          <w:color w:val="auto"/>
          <w:sz w:val="24"/>
          <w:highlight w:val="none"/>
        </w:rPr>
        <w:t>。</w:t>
      </w:r>
      <w:bookmarkStart w:id="228" w:name="_GoBack"/>
      <w:bookmarkEnd w:id="228"/>
    </w:p>
    <w:p w14:paraId="14610BD3">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69" w:name="_Toc5194"/>
      <w:bookmarkStart w:id="170" w:name="_Toc22507"/>
      <w:bookmarkStart w:id="171" w:name="_Toc10464"/>
      <w:bookmarkStart w:id="172" w:name="_Toc1876"/>
      <w:r>
        <w:rPr>
          <w:rFonts w:hint="eastAsia" w:asciiTheme="minorEastAsia" w:hAnsiTheme="minorEastAsia" w:eastAsiaTheme="minorEastAsia" w:cstheme="minorEastAsia"/>
          <w:b/>
          <w:bCs/>
          <w:color w:val="auto"/>
          <w:sz w:val="24"/>
          <w:szCs w:val="24"/>
          <w:highlight w:val="none"/>
          <w:lang w:eastAsia="zh-CN"/>
        </w:rPr>
        <w:t>七</w:t>
      </w:r>
      <w:r>
        <w:rPr>
          <w:rFonts w:hint="eastAsia" w:asciiTheme="minorEastAsia" w:hAnsiTheme="minorEastAsia" w:eastAsiaTheme="minorEastAsia" w:cstheme="minorEastAsia"/>
          <w:b/>
          <w:bCs/>
          <w:color w:val="auto"/>
          <w:sz w:val="24"/>
          <w:szCs w:val="24"/>
          <w:highlight w:val="none"/>
        </w:rPr>
        <w:t>、</w:t>
      </w:r>
      <w:bookmarkStart w:id="173" w:name="_Toc474603954"/>
      <w:r>
        <w:rPr>
          <w:rFonts w:hint="eastAsia" w:asciiTheme="minorEastAsia" w:hAnsiTheme="minorEastAsia" w:eastAsiaTheme="minorEastAsia" w:cstheme="minorEastAsia"/>
          <w:b/>
          <w:bCs/>
          <w:color w:val="auto"/>
          <w:sz w:val="24"/>
          <w:szCs w:val="24"/>
          <w:highlight w:val="none"/>
        </w:rPr>
        <w:t>关于质疑和投诉</w:t>
      </w:r>
      <w:bookmarkEnd w:id="169"/>
      <w:bookmarkEnd w:id="170"/>
      <w:bookmarkEnd w:id="171"/>
    </w:p>
    <w:p w14:paraId="788BCB4E">
      <w:pPr>
        <w:pStyle w:val="33"/>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质疑</w:t>
      </w:r>
    </w:p>
    <w:p w14:paraId="7A29E8E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供应商认为采购文件、采购过程和成交结果使自己的权益收到伤害的，可向采购人或采购代理机构以书面形式提出质疑。</w:t>
      </w:r>
    </w:p>
    <w:p w14:paraId="54C72FF9">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提出质疑的应当是参与所质疑项目采购活动的供应商。 </w:t>
      </w:r>
    </w:p>
    <w:p w14:paraId="2AF12556">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1.质疑时限、内容</w:t>
      </w:r>
    </w:p>
    <w:p w14:paraId="06D5792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1.1供应商认为采购文件、采购过程、成交结果使自己的权益受到损害的，可以在知道或者应知其权益受到损害之日起7个工作日内，以书面形式向采购人、采购代理机构提出质疑。</w:t>
      </w:r>
    </w:p>
    <w:p w14:paraId="4C6607CC">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1.2供应商提出质疑应当提交质疑函和必要的证明材料，质疑函应当包括下列内容：</w:t>
      </w:r>
    </w:p>
    <w:p w14:paraId="64AC6081">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1.2.1供应商的姓名或者名称、地址、邮编、联系人及联系电话；</w:t>
      </w:r>
    </w:p>
    <w:p w14:paraId="5586B862">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1.2.2质疑项目的项目名称、项目号以及采购项目号；</w:t>
      </w:r>
    </w:p>
    <w:p w14:paraId="513FD24E">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1.2.3具体、明确的质疑事项和与质疑事项相关的请求；</w:t>
      </w:r>
    </w:p>
    <w:p w14:paraId="72D59054">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1.2.4事实依据；</w:t>
      </w:r>
    </w:p>
    <w:p w14:paraId="4BEB7EC9">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1.2.5必要的法律依据；</w:t>
      </w:r>
    </w:p>
    <w:p w14:paraId="0DB3092E">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1.2.6提出质疑的日期；</w:t>
      </w:r>
    </w:p>
    <w:p w14:paraId="73D8DC13">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1.2.7营业执照（或事业单位法人证书，或个体工商户营业执照或有效的自然人身份证明</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复印件；</w:t>
      </w:r>
    </w:p>
    <w:p w14:paraId="1488202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1.2.8法定代表人授权委托书原件、法定代表人身份证复印件和其授权代表的身份证复印件（供应商为自然人的提供自然人身份证复印件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573E5BA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1.3供应商为自然人的，质疑函应当由本人签字；供应商为法人或者其他组织的，质疑函应当由法定代表人、主要负责人，或者其授权代表签字或者盖章，并加盖公章。</w:t>
      </w:r>
    </w:p>
    <w:p w14:paraId="6C8643CF">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2.质疑答复</w:t>
      </w:r>
    </w:p>
    <w:p w14:paraId="6901027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采购人、采购代理机构应当在收到供应商的书面质疑后七个工作日内作出答复，并以书面形式通知质疑供应商和其他有关供应商。</w:t>
      </w:r>
    </w:p>
    <w:p w14:paraId="0356B31E">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3.其他</w:t>
      </w:r>
    </w:p>
    <w:p w14:paraId="21B2548B">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3.1供应商应按照《政府采购质疑和投诉办法》（财政部令第94号</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及相关法律法规要求，在法定质疑期内一次性提出针对同一采购程序环节的质疑。</w:t>
      </w:r>
    </w:p>
    <w:p w14:paraId="1C575DA8">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3.2质疑函范本可在中国政府采购网下载。</w:t>
      </w:r>
    </w:p>
    <w:p w14:paraId="55AAD15A">
      <w:pPr>
        <w:pStyle w:val="33"/>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投诉</w:t>
      </w:r>
    </w:p>
    <w:p w14:paraId="78941B9B">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1.供应商对采购人、采购代理机构的答复不满意，或者采购人、采购代理机构未在规定时间内作出答复的，可以在答复期满后15个工作日内按照相关法律法规向</w:t>
      </w:r>
      <w:r>
        <w:rPr>
          <w:rFonts w:hint="eastAsia" w:asciiTheme="minorEastAsia" w:hAnsiTheme="minorEastAsia" w:eastAsiaTheme="minorEastAsia" w:cstheme="minorEastAsia"/>
          <w:color w:val="auto"/>
          <w:sz w:val="24"/>
          <w:szCs w:val="24"/>
          <w:highlight w:val="none"/>
          <w:lang w:val="en-US" w:eastAsia="zh-CN"/>
        </w:rPr>
        <w:t>重庆市大足区财政局</w:t>
      </w:r>
      <w:r>
        <w:rPr>
          <w:rFonts w:hint="eastAsia" w:asciiTheme="minorEastAsia" w:hAnsiTheme="minorEastAsia" w:eastAsiaTheme="minorEastAsia" w:cstheme="minorEastAsia"/>
          <w:color w:val="auto"/>
          <w:sz w:val="24"/>
          <w:szCs w:val="24"/>
          <w:highlight w:val="none"/>
        </w:rPr>
        <w:t>提起投诉。</w:t>
      </w:r>
    </w:p>
    <w:p w14:paraId="23B12584">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2.供应商应按照《政府采购质疑和投诉办法》（财政部令第94号</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及相关法律法规要求递交投诉书和必要的证明材料，投诉书范本可在中国政府采购网下载。</w:t>
      </w:r>
    </w:p>
    <w:p w14:paraId="649A1D0F">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F14B237">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4.在确定受理投诉后，受理部门自受理投诉之日起30个工作日内（需要检验、检测、鉴定、专家评审以及需要投诉人补正材料的，所需时间不计算在投诉处理期限内</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对投诉事项做出处理决定。</w:t>
      </w:r>
    </w:p>
    <w:p w14:paraId="22A277F3">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74" w:name="_Toc6124"/>
      <w:bookmarkStart w:id="175" w:name="_Toc17569"/>
      <w:bookmarkStart w:id="176" w:name="_Toc32740"/>
      <w:r>
        <w:rPr>
          <w:rFonts w:hint="eastAsia" w:asciiTheme="minorEastAsia" w:hAnsiTheme="minorEastAsia" w:eastAsiaTheme="minorEastAsia" w:cstheme="minorEastAsia"/>
          <w:b/>
          <w:bCs/>
          <w:color w:val="auto"/>
          <w:sz w:val="24"/>
          <w:szCs w:val="24"/>
          <w:highlight w:val="none"/>
        </w:rPr>
        <w:t>八、签订合同</w:t>
      </w:r>
      <w:bookmarkEnd w:id="173"/>
      <w:bookmarkEnd w:id="174"/>
      <w:bookmarkEnd w:id="175"/>
      <w:bookmarkEnd w:id="176"/>
    </w:p>
    <w:p w14:paraId="6489E626">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采购人原则上应在中标通知书发出之日起二十日内和中标人签订政府采购合同，无正当理由不得拒绝或拖延合同签订。所签订的合同不得对</w:t>
      </w:r>
      <w:r>
        <w:rPr>
          <w:rFonts w:hint="eastAsia" w:asciiTheme="minorEastAsia" w:hAnsiTheme="minorEastAsia" w:eastAsiaTheme="minorEastAsia" w:cstheme="minorEastAsia"/>
          <w:color w:val="auto"/>
          <w:sz w:val="24"/>
          <w:highlight w:val="none"/>
          <w:lang w:eastAsia="zh-CN"/>
        </w:rPr>
        <w:t>竞争性磋商文件</w:t>
      </w:r>
      <w:r>
        <w:rPr>
          <w:rFonts w:hint="eastAsia" w:asciiTheme="minorEastAsia" w:hAnsiTheme="minorEastAsia" w:eastAsiaTheme="minorEastAsia" w:cstheme="minorEastAsia"/>
          <w:color w:val="auto"/>
          <w:sz w:val="24"/>
          <w:highlight w:val="none"/>
        </w:rPr>
        <w:t>和中标人投标文件作实质性修改。</w:t>
      </w:r>
      <w:r>
        <w:rPr>
          <w:rFonts w:hint="eastAsia" w:asciiTheme="minorEastAsia" w:hAnsiTheme="minorEastAsia" w:eastAsiaTheme="minorEastAsia" w:cstheme="minorEastAsia"/>
          <w:color w:val="auto"/>
          <w:kern w:val="0"/>
          <w:sz w:val="24"/>
          <w:szCs w:val="24"/>
          <w:highlight w:val="none"/>
        </w:rPr>
        <w:t>其他未尽事宜由采购人和中标人在采购合同中详细约定。</w:t>
      </w:r>
    </w:p>
    <w:p w14:paraId="73DD841F">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（二</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szCs w:val="24"/>
          <w:highlight w:val="none"/>
        </w:rPr>
        <w:t>竞争性磋商文件、供应商的响应文件及澄清文件等，均为签订政府采购合同的依据。</w:t>
      </w:r>
    </w:p>
    <w:p w14:paraId="560C4A02">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合同生效条款由供需双方约定，法律、行政法规规定应当办理批准、登记等手续后生效的合同，依照其规定。</w:t>
      </w:r>
    </w:p>
    <w:p w14:paraId="2AB7F224">
      <w:pPr>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合同原则上应按照《重庆市政府采购合同》签订，相关单位要求适用合同通用格式版本的，应按其要求另行签订其他合同。</w:t>
      </w:r>
    </w:p>
    <w:p w14:paraId="1C445304">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五）</w:t>
      </w:r>
      <w:r>
        <w:rPr>
          <w:rFonts w:hint="eastAsia" w:asciiTheme="minorEastAsia" w:hAnsiTheme="minorEastAsia" w:eastAsiaTheme="minorEastAsia" w:cstheme="minorEastAsia"/>
          <w:color w:val="auto"/>
          <w:sz w:val="24"/>
          <w:szCs w:val="24"/>
          <w:highlight w:val="none"/>
        </w:rPr>
        <w:t>采购人要求成交供应商提供履约保证金的，应当在竞争性磋商文件中予以约定。成交供应商履约完毕后，采购人应按磋商文件及合同的约定无息退还其履约保证金。</w:t>
      </w:r>
    </w:p>
    <w:p w14:paraId="16AE77C1">
      <w:pPr>
        <w:pStyle w:val="3"/>
        <w:pageBreakBefore w:val="0"/>
        <w:widowControl w:val="0"/>
        <w:kinsoku/>
        <w:wordWrap/>
        <w:overflowPunct/>
        <w:topLinePunct w:val="0"/>
        <w:autoSpaceDE/>
        <w:autoSpaceDN/>
        <w:bidi w:val="0"/>
        <w:spacing w:before="0" w:after="0" w:line="400" w:lineRule="exact"/>
        <w:ind w:right="0"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77" w:name="_Toc21652"/>
      <w:bookmarkStart w:id="178" w:name="_Toc27311"/>
      <w:bookmarkStart w:id="179" w:name="_Toc4863"/>
      <w:bookmarkStart w:id="180" w:name="_Toc12837"/>
      <w:bookmarkStart w:id="181" w:name="_Toc2179"/>
      <w:r>
        <w:rPr>
          <w:rFonts w:hint="eastAsia" w:asciiTheme="minorEastAsia" w:hAnsiTheme="minorEastAsia" w:eastAsiaTheme="minorEastAsia" w:cstheme="minorEastAsia"/>
          <w:b/>
          <w:bCs/>
          <w:color w:val="auto"/>
          <w:sz w:val="24"/>
          <w:szCs w:val="24"/>
          <w:highlight w:val="none"/>
        </w:rPr>
        <w:t>九、</w:t>
      </w:r>
      <w:bookmarkEnd w:id="177"/>
      <w:bookmarkEnd w:id="178"/>
      <w:r>
        <w:rPr>
          <w:rFonts w:hint="eastAsia" w:asciiTheme="minorEastAsia" w:hAnsiTheme="minorEastAsia" w:eastAsiaTheme="minorEastAsia" w:cstheme="minorEastAsia"/>
          <w:b/>
          <w:bCs/>
          <w:color w:val="auto"/>
          <w:sz w:val="24"/>
          <w:szCs w:val="24"/>
          <w:highlight w:val="none"/>
        </w:rPr>
        <w:t>项目验收</w:t>
      </w:r>
      <w:bookmarkEnd w:id="179"/>
      <w:bookmarkEnd w:id="180"/>
      <w:bookmarkEnd w:id="181"/>
    </w:p>
    <w:p w14:paraId="0867140D">
      <w:pPr>
        <w:pageBreakBefore w:val="0"/>
        <w:widowControl w:val="0"/>
        <w:kinsoku/>
        <w:wordWrap/>
        <w:overflowPunct/>
        <w:topLinePunct w:val="0"/>
        <w:autoSpaceDE/>
        <w:autoSpaceDN/>
        <w:bidi w:val="0"/>
        <w:spacing w:line="400" w:lineRule="exact"/>
        <w:ind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合同执行完毕，采购人或采购代理机构原则上应在7个工作日内组织履约情况验收，不得无故拖延或附加额外条件。</w:t>
      </w:r>
    </w:p>
    <w:bookmarkEnd w:id="172"/>
    <w:p w14:paraId="31B34473">
      <w:pPr>
        <w:jc w:val="center"/>
        <w:rPr>
          <w:rFonts w:hint="eastAsia" w:asciiTheme="minorEastAsia" w:hAnsiTheme="minorEastAsia" w:eastAsiaTheme="minorEastAsia" w:cstheme="minorEastAsia"/>
          <w:b/>
          <w:color w:val="auto"/>
          <w:highlight w:val="none"/>
        </w:rPr>
      </w:pPr>
    </w:p>
    <w:p w14:paraId="3F6F87FD">
      <w:pPr>
        <w:jc w:val="center"/>
        <w:rPr>
          <w:rFonts w:hint="eastAsia" w:asciiTheme="minorEastAsia" w:hAnsiTheme="minorEastAsia" w:eastAsiaTheme="minorEastAsia" w:cstheme="minorEastAsia"/>
          <w:b/>
          <w:color w:val="auto"/>
          <w:highlight w:val="none"/>
        </w:rPr>
      </w:pPr>
    </w:p>
    <w:p w14:paraId="3995E68F">
      <w:pPr>
        <w:jc w:val="both"/>
        <w:rPr>
          <w:rFonts w:hint="eastAsia" w:asciiTheme="minorEastAsia" w:hAnsiTheme="minorEastAsia" w:eastAsiaTheme="minorEastAsia" w:cstheme="minorEastAsia"/>
          <w:b/>
          <w:color w:val="auto"/>
          <w:highlight w:val="none"/>
        </w:rPr>
      </w:pPr>
    </w:p>
    <w:p w14:paraId="5ECD9E24">
      <w:pPr>
        <w:pStyle w:val="2"/>
        <w:bidi w:val="0"/>
        <w:rPr>
          <w:rFonts w:hint="eastAsia"/>
          <w:color w:val="auto"/>
          <w:highlight w:val="none"/>
          <w:lang w:eastAsia="zh-CN"/>
        </w:rPr>
      </w:pPr>
      <w:bookmarkStart w:id="182" w:name="_Toc3347"/>
      <w:r>
        <w:rPr>
          <w:rFonts w:hint="eastAsia"/>
          <w:color w:val="auto"/>
          <w:highlight w:val="none"/>
        </w:rPr>
        <w:t>第六篇  合同主要条款和格式合同（样本</w:t>
      </w:r>
      <w:r>
        <w:rPr>
          <w:rFonts w:hint="eastAsia"/>
          <w:color w:val="auto"/>
          <w:highlight w:val="none"/>
          <w:lang w:eastAsia="zh-CN"/>
        </w:rPr>
        <w:t>）</w:t>
      </w:r>
      <w:bookmarkEnd w:id="182"/>
    </w:p>
    <w:p w14:paraId="50C9ADA1">
      <w:pPr>
        <w:bidi w:val="0"/>
        <w:rPr>
          <w:rFonts w:hint="eastAsia" w:eastAsia="宋体"/>
          <w:color w:val="auto"/>
          <w:highlight w:val="none"/>
          <w:lang w:eastAsia="zh-CN"/>
        </w:rPr>
      </w:pPr>
      <w:bookmarkStart w:id="183" w:name="_Toc285722713"/>
      <w:bookmarkStart w:id="184" w:name="_Toc277084871"/>
      <w:r>
        <w:rPr>
          <w:rFonts w:hint="eastAsia"/>
          <w:color w:val="auto"/>
          <w:highlight w:val="none"/>
        </w:rPr>
        <w:t>一、采购合同（格式</w:t>
      </w:r>
      <w:bookmarkEnd w:id="183"/>
      <w:bookmarkEnd w:id="184"/>
      <w:r>
        <w:rPr>
          <w:rFonts w:hint="eastAsia"/>
          <w:color w:val="auto"/>
          <w:highlight w:val="none"/>
          <w:lang w:eastAsia="zh-CN"/>
        </w:rPr>
        <w:t>）</w:t>
      </w:r>
    </w:p>
    <w:p w14:paraId="6331DFB2">
      <w:pPr>
        <w:spacing w:line="500" w:lineRule="exact"/>
        <w:jc w:val="center"/>
        <w:rPr>
          <w:rFonts w:hint="eastAsia" w:asciiTheme="minorEastAsia" w:hAnsiTheme="minorEastAsia" w:eastAsiaTheme="minorEastAsia" w:cstheme="minorEastAsia"/>
          <w:b/>
          <w:color w:val="auto"/>
          <w:sz w:val="44"/>
          <w:highlight w:val="none"/>
        </w:rPr>
      </w:pPr>
      <w:r>
        <w:rPr>
          <w:rFonts w:hint="eastAsia" w:asciiTheme="minorEastAsia" w:hAnsiTheme="minorEastAsia" w:eastAsiaTheme="minorEastAsia" w:cstheme="minorEastAsia"/>
          <w:b/>
          <w:color w:val="auto"/>
          <w:sz w:val="44"/>
          <w:highlight w:val="none"/>
        </w:rPr>
        <w:t>重庆市政府采购合同</w:t>
      </w:r>
    </w:p>
    <w:p w14:paraId="09D6A29D">
      <w:pPr>
        <w:spacing w:line="500" w:lineRule="exact"/>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 xml:space="preserve">（项目号：     </w:t>
      </w:r>
      <w:r>
        <w:rPr>
          <w:rFonts w:hint="eastAsia" w:asciiTheme="minorEastAsia" w:hAnsiTheme="minorEastAsia" w:eastAsiaTheme="minorEastAsia" w:cstheme="minorEastAsia"/>
          <w:color w:val="auto"/>
          <w:highlight w:val="none"/>
          <w:lang w:eastAsia="zh-CN"/>
        </w:rPr>
        <w:t>）</w:t>
      </w:r>
    </w:p>
    <w:p w14:paraId="23A82240">
      <w:pPr>
        <w:spacing w:line="5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甲方（需方</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：___________________________      计价单位：____________</w:t>
      </w:r>
    </w:p>
    <w:p w14:paraId="1F0F0ACC">
      <w:pPr>
        <w:spacing w:line="5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乙方（供方</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：___________________________      计量单位：_____________</w:t>
      </w:r>
    </w:p>
    <w:p w14:paraId="3AAA811F">
      <w:pPr>
        <w:spacing w:line="500" w:lineRule="exact"/>
        <w:rPr>
          <w:rFonts w:hint="eastAsia" w:asciiTheme="minorEastAsia" w:hAnsiTheme="minorEastAsia" w:eastAsiaTheme="minorEastAsia" w:cstheme="minorEastAsia"/>
          <w:color w:val="auto"/>
          <w:sz w:val="24"/>
          <w:highlight w:val="none"/>
        </w:rPr>
      </w:pPr>
    </w:p>
    <w:p w14:paraId="10E0564E">
      <w:pPr>
        <w:spacing w:line="5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经双方协商一致，达成以下购销合同：</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3EEF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0755C8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磋商项目名称</w:t>
            </w:r>
          </w:p>
        </w:tc>
        <w:tc>
          <w:tcPr>
            <w:tcW w:w="984" w:type="dxa"/>
            <w:noWrap w:val="0"/>
            <w:vAlign w:val="center"/>
          </w:tcPr>
          <w:p w14:paraId="3D59BB9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数量</w:t>
            </w:r>
          </w:p>
        </w:tc>
        <w:tc>
          <w:tcPr>
            <w:tcW w:w="1298" w:type="dxa"/>
            <w:gridSpan w:val="2"/>
            <w:noWrap w:val="0"/>
            <w:vAlign w:val="center"/>
          </w:tcPr>
          <w:p w14:paraId="024F52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综合单价</w:t>
            </w:r>
          </w:p>
        </w:tc>
        <w:tc>
          <w:tcPr>
            <w:tcW w:w="1134" w:type="dxa"/>
            <w:noWrap w:val="0"/>
            <w:vAlign w:val="center"/>
          </w:tcPr>
          <w:p w14:paraId="751041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总价</w:t>
            </w:r>
          </w:p>
        </w:tc>
        <w:tc>
          <w:tcPr>
            <w:tcW w:w="1559" w:type="dxa"/>
            <w:noWrap w:val="0"/>
            <w:vAlign w:val="center"/>
          </w:tcPr>
          <w:p w14:paraId="4AD0EB3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服务时间</w:t>
            </w:r>
          </w:p>
        </w:tc>
        <w:tc>
          <w:tcPr>
            <w:tcW w:w="1567" w:type="dxa"/>
            <w:noWrap w:val="0"/>
            <w:vAlign w:val="center"/>
          </w:tcPr>
          <w:p w14:paraId="5FF4D2B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服务地点</w:t>
            </w:r>
          </w:p>
        </w:tc>
      </w:tr>
      <w:tr w14:paraId="2A75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B3DC7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84" w:type="dxa"/>
            <w:noWrap w:val="0"/>
            <w:vAlign w:val="center"/>
          </w:tcPr>
          <w:p w14:paraId="006E72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298" w:type="dxa"/>
            <w:gridSpan w:val="2"/>
            <w:noWrap w:val="0"/>
            <w:vAlign w:val="center"/>
          </w:tcPr>
          <w:p w14:paraId="039D1AF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noWrap w:val="0"/>
            <w:vAlign w:val="center"/>
          </w:tcPr>
          <w:p w14:paraId="35EA03C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59" w:type="dxa"/>
            <w:noWrap w:val="0"/>
            <w:vAlign w:val="center"/>
          </w:tcPr>
          <w:p w14:paraId="7BC94EB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67" w:type="dxa"/>
            <w:noWrap w:val="0"/>
            <w:vAlign w:val="center"/>
          </w:tcPr>
          <w:p w14:paraId="76169F0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1A0C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BA72B9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84" w:type="dxa"/>
            <w:noWrap w:val="0"/>
            <w:vAlign w:val="center"/>
          </w:tcPr>
          <w:p w14:paraId="38F03A1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298" w:type="dxa"/>
            <w:gridSpan w:val="2"/>
            <w:noWrap w:val="0"/>
            <w:vAlign w:val="center"/>
          </w:tcPr>
          <w:p w14:paraId="5211F94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noWrap w:val="0"/>
            <w:vAlign w:val="center"/>
          </w:tcPr>
          <w:p w14:paraId="3D82171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59" w:type="dxa"/>
            <w:noWrap w:val="0"/>
            <w:vAlign w:val="center"/>
          </w:tcPr>
          <w:p w14:paraId="5BF8B1E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67" w:type="dxa"/>
            <w:noWrap w:val="0"/>
            <w:vAlign w:val="center"/>
          </w:tcPr>
          <w:p w14:paraId="507E06F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75FD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755FBA96">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合计人民币（小写</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p>
        </w:tc>
      </w:tr>
      <w:tr w14:paraId="1D68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28A86ECE">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合计人民币（大写</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p>
        </w:tc>
      </w:tr>
      <w:tr w14:paraId="42FF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68F3297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一、服务要求</w:t>
            </w:r>
          </w:p>
        </w:tc>
      </w:tr>
      <w:tr w14:paraId="2CFA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0AC8A11B">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二、考核方式</w:t>
            </w:r>
          </w:p>
        </w:tc>
      </w:tr>
      <w:tr w14:paraId="5092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7EAD2EEC">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三、付款方式：</w:t>
            </w:r>
          </w:p>
          <w:p w14:paraId="0350AE23">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highlight w:val="none"/>
              </w:rPr>
            </w:pPr>
          </w:p>
        </w:tc>
      </w:tr>
      <w:tr w14:paraId="4638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24A908A5">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X、履约保证金：</w:t>
            </w:r>
          </w:p>
        </w:tc>
      </w:tr>
      <w:tr w14:paraId="758D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186E170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四、违约责任：</w:t>
            </w:r>
          </w:p>
          <w:p w14:paraId="563ACF3B">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按《中华人民共和国民法典》、《中华人民共和国政府采购法》执行，或按双方约定。</w:t>
            </w:r>
          </w:p>
        </w:tc>
      </w:tr>
      <w:tr w14:paraId="35D4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688D732">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五、其他约定事项：</w:t>
            </w:r>
          </w:p>
          <w:p w14:paraId="36E005DF">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1.采购文件及其澄清文件、响应文件和承诺是本合同不可分割的部分。</w:t>
            </w:r>
          </w:p>
          <w:p w14:paraId="3118D895">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2.本合同如发生争议由双方协商解决，协商不成向需方所在人民法院提请诉讼。</w:t>
            </w:r>
          </w:p>
          <w:p w14:paraId="7A1E6B61">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3.本合同一式__份， 需方__份，供方__份，具同等法律效力。</w:t>
            </w:r>
          </w:p>
          <w:p w14:paraId="210EB964">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4.其他：</w:t>
            </w:r>
          </w:p>
        </w:tc>
      </w:tr>
      <w:tr w14:paraId="05A4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137A9EFC">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需方：</w:t>
            </w:r>
          </w:p>
          <w:p w14:paraId="3EEDE089">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地址：</w:t>
            </w:r>
          </w:p>
          <w:p w14:paraId="3368AA69">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0274BCAC">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授权代表：</w:t>
            </w:r>
          </w:p>
        </w:tc>
        <w:tc>
          <w:tcPr>
            <w:tcW w:w="4984" w:type="dxa"/>
            <w:gridSpan w:val="5"/>
            <w:noWrap w:val="0"/>
            <w:vAlign w:val="top"/>
          </w:tcPr>
          <w:p w14:paraId="7416FA3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供方：</w:t>
            </w:r>
          </w:p>
          <w:p w14:paraId="12CD358D">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地址：</w:t>
            </w:r>
          </w:p>
          <w:p w14:paraId="7763FAE6">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电话：</w:t>
            </w:r>
          </w:p>
          <w:p w14:paraId="1095A582">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传真：</w:t>
            </w:r>
          </w:p>
          <w:p w14:paraId="6CA85F77">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p>
          <w:p w14:paraId="36FC2E29">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账号：</w:t>
            </w:r>
          </w:p>
          <w:p w14:paraId="5A6F3D18">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授权代表：</w:t>
            </w:r>
          </w:p>
          <w:p w14:paraId="2D22BB75">
            <w:pPr>
              <w:keepNext w:val="0"/>
              <w:keepLines w:val="0"/>
              <w:pageBreakBefore w:val="0"/>
              <w:widowControl/>
              <w:kinsoku/>
              <w:wordWrap/>
              <w:overflowPunct/>
              <w:topLinePunct w:val="0"/>
              <w:autoSpaceDE/>
              <w:autoSpaceDN/>
              <w:bidi w:val="0"/>
              <w:adjustRightInd/>
              <w:snapToGrid/>
              <w:spacing w:line="240" w:lineRule="atLeast"/>
              <w:ind w:firstLine="0" w:firstLineChars="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（本栏请用计算机打印以便于准确付款</w:t>
            </w:r>
            <w:r>
              <w:rPr>
                <w:rFonts w:hint="eastAsia" w:asciiTheme="minorEastAsia" w:hAnsiTheme="minorEastAsia" w:eastAsiaTheme="minorEastAsia" w:cstheme="minorEastAsia"/>
                <w:color w:val="auto"/>
                <w:sz w:val="21"/>
                <w:szCs w:val="21"/>
                <w:highlight w:val="none"/>
                <w:lang w:eastAsia="zh-CN"/>
              </w:rPr>
              <w:t>）</w:t>
            </w:r>
          </w:p>
        </w:tc>
      </w:tr>
      <w:tr w14:paraId="490F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628" w:type="dxa"/>
            <w:gridSpan w:val="8"/>
            <w:noWrap w:val="0"/>
            <w:vAlign w:val="top"/>
          </w:tcPr>
          <w:p w14:paraId="2A31D2B4">
            <w:pPr>
              <w:keepNext w:val="0"/>
              <w:keepLines w:val="0"/>
              <w:pageBreakBefore w:val="0"/>
              <w:widowControl/>
              <w:kinsoku/>
              <w:wordWrap/>
              <w:overflowPunct/>
              <w:topLinePunct w:val="0"/>
              <w:autoSpaceDE/>
              <w:autoSpaceDN/>
              <w:bidi w:val="0"/>
              <w:adjustRightInd/>
              <w:snapToGrid/>
              <w:spacing w:line="240" w:lineRule="atLeas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备注：</w:t>
            </w:r>
          </w:p>
          <w:p w14:paraId="0FFD8B61">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textAlignment w:val="auto"/>
              <w:rPr>
                <w:rFonts w:hint="eastAsia" w:asciiTheme="minorEastAsia" w:hAnsiTheme="minorEastAsia" w:eastAsiaTheme="minorEastAsia" w:cstheme="minorEastAsia"/>
                <w:color w:val="auto"/>
                <w:sz w:val="21"/>
                <w:szCs w:val="21"/>
                <w:highlight w:val="none"/>
              </w:rPr>
            </w:pPr>
          </w:p>
        </w:tc>
      </w:tr>
    </w:tbl>
    <w:p w14:paraId="3086A0B1">
      <w:pPr>
        <w:rPr>
          <w:rFonts w:hint="eastAsia" w:asciiTheme="minorEastAsia" w:hAnsiTheme="minorEastAsia" w:eastAsiaTheme="minorEastAsia" w:cstheme="minorEastAsia"/>
          <w:color w:val="auto"/>
          <w:highlight w:val="none"/>
        </w:rPr>
        <w:sectPr>
          <w:headerReference r:id="rId8" w:type="default"/>
          <w:footerReference r:id="rId9" w:type="default"/>
          <w:pgSz w:w="11907" w:h="16840"/>
          <w:pgMar w:top="1134" w:right="1191" w:bottom="1134" w:left="1304" w:header="964" w:footer="992" w:gutter="0"/>
          <w:pgNumType w:fmt="decimal"/>
          <w:cols w:space="720" w:num="1"/>
          <w:docGrid w:linePitch="312" w:charSpace="0"/>
        </w:sectPr>
      </w:pPr>
      <w:r>
        <w:rPr>
          <w:rFonts w:hint="eastAsia" w:asciiTheme="minorEastAsia" w:hAnsiTheme="minorEastAsia" w:eastAsiaTheme="minorEastAsia" w:cstheme="minorEastAsia"/>
          <w:color w:val="auto"/>
          <w:sz w:val="24"/>
          <w:highlight w:val="none"/>
        </w:rPr>
        <w:t>签约时间：           年   月   日      签约地点：</w:t>
      </w:r>
    </w:p>
    <w:p w14:paraId="2A2E9294">
      <w:pPr>
        <w:pStyle w:val="2"/>
        <w:bidi w:val="0"/>
        <w:rPr>
          <w:rFonts w:hint="eastAsia"/>
          <w:color w:val="auto"/>
          <w:highlight w:val="none"/>
        </w:rPr>
      </w:pPr>
      <w:bookmarkStart w:id="185" w:name="_Toc3527"/>
      <w:r>
        <w:rPr>
          <w:rFonts w:hint="eastAsia"/>
          <w:color w:val="auto"/>
          <w:highlight w:val="none"/>
        </w:rPr>
        <w:t>第七篇  响应文件格式</w:t>
      </w:r>
      <w:bookmarkEnd w:id="185"/>
    </w:p>
    <w:p w14:paraId="56C7B142">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一、经济部分</w:t>
      </w:r>
    </w:p>
    <w:p w14:paraId="69E21C9D">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竞争性磋商报价函</w:t>
      </w:r>
    </w:p>
    <w:p w14:paraId="642CF979">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部分</w:t>
      </w:r>
    </w:p>
    <w:p w14:paraId="0F454976">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方案</w:t>
      </w:r>
    </w:p>
    <w:p w14:paraId="273AC2B0">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响应偏离表</w:t>
      </w:r>
    </w:p>
    <w:p w14:paraId="3C6EC13F">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三、商务部分</w:t>
      </w:r>
    </w:p>
    <w:p w14:paraId="0C52F5B1">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一）</w:t>
      </w:r>
      <w:r>
        <w:rPr>
          <w:rFonts w:hint="eastAsia" w:asciiTheme="minorEastAsia" w:hAnsiTheme="minorEastAsia" w:eastAsiaTheme="minorEastAsia" w:cstheme="minorEastAsia"/>
          <w:color w:val="auto"/>
          <w:sz w:val="24"/>
          <w:szCs w:val="24"/>
          <w:highlight w:val="none"/>
        </w:rPr>
        <w:t>商务响应偏离表</w:t>
      </w:r>
    </w:p>
    <w:p w14:paraId="294C84DA">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其它优惠承诺（格式自定）</w:t>
      </w:r>
    </w:p>
    <w:p w14:paraId="6EE44C0C">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四、资格条件及其他</w:t>
      </w:r>
    </w:p>
    <w:p w14:paraId="44ECCE18">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营业执照（副本</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或事业单位法人证书（副本</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复印件</w:t>
      </w:r>
    </w:p>
    <w:p w14:paraId="7B26059B">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法定代表人身份证明书（格式</w:t>
      </w:r>
      <w:r>
        <w:rPr>
          <w:rFonts w:hint="eastAsia" w:asciiTheme="minorEastAsia" w:hAnsiTheme="minorEastAsia" w:eastAsiaTheme="minorEastAsia" w:cstheme="minorEastAsia"/>
          <w:color w:val="auto"/>
          <w:sz w:val="24"/>
          <w:szCs w:val="24"/>
          <w:highlight w:val="none"/>
          <w:lang w:eastAsia="zh-CN"/>
        </w:rPr>
        <w:t>）</w:t>
      </w:r>
    </w:p>
    <w:p w14:paraId="38323E0A">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法定代表人授权委托书（格式</w:t>
      </w:r>
      <w:r>
        <w:rPr>
          <w:rFonts w:hint="eastAsia" w:asciiTheme="minorEastAsia" w:hAnsiTheme="minorEastAsia" w:eastAsiaTheme="minorEastAsia" w:cstheme="minorEastAsia"/>
          <w:color w:val="auto"/>
          <w:sz w:val="24"/>
          <w:szCs w:val="24"/>
          <w:highlight w:val="none"/>
          <w:lang w:eastAsia="zh-CN"/>
        </w:rPr>
        <w:t>）</w:t>
      </w:r>
    </w:p>
    <w:p w14:paraId="250D7651">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基本资格条件承诺函（格式</w:t>
      </w:r>
      <w:r>
        <w:rPr>
          <w:rFonts w:hint="eastAsia" w:asciiTheme="minorEastAsia" w:hAnsiTheme="minorEastAsia" w:eastAsiaTheme="minorEastAsia" w:cstheme="minorEastAsia"/>
          <w:color w:val="auto"/>
          <w:sz w:val="24"/>
          <w:szCs w:val="24"/>
          <w:highlight w:val="none"/>
          <w:lang w:eastAsia="zh-CN"/>
        </w:rPr>
        <w:t>）</w:t>
      </w:r>
    </w:p>
    <w:p w14:paraId="3E5C83AD">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五、其他应提供的资料</w:t>
      </w:r>
    </w:p>
    <w:p w14:paraId="538C615C">
      <w:pPr>
        <w:snapToGrid w:val="0"/>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其他与项目有关的资料（自附</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7295A1D7">
      <w:pPr>
        <w:pStyle w:val="4"/>
        <w:spacing w:before="0" w:after="0" w:line="360" w:lineRule="auto"/>
        <w:rPr>
          <w:rStyle w:val="76"/>
          <w:rFonts w:hint="eastAsia" w:asciiTheme="minorEastAsia" w:hAnsiTheme="minorEastAsia" w:eastAsiaTheme="minorEastAsia" w:cstheme="minorEastAsia"/>
          <w:color w:val="auto"/>
          <w:highlight w:val="none"/>
        </w:rPr>
      </w:pPr>
      <w:bookmarkStart w:id="186" w:name="_Toc15788"/>
      <w:bookmarkStart w:id="187" w:name="_Toc313888360"/>
      <w:bookmarkStart w:id="188" w:name="_Toc21066"/>
      <w:bookmarkStart w:id="189" w:name="_Toc342913419"/>
      <w:bookmarkStart w:id="190" w:name="_Toc41"/>
      <w:bookmarkStart w:id="191" w:name="_Toc313008356"/>
      <w:bookmarkStart w:id="192" w:name="_Toc283382454"/>
      <w:bookmarkStart w:id="193" w:name="_Toc12789073"/>
    </w:p>
    <w:p w14:paraId="3B4E1A97">
      <w:pPr>
        <w:rPr>
          <w:rStyle w:val="76"/>
          <w:rFonts w:hint="eastAsia" w:asciiTheme="minorEastAsia" w:hAnsiTheme="minorEastAsia" w:eastAsiaTheme="minorEastAsia" w:cstheme="minorEastAsia"/>
          <w:color w:val="auto"/>
          <w:highlight w:val="none"/>
        </w:rPr>
      </w:pPr>
    </w:p>
    <w:p w14:paraId="0DC3EAC7">
      <w:pPr>
        <w:pStyle w:val="239"/>
        <w:rPr>
          <w:rStyle w:val="76"/>
          <w:rFonts w:hint="eastAsia" w:asciiTheme="minorEastAsia" w:hAnsiTheme="minorEastAsia" w:eastAsiaTheme="minorEastAsia" w:cstheme="minorEastAsia"/>
          <w:color w:val="auto"/>
          <w:highlight w:val="none"/>
        </w:rPr>
      </w:pPr>
    </w:p>
    <w:p w14:paraId="79189103">
      <w:pPr>
        <w:pStyle w:val="35"/>
        <w:rPr>
          <w:rStyle w:val="76"/>
          <w:rFonts w:hint="eastAsia" w:asciiTheme="minorEastAsia" w:hAnsiTheme="minorEastAsia" w:eastAsiaTheme="minorEastAsia" w:cstheme="minorEastAsia"/>
          <w:color w:val="auto"/>
          <w:highlight w:val="none"/>
        </w:rPr>
      </w:pPr>
    </w:p>
    <w:p w14:paraId="596F0D98">
      <w:pPr>
        <w:pStyle w:val="36"/>
        <w:rPr>
          <w:rStyle w:val="76"/>
          <w:rFonts w:hint="eastAsia" w:asciiTheme="minorEastAsia" w:hAnsiTheme="minorEastAsia" w:eastAsiaTheme="minorEastAsia" w:cstheme="minorEastAsia"/>
          <w:color w:val="auto"/>
          <w:highlight w:val="none"/>
        </w:rPr>
      </w:pPr>
    </w:p>
    <w:p w14:paraId="48340F48">
      <w:pPr>
        <w:rPr>
          <w:rStyle w:val="76"/>
          <w:rFonts w:hint="eastAsia" w:asciiTheme="minorEastAsia" w:hAnsiTheme="minorEastAsia" w:eastAsiaTheme="minorEastAsia" w:cstheme="minorEastAsia"/>
          <w:color w:val="auto"/>
          <w:highlight w:val="none"/>
        </w:rPr>
      </w:pPr>
    </w:p>
    <w:p w14:paraId="6F9CA0A7">
      <w:pPr>
        <w:pStyle w:val="239"/>
        <w:rPr>
          <w:rStyle w:val="76"/>
          <w:rFonts w:hint="eastAsia" w:asciiTheme="minorEastAsia" w:hAnsiTheme="minorEastAsia" w:eastAsiaTheme="minorEastAsia" w:cstheme="minorEastAsia"/>
          <w:color w:val="auto"/>
          <w:highlight w:val="none"/>
        </w:rPr>
      </w:pPr>
    </w:p>
    <w:p w14:paraId="60590238">
      <w:pPr>
        <w:pStyle w:val="35"/>
        <w:rPr>
          <w:rStyle w:val="76"/>
          <w:rFonts w:hint="eastAsia" w:asciiTheme="minorEastAsia" w:hAnsiTheme="minorEastAsia" w:eastAsiaTheme="minorEastAsia" w:cstheme="minorEastAsia"/>
          <w:color w:val="auto"/>
          <w:highlight w:val="none"/>
        </w:rPr>
      </w:pPr>
    </w:p>
    <w:p w14:paraId="75730410">
      <w:pPr>
        <w:pStyle w:val="36"/>
        <w:rPr>
          <w:rStyle w:val="76"/>
          <w:rFonts w:hint="eastAsia" w:asciiTheme="minorEastAsia" w:hAnsiTheme="minorEastAsia" w:eastAsiaTheme="minorEastAsia" w:cstheme="minorEastAsia"/>
          <w:color w:val="auto"/>
          <w:highlight w:val="none"/>
        </w:rPr>
      </w:pPr>
    </w:p>
    <w:p w14:paraId="57156443">
      <w:pPr>
        <w:rPr>
          <w:rStyle w:val="76"/>
          <w:rFonts w:hint="eastAsia" w:asciiTheme="minorEastAsia" w:hAnsiTheme="minorEastAsia" w:eastAsiaTheme="minorEastAsia" w:cstheme="minorEastAsia"/>
          <w:color w:val="auto"/>
          <w:highlight w:val="none"/>
        </w:rPr>
      </w:pPr>
    </w:p>
    <w:p w14:paraId="3E2F6DB8">
      <w:pPr>
        <w:pStyle w:val="239"/>
        <w:rPr>
          <w:rFonts w:hint="eastAsia"/>
          <w:highlight w:val="none"/>
        </w:rPr>
      </w:pPr>
    </w:p>
    <w:p w14:paraId="3569DFED">
      <w:pPr>
        <w:pStyle w:val="4"/>
        <w:spacing w:before="0" w:after="0" w:line="360" w:lineRule="auto"/>
        <w:jc w:val="both"/>
        <w:rPr>
          <w:rStyle w:val="76"/>
          <w:rFonts w:hint="eastAsia" w:asciiTheme="minorEastAsia" w:hAnsiTheme="minorEastAsia" w:eastAsiaTheme="minorEastAsia" w:cstheme="minorEastAsia"/>
          <w:color w:val="auto"/>
          <w:highlight w:val="none"/>
        </w:rPr>
      </w:pPr>
    </w:p>
    <w:p w14:paraId="009DBB64">
      <w:pPr>
        <w:rPr>
          <w:rStyle w:val="76"/>
          <w:rFonts w:hint="eastAsia" w:asciiTheme="minorEastAsia" w:hAnsiTheme="minorEastAsia" w:eastAsiaTheme="minorEastAsia" w:cstheme="minorEastAsia"/>
          <w:color w:val="auto"/>
          <w:highlight w:val="none"/>
        </w:rPr>
      </w:pPr>
    </w:p>
    <w:p w14:paraId="79753399">
      <w:pPr>
        <w:rPr>
          <w:rStyle w:val="76"/>
          <w:rFonts w:hint="eastAsia" w:asciiTheme="minorEastAsia" w:hAnsiTheme="minorEastAsia" w:eastAsiaTheme="minorEastAsia" w:cstheme="minorEastAsia"/>
          <w:color w:val="auto"/>
          <w:highlight w:val="none"/>
        </w:rPr>
      </w:pPr>
    </w:p>
    <w:p w14:paraId="4AFFB791">
      <w:pPr>
        <w:rPr>
          <w:rFonts w:hint="eastAsia"/>
          <w:highlight w:val="none"/>
        </w:rPr>
      </w:pPr>
    </w:p>
    <w:p w14:paraId="5855F354">
      <w:pPr>
        <w:pStyle w:val="4"/>
        <w:spacing w:before="0" w:after="0" w:line="360" w:lineRule="auto"/>
        <w:rPr>
          <w:rStyle w:val="76"/>
          <w:rFonts w:hint="eastAsia" w:asciiTheme="minorEastAsia" w:hAnsiTheme="minorEastAsia" w:eastAsiaTheme="minorEastAsia" w:cstheme="minorEastAsia"/>
          <w:color w:val="auto"/>
          <w:highlight w:val="none"/>
        </w:rPr>
      </w:pPr>
    </w:p>
    <w:p w14:paraId="4D89320F">
      <w:pPr>
        <w:pStyle w:val="4"/>
        <w:spacing w:before="0" w:after="0" w:line="360" w:lineRule="auto"/>
        <w:rPr>
          <w:rFonts w:hint="eastAsia" w:asciiTheme="minorEastAsia" w:hAnsiTheme="minorEastAsia" w:eastAsiaTheme="minorEastAsia" w:cstheme="minorEastAsia"/>
          <w:color w:val="auto"/>
          <w:sz w:val="24"/>
          <w:szCs w:val="24"/>
          <w:highlight w:val="none"/>
        </w:rPr>
      </w:pPr>
      <w:bookmarkStart w:id="194" w:name="_Toc25455"/>
      <w:r>
        <w:rPr>
          <w:rStyle w:val="76"/>
          <w:rFonts w:hint="eastAsia" w:asciiTheme="minorEastAsia" w:hAnsiTheme="minorEastAsia" w:eastAsiaTheme="minorEastAsia" w:cstheme="minorEastAsia"/>
          <w:color w:val="auto"/>
          <w:highlight w:val="none"/>
        </w:rPr>
        <w:t>一、经济部分</w:t>
      </w:r>
      <w:bookmarkEnd w:id="186"/>
      <w:bookmarkEnd w:id="187"/>
      <w:bookmarkEnd w:id="188"/>
      <w:bookmarkEnd w:id="189"/>
      <w:bookmarkEnd w:id="190"/>
      <w:bookmarkEnd w:id="191"/>
      <w:bookmarkEnd w:id="194"/>
    </w:p>
    <w:bookmarkEnd w:id="192"/>
    <w:bookmarkEnd w:id="193"/>
    <w:p w14:paraId="4E763AAE">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竞争性磋商报价函</w:t>
      </w:r>
    </w:p>
    <w:p w14:paraId="1DAD0B2C">
      <w:pPr>
        <w:tabs>
          <w:tab w:val="left" w:pos="6300"/>
        </w:tabs>
        <w:snapToGrid w:val="0"/>
        <w:spacing w:line="312" w:lineRule="auto"/>
        <w:jc w:val="center"/>
        <w:outlineLvl w:val="0"/>
        <w:rPr>
          <w:rFonts w:hint="eastAsia" w:asciiTheme="minorEastAsia" w:hAnsiTheme="minorEastAsia" w:eastAsiaTheme="minorEastAsia" w:cstheme="minorEastAsia"/>
          <w:b/>
          <w:color w:val="auto"/>
          <w:szCs w:val="28"/>
          <w:highlight w:val="none"/>
        </w:rPr>
      </w:pPr>
      <w:r>
        <w:rPr>
          <w:rFonts w:hint="eastAsia" w:asciiTheme="minorEastAsia" w:hAnsiTheme="minorEastAsia" w:eastAsiaTheme="minorEastAsia" w:cstheme="minorEastAsia"/>
          <w:b/>
          <w:color w:val="auto"/>
          <w:szCs w:val="28"/>
          <w:highlight w:val="none"/>
        </w:rPr>
        <w:t>竞争性磋商报价函</w:t>
      </w:r>
    </w:p>
    <w:p w14:paraId="4F5ECC23">
      <w:pPr>
        <w:tabs>
          <w:tab w:val="left" w:pos="6300"/>
        </w:tabs>
        <w:snapToGrid w:val="0"/>
        <w:spacing w:line="312"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__________________________</w:t>
      </w:r>
      <w:r>
        <w:rPr>
          <w:rFonts w:hint="eastAsia" w:asciiTheme="minorEastAsia" w:hAnsiTheme="minorEastAsia" w:eastAsiaTheme="minorEastAsia" w:cstheme="minorEastAsia"/>
          <w:color w:val="auto"/>
          <w:sz w:val="24"/>
          <w:szCs w:val="24"/>
          <w:highlight w:val="none"/>
          <w:lang w:eastAsia="zh-CN"/>
        </w:rPr>
        <w:t>（采购人名称）</w:t>
      </w:r>
      <w:r>
        <w:rPr>
          <w:rFonts w:hint="eastAsia" w:asciiTheme="minorEastAsia" w:hAnsiTheme="minorEastAsia" w:eastAsiaTheme="minorEastAsia" w:cstheme="minorEastAsia"/>
          <w:color w:val="auto"/>
          <w:sz w:val="24"/>
          <w:szCs w:val="24"/>
          <w:highlight w:val="none"/>
        </w:rPr>
        <w:t>：</w:t>
      </w:r>
    </w:p>
    <w:p w14:paraId="43F1B22E">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我方收到____________________________（项目名称</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的竞争性磋商文件，经详细研究，决定参加该项目的磋商。</w:t>
      </w:r>
    </w:p>
    <w:p w14:paraId="70F1F011">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1、愿意按照竞争性磋商文件中的一切要求，提供本项目的服务，初始报价为人民币大写：</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；人民币小写：</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元。以我公司最后报价为准。</w:t>
      </w:r>
    </w:p>
    <w:p w14:paraId="0DE8E4BA">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2、我方现提交的响应文件为：响应文件正本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eastAsiaTheme="minorEastAsia" w:cstheme="minorEastAsia"/>
          <w:color w:val="auto"/>
          <w:sz w:val="24"/>
          <w:szCs w:val="24"/>
          <w:highlight w:val="none"/>
          <w:lang w:eastAsia="zh-CN"/>
        </w:rPr>
        <w:t>，电子文档</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份</w:t>
      </w:r>
      <w:r>
        <w:rPr>
          <w:rFonts w:hint="eastAsia" w:asciiTheme="minorEastAsia" w:hAnsiTheme="minorEastAsia" w:eastAsiaTheme="minorEastAsia" w:cstheme="minorEastAsia"/>
          <w:color w:val="auto"/>
          <w:sz w:val="24"/>
          <w:szCs w:val="24"/>
          <w:highlight w:val="none"/>
        </w:rPr>
        <w:t>。</w:t>
      </w:r>
    </w:p>
    <w:p w14:paraId="1095C7CB">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3、我方承诺：本次磋商的有效期为90天。</w:t>
      </w:r>
    </w:p>
    <w:p w14:paraId="03BB7455">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4、我方完全理解和接受贵方竞争性磋商文件的一切规定和要求及评审办法。</w:t>
      </w:r>
    </w:p>
    <w:p w14:paraId="0B88DFC6">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5、在整个竞争性磋商过程中，我方若有违规行为，接受按照《中华人民共和国政府采购法》和《竞争性磋商文件》之规定给予惩罚。</w:t>
      </w:r>
    </w:p>
    <w:p w14:paraId="1E1A2BA5">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6、我方若成为成交供应商，将按照最终磋商结果签订合同，并且严格履行合同义务。本承诺函将成为合同不可分割的一部分，与合同具有同等的法律效力。</w:t>
      </w:r>
    </w:p>
    <w:p w14:paraId="3F64C69E">
      <w:pPr>
        <w:tabs>
          <w:tab w:val="left" w:pos="6300"/>
        </w:tabs>
        <w:snapToGrid w:val="0"/>
        <w:spacing w:line="312" w:lineRule="auto"/>
        <w:ind w:firstLine="570"/>
        <w:rPr>
          <w:rFonts w:hint="eastAsia" w:asciiTheme="minorEastAsia" w:hAnsiTheme="minorEastAsia" w:eastAsiaTheme="minorEastAsia" w:cstheme="minorEastAsia"/>
          <w:color w:val="auto"/>
          <w:sz w:val="24"/>
          <w:szCs w:val="24"/>
          <w:highlight w:val="none"/>
        </w:rPr>
      </w:pPr>
    </w:p>
    <w:p w14:paraId="6F32DE5D">
      <w:pPr>
        <w:tabs>
          <w:tab w:val="left" w:pos="6300"/>
        </w:tabs>
        <w:snapToGrid w:val="0"/>
        <w:spacing w:line="312" w:lineRule="auto"/>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供应商（公章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620FC1B4">
      <w:pPr>
        <w:tabs>
          <w:tab w:val="left" w:pos="6300"/>
        </w:tabs>
        <w:snapToGrid w:val="0"/>
        <w:spacing w:line="312" w:lineRule="auto"/>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p>
    <w:p w14:paraId="77781107">
      <w:pPr>
        <w:tabs>
          <w:tab w:val="left" w:pos="6300"/>
        </w:tabs>
        <w:snapToGrid w:val="0"/>
        <w:spacing w:line="312" w:lineRule="auto"/>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                                             传真：</w:t>
      </w:r>
    </w:p>
    <w:p w14:paraId="5138266C">
      <w:pPr>
        <w:tabs>
          <w:tab w:val="left" w:pos="6300"/>
        </w:tabs>
        <w:snapToGrid w:val="0"/>
        <w:spacing w:line="312" w:lineRule="auto"/>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网址：                                             邮编：</w:t>
      </w:r>
    </w:p>
    <w:p w14:paraId="705D2D21">
      <w:pPr>
        <w:tabs>
          <w:tab w:val="left" w:pos="6300"/>
        </w:tabs>
        <w:snapToGrid w:val="0"/>
        <w:spacing w:line="312" w:lineRule="auto"/>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p>
    <w:p w14:paraId="375575CC">
      <w:pPr>
        <w:snapToGrid w:val="0"/>
        <w:spacing w:line="312"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rPr>
        <w:t xml:space="preserve">                                                  年   月  </w:t>
      </w:r>
      <w:r>
        <w:rPr>
          <w:rFonts w:hint="eastAsia" w:asciiTheme="minorEastAsia" w:hAnsiTheme="minorEastAsia" w:eastAsiaTheme="minorEastAsia" w:cstheme="minorEastAsia"/>
          <w:color w:val="auto"/>
          <w:sz w:val="24"/>
          <w:szCs w:val="24"/>
          <w:highlight w:val="none"/>
          <w:lang w:val="en-US" w:eastAsia="zh-CN"/>
        </w:rPr>
        <w:t xml:space="preserve">  日</w:t>
      </w:r>
      <w:r>
        <w:rPr>
          <w:rFonts w:hint="eastAsia" w:asciiTheme="minorEastAsia" w:hAnsiTheme="minorEastAsia" w:eastAsiaTheme="minorEastAsia" w:cstheme="minorEastAsia"/>
          <w:color w:val="auto"/>
          <w:sz w:val="24"/>
          <w:szCs w:val="24"/>
          <w:highlight w:val="none"/>
        </w:rPr>
        <w:t xml:space="preserve"> </w:t>
      </w:r>
    </w:p>
    <w:p w14:paraId="0AA3FE9D">
      <w:pPr>
        <w:snapToGrid w:val="0"/>
        <w:spacing w:line="500" w:lineRule="exact"/>
        <w:ind w:firstLine="56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Cs w:val="28"/>
          <w:highlight w:val="none"/>
        </w:rPr>
        <w:br w:type="page"/>
      </w:r>
    </w:p>
    <w:p w14:paraId="7FA632CB">
      <w:pPr>
        <w:pStyle w:val="3"/>
        <w:pageBreakBefore/>
        <w:spacing w:line="500" w:lineRule="exact"/>
        <w:ind w:firstLine="562" w:firstLineChars="200"/>
        <w:rPr>
          <w:rFonts w:hint="eastAsia" w:asciiTheme="minorEastAsia" w:hAnsiTheme="minorEastAsia" w:eastAsiaTheme="minorEastAsia" w:cstheme="minorEastAsia"/>
          <w:b/>
          <w:color w:val="auto"/>
          <w:sz w:val="24"/>
          <w:highlight w:val="none"/>
          <w:lang w:eastAsia="zh-CN"/>
        </w:rPr>
      </w:pPr>
      <w:bookmarkStart w:id="195" w:name="_Toc493178790"/>
      <w:bookmarkStart w:id="196" w:name="_Toc29153"/>
      <w:bookmarkStart w:id="197" w:name="_Toc16202"/>
      <w:bookmarkStart w:id="198" w:name="_Toc4700"/>
      <w:r>
        <w:rPr>
          <w:rFonts w:hint="eastAsia" w:asciiTheme="minorEastAsia" w:hAnsiTheme="minorEastAsia" w:eastAsiaTheme="minorEastAsia" w:cstheme="minorEastAsia"/>
          <w:b/>
          <w:color w:val="auto"/>
          <w:szCs w:val="28"/>
          <w:highlight w:val="none"/>
        </w:rPr>
        <w:t>二、</w:t>
      </w:r>
      <w:bookmarkEnd w:id="195"/>
      <w:r>
        <w:rPr>
          <w:rFonts w:hint="eastAsia" w:asciiTheme="minorEastAsia" w:hAnsiTheme="minorEastAsia" w:eastAsiaTheme="minorEastAsia" w:cstheme="minorEastAsia"/>
          <w:b/>
          <w:color w:val="auto"/>
          <w:szCs w:val="28"/>
          <w:highlight w:val="none"/>
          <w:lang w:val="en-US" w:eastAsia="zh-CN"/>
        </w:rPr>
        <w:t>服务</w:t>
      </w:r>
      <w:r>
        <w:rPr>
          <w:rFonts w:hint="eastAsia" w:asciiTheme="minorEastAsia" w:hAnsiTheme="minorEastAsia" w:eastAsiaTheme="minorEastAsia" w:cstheme="minorEastAsia"/>
          <w:b/>
          <w:color w:val="auto"/>
          <w:szCs w:val="28"/>
          <w:highlight w:val="none"/>
          <w:lang w:eastAsia="zh-CN"/>
        </w:rPr>
        <w:t>部分</w:t>
      </w:r>
      <w:bookmarkEnd w:id="196"/>
      <w:bookmarkEnd w:id="197"/>
      <w:bookmarkEnd w:id="198"/>
    </w:p>
    <w:p w14:paraId="2A63D482">
      <w:pPr>
        <w:snapToGrid w:val="0"/>
        <w:spacing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方案（格式可自定</w:t>
      </w:r>
      <w:r>
        <w:rPr>
          <w:rFonts w:hint="eastAsia" w:asciiTheme="minorEastAsia" w:hAnsiTheme="minorEastAsia" w:eastAsiaTheme="minorEastAsia" w:cstheme="minorEastAsia"/>
          <w:color w:val="auto"/>
          <w:sz w:val="24"/>
          <w:szCs w:val="24"/>
          <w:highlight w:val="none"/>
          <w:lang w:eastAsia="zh-CN"/>
        </w:rPr>
        <w:t>）</w:t>
      </w:r>
    </w:p>
    <w:p w14:paraId="243DEF6B">
      <w:pPr>
        <w:tabs>
          <w:tab w:val="left" w:pos="6300"/>
        </w:tabs>
        <w:snapToGrid w:val="0"/>
        <w:spacing w:line="500" w:lineRule="exact"/>
        <w:ind w:firstLine="570"/>
        <w:rPr>
          <w:rFonts w:hint="eastAsia" w:asciiTheme="minorEastAsia" w:hAnsiTheme="minorEastAsia" w:eastAsiaTheme="minorEastAsia" w:cstheme="minorEastAsia"/>
          <w:color w:val="auto"/>
          <w:szCs w:val="24"/>
          <w:highlight w:val="none"/>
        </w:rPr>
      </w:pPr>
    </w:p>
    <w:p w14:paraId="033C936D">
      <w:pPr>
        <w:tabs>
          <w:tab w:val="left" w:pos="6300"/>
        </w:tabs>
        <w:snapToGrid w:val="0"/>
        <w:spacing w:line="500" w:lineRule="exact"/>
        <w:ind w:firstLine="57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br w:type="page"/>
      </w: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响应偏离表</w:t>
      </w:r>
    </w:p>
    <w:p w14:paraId="768AD2CD">
      <w:pPr>
        <w:pStyle w:val="22"/>
        <w:rPr>
          <w:rFonts w:hint="eastAsia" w:eastAsiaTheme="minorEastAsia"/>
          <w:highlight w:val="none"/>
          <w:lang w:eastAsia="zh-CN"/>
        </w:rPr>
      </w:pPr>
      <w:r>
        <w:rPr>
          <w:rFonts w:hint="eastAsia" w:asciiTheme="minorEastAsia" w:hAnsiTheme="minorEastAsia" w:eastAsiaTheme="minorEastAsia" w:cstheme="minorEastAsia"/>
          <w:color w:val="auto"/>
          <w:sz w:val="24"/>
          <w:szCs w:val="28"/>
          <w:highlight w:val="none"/>
          <w:lang w:eastAsia="zh-CN"/>
        </w:rPr>
        <w:t>磋商</w:t>
      </w:r>
      <w:r>
        <w:rPr>
          <w:rFonts w:hint="eastAsia" w:asciiTheme="minorEastAsia" w:hAnsiTheme="minorEastAsia" w:eastAsiaTheme="minorEastAsia" w:cstheme="minorEastAsia"/>
          <w:color w:val="auto"/>
          <w:sz w:val="24"/>
          <w:szCs w:val="28"/>
          <w:highlight w:val="none"/>
        </w:rPr>
        <w:t>项目名称</w:t>
      </w:r>
      <w:r>
        <w:rPr>
          <w:rFonts w:hint="eastAsia" w:asciiTheme="minorEastAsia" w:hAnsiTheme="minorEastAsia" w:eastAsiaTheme="minorEastAsia" w:cstheme="minorEastAsia"/>
          <w:color w:val="auto"/>
          <w:sz w:val="24"/>
          <w:szCs w:val="28"/>
          <w:highlight w:val="none"/>
          <w:lang w:eastAsia="zh-CN"/>
        </w:rPr>
        <w:t>：</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968"/>
        <w:gridCol w:w="3080"/>
        <w:gridCol w:w="2307"/>
      </w:tblGrid>
      <w:tr w14:paraId="5F42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59" w:type="pct"/>
            <w:vAlign w:val="center"/>
          </w:tcPr>
          <w:p w14:paraId="6BC3B3DF">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541" w:type="pct"/>
            <w:vAlign w:val="center"/>
          </w:tcPr>
          <w:p w14:paraId="28FB9260">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采购需求</w:t>
            </w:r>
          </w:p>
        </w:tc>
        <w:tc>
          <w:tcPr>
            <w:tcW w:w="1599" w:type="pct"/>
            <w:vAlign w:val="center"/>
          </w:tcPr>
          <w:p w14:paraId="3EE33DF3">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响应情况</w:t>
            </w:r>
          </w:p>
        </w:tc>
        <w:tc>
          <w:tcPr>
            <w:tcW w:w="1198" w:type="pct"/>
            <w:vAlign w:val="center"/>
          </w:tcPr>
          <w:p w14:paraId="2EC9EBB1">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差异说明</w:t>
            </w:r>
          </w:p>
        </w:tc>
      </w:tr>
      <w:tr w14:paraId="1EB5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7C0D69B0">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6DE8C4E8">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66E47413">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091922E5">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6181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43034B46">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418E40FC">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7C5EBF0F">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4042AA3F">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4753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54D54FC1">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06843D4E">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5E93F992">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6A608B88">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1DB7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75D33D66">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636682FA">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716D543B">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25476794">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0D5F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5E5FD595">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78290915">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10AD4131">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1596B031">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1898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0EA76DA1">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7CF8F98D">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2D879C83">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72B5253F">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4724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7795A36C">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649289C6">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060FE43B">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61B42D14">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6435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38D7C0A1">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65FCDE5F">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39EFF353">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2A1EA28E">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6220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41CA77B3">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1DB4DBC4">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425A427D">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0794922D">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r w14:paraId="4E43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59" w:type="pct"/>
            <w:vAlign w:val="center"/>
          </w:tcPr>
          <w:p w14:paraId="2EEDCA3C">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41" w:type="pct"/>
            <w:vAlign w:val="center"/>
          </w:tcPr>
          <w:p w14:paraId="4CAEDF1B">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599" w:type="pct"/>
            <w:vAlign w:val="center"/>
          </w:tcPr>
          <w:p w14:paraId="2D6C289A">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c>
          <w:tcPr>
            <w:tcW w:w="1198" w:type="pct"/>
            <w:vAlign w:val="center"/>
          </w:tcPr>
          <w:p w14:paraId="4FB89855">
            <w:pPr>
              <w:tabs>
                <w:tab w:val="left" w:pos="6300"/>
              </w:tabs>
              <w:snapToGrid w:val="0"/>
              <w:spacing w:line="500" w:lineRule="exact"/>
              <w:jc w:val="center"/>
              <w:outlineLvl w:val="0"/>
              <w:rPr>
                <w:rFonts w:hint="eastAsia" w:asciiTheme="minorEastAsia" w:hAnsiTheme="minorEastAsia" w:eastAsiaTheme="minorEastAsia" w:cstheme="minorEastAsia"/>
                <w:color w:val="auto"/>
                <w:sz w:val="21"/>
                <w:szCs w:val="21"/>
                <w:highlight w:val="none"/>
              </w:rPr>
            </w:pPr>
          </w:p>
        </w:tc>
      </w:tr>
    </w:tbl>
    <w:p w14:paraId="241D7DE6">
      <w:pPr>
        <w:spacing w:line="500" w:lineRule="exac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供应商：                           </w:t>
      </w:r>
      <w:r>
        <w:rPr>
          <w:rFonts w:hint="eastAsia" w:asciiTheme="minorEastAsia" w:hAnsiTheme="minorEastAsia" w:eastAsiaTheme="minorEastAsia" w:cstheme="minorEastAsia"/>
          <w:color w:val="auto"/>
          <w:sz w:val="24"/>
          <w:szCs w:val="24"/>
          <w:highlight w:val="none"/>
        </w:rPr>
        <w:t>法定代表人（或其授权代表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或自然人：</w:t>
      </w:r>
    </w:p>
    <w:p w14:paraId="013C3D23">
      <w:pPr>
        <w:spacing w:line="500" w:lineRule="exact"/>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w:t>
      </w:r>
    </w:p>
    <w:p w14:paraId="2C30E6BA">
      <w:pPr>
        <w:spacing w:line="500" w:lineRule="exact"/>
        <w:ind w:firstLine="720" w:firstLineChars="300"/>
        <w:rPr>
          <w:rFonts w:hint="eastAsia" w:asciiTheme="minorEastAsia" w:hAnsiTheme="minorEastAsia" w:eastAsiaTheme="minorEastAsia" w:cstheme="minorEastAsia"/>
          <w:color w:val="auto"/>
          <w:sz w:val="24"/>
          <w:szCs w:val="28"/>
          <w:highlight w:val="none"/>
          <w:lang w:eastAsia="zh-CN"/>
        </w:rPr>
      </w:pPr>
      <w:r>
        <w:rPr>
          <w:rFonts w:hint="eastAsia" w:asciiTheme="minorEastAsia" w:hAnsiTheme="minorEastAsia" w:eastAsiaTheme="minorEastAsia" w:cstheme="minorEastAsia"/>
          <w:color w:val="auto"/>
          <w:sz w:val="24"/>
          <w:szCs w:val="28"/>
          <w:highlight w:val="none"/>
        </w:rPr>
        <w:t>（供应商公章</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 xml:space="preserve">                               （签字或盖章</w:t>
      </w:r>
      <w:r>
        <w:rPr>
          <w:rFonts w:hint="eastAsia" w:asciiTheme="minorEastAsia" w:hAnsiTheme="minorEastAsia" w:eastAsiaTheme="minorEastAsia" w:cstheme="minorEastAsia"/>
          <w:color w:val="auto"/>
          <w:sz w:val="24"/>
          <w:szCs w:val="28"/>
          <w:highlight w:val="none"/>
          <w:lang w:eastAsia="zh-CN"/>
        </w:rPr>
        <w:t>）</w:t>
      </w:r>
    </w:p>
    <w:p w14:paraId="74B95836">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 xml:space="preserve">                                              年     月     日</w:t>
      </w:r>
    </w:p>
    <w:p w14:paraId="3D472FBC">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07C5E87F">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highlight w:val="none"/>
        </w:rPr>
        <w:t>、本表即为对本项目“第二篇  项目</w:t>
      </w:r>
      <w:r>
        <w:rPr>
          <w:rFonts w:hint="eastAsia" w:asciiTheme="minorEastAsia" w:hAnsiTheme="minorEastAsia" w:eastAsiaTheme="minorEastAsia" w:cstheme="minorEastAsia"/>
          <w:color w:val="auto"/>
          <w:sz w:val="24"/>
          <w:highlight w:val="none"/>
          <w:lang w:val="en-US" w:eastAsia="zh-CN"/>
        </w:rPr>
        <w:t>服务</w:t>
      </w:r>
      <w:r>
        <w:rPr>
          <w:rFonts w:hint="eastAsia" w:asciiTheme="minorEastAsia" w:hAnsiTheme="minorEastAsia" w:eastAsiaTheme="minorEastAsia" w:cstheme="minorEastAsia"/>
          <w:color w:val="auto"/>
          <w:sz w:val="24"/>
          <w:highlight w:val="none"/>
        </w:rPr>
        <w:t>需求”中所列</w:t>
      </w:r>
      <w:r>
        <w:rPr>
          <w:rFonts w:hint="eastAsia" w:asciiTheme="minorEastAsia" w:hAnsiTheme="minorEastAsia" w:eastAsiaTheme="minorEastAsia" w:cstheme="minorEastAsia"/>
          <w:color w:val="auto"/>
          <w:sz w:val="24"/>
          <w:highlight w:val="none"/>
          <w:lang w:val="en-US" w:eastAsia="zh-CN"/>
        </w:rPr>
        <w:t>服务</w:t>
      </w:r>
      <w:r>
        <w:rPr>
          <w:rFonts w:hint="eastAsia" w:asciiTheme="minorEastAsia" w:hAnsiTheme="minorEastAsia" w:eastAsiaTheme="minorEastAsia" w:cstheme="minorEastAsia"/>
          <w:color w:val="auto"/>
          <w:sz w:val="24"/>
          <w:highlight w:val="none"/>
        </w:rPr>
        <w:t>要求进行比较和响应；</w:t>
      </w:r>
    </w:p>
    <w:p w14:paraId="2908FF76">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2、该表必须按照竞争性磋商要求逐条如实填写，根据响应情况在“差异说明”项填写正偏离或负偏离及原因，完全符合的填写“无差异”；</w:t>
      </w:r>
    </w:p>
    <w:p w14:paraId="1272623E">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3、该表可扩展；</w:t>
      </w:r>
    </w:p>
    <w:p w14:paraId="5A312042">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4、可附相关支撑材料。（格式自定</w:t>
      </w:r>
      <w:r>
        <w:rPr>
          <w:rFonts w:hint="eastAsia" w:asciiTheme="minorEastAsia" w:hAnsiTheme="minorEastAsia" w:eastAsiaTheme="minorEastAsia" w:cstheme="minorEastAsia"/>
          <w:color w:val="auto"/>
          <w:sz w:val="24"/>
          <w:highlight w:val="none"/>
          <w:lang w:eastAsia="zh-CN"/>
        </w:rPr>
        <w:t>）</w:t>
      </w:r>
    </w:p>
    <w:p w14:paraId="5D66685A">
      <w:pPr>
        <w:pStyle w:val="3"/>
        <w:pageBreakBefore/>
        <w:spacing w:line="500" w:lineRule="exact"/>
        <w:ind w:firstLine="562" w:firstLineChars="200"/>
        <w:rPr>
          <w:rFonts w:hint="eastAsia" w:asciiTheme="minorEastAsia" w:hAnsiTheme="minorEastAsia" w:eastAsiaTheme="minorEastAsia" w:cstheme="minorEastAsia"/>
          <w:b/>
          <w:color w:val="auto"/>
          <w:szCs w:val="28"/>
          <w:highlight w:val="none"/>
          <w:lang w:eastAsia="zh-CN"/>
        </w:rPr>
      </w:pPr>
      <w:bookmarkStart w:id="199" w:name="_Toc493178791"/>
      <w:bookmarkStart w:id="200" w:name="_Toc492721039"/>
      <w:bookmarkStart w:id="201" w:name="_Toc14941"/>
      <w:bookmarkStart w:id="202" w:name="_Toc15128"/>
      <w:bookmarkStart w:id="203" w:name="_Toc4185"/>
      <w:r>
        <w:rPr>
          <w:rFonts w:hint="eastAsia" w:asciiTheme="minorEastAsia" w:hAnsiTheme="minorEastAsia" w:eastAsiaTheme="minorEastAsia" w:cstheme="minorEastAsia"/>
          <w:b/>
          <w:color w:val="auto"/>
          <w:szCs w:val="28"/>
          <w:highlight w:val="none"/>
        </w:rPr>
        <w:t>三、商务</w:t>
      </w:r>
      <w:bookmarkEnd w:id="199"/>
      <w:bookmarkEnd w:id="200"/>
      <w:r>
        <w:rPr>
          <w:rFonts w:hint="eastAsia" w:asciiTheme="minorEastAsia" w:hAnsiTheme="minorEastAsia" w:eastAsiaTheme="minorEastAsia" w:cstheme="minorEastAsia"/>
          <w:b/>
          <w:color w:val="auto"/>
          <w:szCs w:val="28"/>
          <w:highlight w:val="none"/>
          <w:lang w:eastAsia="zh-CN"/>
        </w:rPr>
        <w:t>部分</w:t>
      </w:r>
      <w:bookmarkEnd w:id="201"/>
      <w:bookmarkEnd w:id="202"/>
      <w:bookmarkEnd w:id="203"/>
    </w:p>
    <w:p w14:paraId="07EE0BE7">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一）商务</w:t>
      </w:r>
      <w:r>
        <w:rPr>
          <w:rFonts w:hint="eastAsia" w:asciiTheme="minorEastAsia" w:hAnsiTheme="minorEastAsia" w:eastAsiaTheme="minorEastAsia" w:cstheme="minorEastAsia"/>
          <w:color w:val="auto"/>
          <w:sz w:val="24"/>
          <w:szCs w:val="24"/>
          <w:highlight w:val="none"/>
        </w:rPr>
        <w:t xml:space="preserve">响应偏离表                               </w:t>
      </w:r>
    </w:p>
    <w:p w14:paraId="64553666">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项目名称： </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3C28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4F542F6A">
            <w:pPr>
              <w:snapToGrid w:val="0"/>
              <w:spacing w:line="360" w:lineRule="auto"/>
              <w:ind w:firstLine="465"/>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序号</w:t>
            </w:r>
          </w:p>
        </w:tc>
        <w:tc>
          <w:tcPr>
            <w:tcW w:w="3179" w:type="dxa"/>
            <w:noWrap w:val="0"/>
            <w:vAlign w:val="center"/>
          </w:tcPr>
          <w:p w14:paraId="4AF42683">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bookmarkStart w:id="204" w:name="_Toc12724"/>
            <w:bookmarkStart w:id="205" w:name="_Toc6174"/>
            <w:bookmarkStart w:id="206" w:name="_Toc18736"/>
            <w:r>
              <w:rPr>
                <w:rFonts w:hint="eastAsia" w:asciiTheme="minorEastAsia" w:hAnsiTheme="minorEastAsia" w:eastAsiaTheme="minorEastAsia" w:cstheme="minorEastAsia"/>
                <w:color w:val="auto"/>
                <w:sz w:val="21"/>
                <w:szCs w:val="24"/>
                <w:highlight w:val="none"/>
              </w:rPr>
              <w:t>磋商项目商务需求</w:t>
            </w:r>
            <w:bookmarkEnd w:id="204"/>
            <w:bookmarkEnd w:id="205"/>
            <w:bookmarkEnd w:id="206"/>
          </w:p>
        </w:tc>
        <w:tc>
          <w:tcPr>
            <w:tcW w:w="2434" w:type="dxa"/>
            <w:noWrap w:val="0"/>
            <w:vAlign w:val="center"/>
          </w:tcPr>
          <w:p w14:paraId="4A83DDF5">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bookmarkStart w:id="207" w:name="_Toc15299"/>
            <w:bookmarkStart w:id="208" w:name="_Toc32013"/>
            <w:bookmarkStart w:id="209" w:name="_Toc12561"/>
            <w:r>
              <w:rPr>
                <w:rFonts w:hint="eastAsia" w:asciiTheme="minorEastAsia" w:hAnsiTheme="minorEastAsia" w:eastAsiaTheme="minorEastAsia" w:cstheme="minorEastAsia"/>
                <w:color w:val="auto"/>
                <w:sz w:val="21"/>
                <w:szCs w:val="24"/>
                <w:highlight w:val="none"/>
              </w:rPr>
              <w:t>响应情况</w:t>
            </w:r>
            <w:bookmarkEnd w:id="207"/>
            <w:bookmarkEnd w:id="208"/>
            <w:bookmarkEnd w:id="209"/>
          </w:p>
        </w:tc>
        <w:tc>
          <w:tcPr>
            <w:tcW w:w="2355" w:type="dxa"/>
            <w:noWrap w:val="0"/>
            <w:vAlign w:val="center"/>
          </w:tcPr>
          <w:p w14:paraId="6D1F93D4">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bookmarkStart w:id="210" w:name="_Toc23108"/>
            <w:bookmarkStart w:id="211" w:name="_Toc15313"/>
            <w:bookmarkStart w:id="212" w:name="_Toc32266"/>
            <w:r>
              <w:rPr>
                <w:rFonts w:hint="eastAsia" w:asciiTheme="minorEastAsia" w:hAnsiTheme="minorEastAsia" w:eastAsiaTheme="minorEastAsia" w:cstheme="minorEastAsia"/>
                <w:color w:val="auto"/>
                <w:sz w:val="21"/>
                <w:szCs w:val="24"/>
                <w:highlight w:val="none"/>
              </w:rPr>
              <w:t>偏离说明</w:t>
            </w:r>
            <w:bookmarkEnd w:id="210"/>
            <w:bookmarkEnd w:id="211"/>
            <w:bookmarkEnd w:id="212"/>
          </w:p>
        </w:tc>
      </w:tr>
      <w:tr w14:paraId="7114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D00AF11">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28079DCE">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7F674F8B">
            <w:pPr>
              <w:tabs>
                <w:tab w:val="left" w:pos="6300"/>
              </w:tabs>
              <w:snapToGrid w:val="0"/>
              <w:spacing w:line="360" w:lineRule="auto"/>
              <w:outlineLvl w:val="0"/>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469429F8">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r>
      <w:tr w14:paraId="1BFC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85ABC74">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3A8742B4">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20B572E2">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0378C091">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r>
      <w:tr w14:paraId="3D48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E1D39A6">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06FF934E">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4243AD23">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495DBB04">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r>
      <w:tr w14:paraId="2D89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6A7800A">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08B2E93C">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01773E9C">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170C596C">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r>
      <w:tr w14:paraId="404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E916F0">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079EBE19">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3D540F29">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5CC1024B">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r>
      <w:tr w14:paraId="0D96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6FB002C">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74134EE7">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42C2342A">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55995E79">
            <w:pPr>
              <w:tabs>
                <w:tab w:val="left" w:pos="6300"/>
              </w:tabs>
              <w:snapToGrid w:val="0"/>
              <w:spacing w:line="360" w:lineRule="auto"/>
              <w:jc w:val="center"/>
              <w:outlineLvl w:val="0"/>
              <w:rPr>
                <w:rFonts w:hint="eastAsia" w:asciiTheme="minorEastAsia" w:hAnsiTheme="minorEastAsia" w:eastAsiaTheme="minorEastAsia" w:cstheme="minorEastAsia"/>
                <w:color w:val="auto"/>
                <w:sz w:val="21"/>
                <w:szCs w:val="24"/>
                <w:highlight w:val="none"/>
              </w:rPr>
            </w:pPr>
          </w:p>
        </w:tc>
      </w:tr>
    </w:tbl>
    <w:p w14:paraId="347996DC">
      <w:pPr>
        <w:snapToGrid w:val="0"/>
        <w:spacing w:line="360" w:lineRule="auto"/>
        <w:ind w:firstLine="465"/>
        <w:rPr>
          <w:rFonts w:hint="eastAsia" w:asciiTheme="minorEastAsia" w:hAnsiTheme="minorEastAsia" w:eastAsiaTheme="minorEastAsia" w:cstheme="minorEastAsia"/>
          <w:color w:val="auto"/>
          <w:sz w:val="24"/>
          <w:szCs w:val="24"/>
          <w:highlight w:val="none"/>
        </w:rPr>
      </w:pPr>
    </w:p>
    <w:p w14:paraId="4A3343AA">
      <w:pPr>
        <w:spacing w:line="500" w:lineRule="exac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供应商：                          </w:t>
      </w:r>
      <w:r>
        <w:rPr>
          <w:rFonts w:hint="eastAsia" w:asciiTheme="minorEastAsia" w:hAnsiTheme="minorEastAsia" w:eastAsiaTheme="minorEastAsia" w:cstheme="minorEastAsia"/>
          <w:color w:val="auto"/>
          <w:sz w:val="24"/>
          <w:szCs w:val="24"/>
          <w:highlight w:val="none"/>
        </w:rPr>
        <w:t>法定代表人（或其授权代表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或自然人：</w:t>
      </w:r>
    </w:p>
    <w:p w14:paraId="07491EF8">
      <w:pPr>
        <w:spacing w:line="500" w:lineRule="exact"/>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w:t>
      </w:r>
    </w:p>
    <w:p w14:paraId="39137A7A">
      <w:pPr>
        <w:spacing w:line="500" w:lineRule="exact"/>
        <w:ind w:firstLine="360" w:firstLineChars="150"/>
        <w:rPr>
          <w:rFonts w:hint="eastAsia" w:asciiTheme="minorEastAsia" w:hAnsiTheme="minorEastAsia" w:eastAsiaTheme="minorEastAsia" w:cstheme="minorEastAsia"/>
          <w:color w:val="auto"/>
          <w:sz w:val="24"/>
          <w:szCs w:val="28"/>
          <w:highlight w:val="none"/>
          <w:lang w:eastAsia="zh-CN"/>
        </w:rPr>
      </w:pPr>
      <w:r>
        <w:rPr>
          <w:rFonts w:hint="eastAsia" w:asciiTheme="minorEastAsia" w:hAnsiTheme="minorEastAsia" w:eastAsiaTheme="minorEastAsia" w:cstheme="minorEastAsia"/>
          <w:color w:val="auto"/>
          <w:sz w:val="24"/>
          <w:szCs w:val="28"/>
          <w:highlight w:val="none"/>
        </w:rPr>
        <w:t>（供应商公章</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 xml:space="preserve">                                 （签署或盖章</w:t>
      </w:r>
      <w:r>
        <w:rPr>
          <w:rFonts w:hint="eastAsia" w:asciiTheme="minorEastAsia" w:hAnsiTheme="minorEastAsia" w:eastAsiaTheme="minorEastAsia" w:cstheme="minorEastAsia"/>
          <w:color w:val="auto"/>
          <w:sz w:val="24"/>
          <w:szCs w:val="28"/>
          <w:highlight w:val="none"/>
          <w:lang w:eastAsia="zh-CN"/>
        </w:rPr>
        <w:t>）</w:t>
      </w:r>
    </w:p>
    <w:p w14:paraId="5F3781C2">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 xml:space="preserve">                                            年     月     日</w:t>
      </w:r>
    </w:p>
    <w:p w14:paraId="13D08B65">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03E1505C">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rPr>
        <w:t>本表即为对本项目“第三篇  项目商务需求”中所列条款进行比较和响应；</w:t>
      </w:r>
    </w:p>
    <w:p w14:paraId="4703427A">
      <w:pPr>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2.本表可扩展。</w:t>
      </w:r>
    </w:p>
    <w:p w14:paraId="661FA79A">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.该表必须按照</w:t>
      </w:r>
      <w:r>
        <w:rPr>
          <w:rFonts w:hint="eastAsia" w:asciiTheme="minorEastAsia" w:hAnsiTheme="minorEastAsia" w:eastAsiaTheme="minorEastAsia" w:cstheme="minorEastAsia"/>
          <w:color w:val="auto"/>
          <w:sz w:val="24"/>
          <w:highlight w:val="none"/>
          <w:lang w:eastAsia="zh-CN"/>
        </w:rPr>
        <w:t>竞争性磋商文件</w:t>
      </w:r>
      <w:r>
        <w:rPr>
          <w:rFonts w:hint="eastAsia" w:asciiTheme="minorEastAsia" w:hAnsiTheme="minorEastAsia" w:eastAsiaTheme="minorEastAsia" w:cstheme="minorEastAsia"/>
          <w:color w:val="auto"/>
          <w:sz w:val="24"/>
          <w:highlight w:val="none"/>
        </w:rPr>
        <w:t>要求逐条如实填写，根据响应情况在“差异说明”项填写正偏离或负偏离及原因，完全符合的填写“无差异”；</w:t>
      </w:r>
    </w:p>
    <w:p w14:paraId="2965896D">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4、可附相关支撑材料。（格式自定</w:t>
      </w:r>
      <w:r>
        <w:rPr>
          <w:rFonts w:hint="eastAsia" w:asciiTheme="minorEastAsia" w:hAnsiTheme="minorEastAsia" w:eastAsiaTheme="minorEastAsia" w:cstheme="minorEastAsia"/>
          <w:color w:val="auto"/>
          <w:sz w:val="24"/>
          <w:highlight w:val="none"/>
          <w:lang w:eastAsia="zh-CN"/>
        </w:rPr>
        <w:t>）</w:t>
      </w:r>
    </w:p>
    <w:p w14:paraId="1A3427C8">
      <w:pPr>
        <w:pStyle w:val="4"/>
        <w:rPr>
          <w:rFonts w:hint="eastAsia"/>
          <w:highlight w:val="none"/>
        </w:rPr>
      </w:pPr>
    </w:p>
    <w:p w14:paraId="265620D8">
      <w:pPr>
        <w:snapToGrid w:val="0"/>
        <w:spacing w:line="360" w:lineRule="auto"/>
        <w:rPr>
          <w:rFonts w:hint="eastAsia" w:asciiTheme="minorEastAsia" w:hAnsiTheme="minorEastAsia" w:eastAsiaTheme="minorEastAsia" w:cstheme="minorEastAsia"/>
          <w:color w:val="auto"/>
          <w:sz w:val="24"/>
          <w:szCs w:val="24"/>
          <w:highlight w:val="none"/>
        </w:rPr>
      </w:pPr>
    </w:p>
    <w:p w14:paraId="6360CE2F">
      <w:pPr>
        <w:tabs>
          <w:tab w:val="left" w:pos="6300"/>
        </w:tabs>
        <w:snapToGrid w:val="0"/>
        <w:spacing w:line="400" w:lineRule="exact"/>
        <w:ind w:firstLine="560" w:firstLineChars="200"/>
        <w:rPr>
          <w:rFonts w:hint="eastAsia" w:ascii="仿宋" w:hAnsi="仿宋" w:eastAsia="仿宋" w:cs="仿宋"/>
          <w:color w:val="auto"/>
          <w:sz w:val="24"/>
          <w:szCs w:val="24"/>
          <w:highlight w:val="none"/>
        </w:rPr>
      </w:pPr>
      <w:r>
        <w:rPr>
          <w:rFonts w:hint="eastAsia" w:asciiTheme="minorEastAsia" w:hAnsiTheme="minorEastAsia" w:eastAsiaTheme="minorEastAsia" w:cstheme="minorEastAsia"/>
          <w:color w:val="auto"/>
          <w:szCs w:val="28"/>
          <w:highlight w:val="none"/>
        </w:rPr>
        <w:br w:type="page"/>
      </w:r>
      <w:r>
        <w:rPr>
          <w:rFonts w:hint="eastAsia" w:asciiTheme="minorEastAsia" w:hAnsiTheme="minorEastAsia" w:eastAsiaTheme="minorEastAsia" w:cstheme="minorEastAsia"/>
          <w:color w:val="auto"/>
          <w:sz w:val="24"/>
          <w:szCs w:val="24"/>
          <w:highlight w:val="none"/>
        </w:rPr>
        <w:t>（二）其它优惠承诺（格式自定）</w:t>
      </w:r>
    </w:p>
    <w:p w14:paraId="3ED338B7">
      <w:pPr>
        <w:tabs>
          <w:tab w:val="left" w:pos="6300"/>
        </w:tabs>
        <w:snapToGrid w:val="0"/>
        <w:spacing w:line="500" w:lineRule="exact"/>
        <w:jc w:val="left"/>
        <w:rPr>
          <w:rFonts w:hint="eastAsia" w:asciiTheme="minorEastAsia" w:hAnsiTheme="minorEastAsia" w:eastAsiaTheme="minorEastAsia" w:cstheme="minorEastAsia"/>
          <w:color w:val="auto"/>
          <w:highlight w:val="none"/>
          <w:lang w:eastAsia="zh-CN"/>
        </w:rPr>
      </w:pPr>
    </w:p>
    <w:p w14:paraId="00A13D40">
      <w:pPr>
        <w:pStyle w:val="3"/>
        <w:pageBreakBefore/>
        <w:spacing w:line="500" w:lineRule="exact"/>
        <w:ind w:firstLine="562" w:firstLineChars="200"/>
        <w:rPr>
          <w:rFonts w:hint="eastAsia" w:asciiTheme="minorEastAsia" w:hAnsiTheme="minorEastAsia" w:eastAsiaTheme="minorEastAsia" w:cstheme="minorEastAsia"/>
          <w:b/>
          <w:color w:val="auto"/>
          <w:szCs w:val="28"/>
          <w:highlight w:val="none"/>
        </w:rPr>
      </w:pPr>
      <w:bookmarkStart w:id="213" w:name="_Toc25070"/>
      <w:bookmarkStart w:id="214" w:name="_Toc11022"/>
      <w:bookmarkStart w:id="215" w:name="_Toc26309"/>
      <w:r>
        <w:rPr>
          <w:rFonts w:hint="eastAsia" w:asciiTheme="minorEastAsia" w:hAnsiTheme="minorEastAsia" w:eastAsiaTheme="minorEastAsia" w:cstheme="minorEastAsia"/>
          <w:b/>
          <w:color w:val="auto"/>
          <w:szCs w:val="28"/>
          <w:highlight w:val="none"/>
        </w:rPr>
        <w:t>四、资格条件及其他</w:t>
      </w:r>
      <w:bookmarkEnd w:id="213"/>
      <w:bookmarkEnd w:id="214"/>
      <w:bookmarkEnd w:id="215"/>
    </w:p>
    <w:p w14:paraId="458FC2E6">
      <w:pPr>
        <w:spacing w:line="400" w:lineRule="exact"/>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（一</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法人营业执照（副本</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或事业单位法人证书（副本</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或个体工商户营业执照或有效的自然人身份证明或社会团体法人登记证书复印件</w:t>
      </w:r>
    </w:p>
    <w:p w14:paraId="4DBC35FF">
      <w:pPr>
        <w:tabs>
          <w:tab w:val="left" w:pos="6300"/>
        </w:tabs>
        <w:snapToGrid w:val="0"/>
        <w:spacing w:line="500" w:lineRule="exact"/>
        <w:ind w:firstLine="560"/>
        <w:jc w:val="left"/>
        <w:rPr>
          <w:rFonts w:hint="eastAsia" w:asciiTheme="minorEastAsia" w:hAnsiTheme="minorEastAsia" w:eastAsiaTheme="minorEastAsia" w:cstheme="minorEastAsia"/>
          <w:color w:val="auto"/>
          <w:highlight w:val="none"/>
        </w:rPr>
      </w:pPr>
    </w:p>
    <w:p w14:paraId="29C49E1C">
      <w:pPr>
        <w:widowControl/>
        <w:ind w:firstLine="560" w:firstLineChars="20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（二</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法定代表人（负责人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身份证明书（格式</w:t>
      </w:r>
      <w:r>
        <w:rPr>
          <w:rFonts w:hint="eastAsia" w:asciiTheme="minorEastAsia" w:hAnsiTheme="minorEastAsia" w:eastAsiaTheme="minorEastAsia" w:cstheme="minorEastAsia"/>
          <w:color w:val="auto"/>
          <w:highlight w:val="none"/>
          <w:lang w:eastAsia="zh-CN"/>
        </w:rPr>
        <w:t>）</w:t>
      </w:r>
    </w:p>
    <w:p w14:paraId="73C4200B">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61BB27B2">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p>
    <w:p w14:paraId="45D2C8E1">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5861F25D">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lang w:eastAsia="zh-CN"/>
        </w:rPr>
        <w:t>采购人名称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w:t>
      </w:r>
    </w:p>
    <w:p w14:paraId="13A5B50E">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（法定代表人（负责人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姓名</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在</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任</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（职务名称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职务，是（供应商名称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的法定代表人（负责人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w:t>
      </w:r>
    </w:p>
    <w:p w14:paraId="4F7BA34A">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4BDD0FF0">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68931A2F">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2A6C8A27">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73AAF878">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310C8283">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 xml:space="preserve">                                             （供应商公章</w:t>
      </w:r>
      <w:r>
        <w:rPr>
          <w:rFonts w:hint="eastAsia" w:asciiTheme="minorEastAsia" w:hAnsiTheme="minorEastAsia" w:eastAsiaTheme="minorEastAsia" w:cstheme="minorEastAsia"/>
          <w:color w:val="auto"/>
          <w:sz w:val="24"/>
          <w:highlight w:val="none"/>
          <w:lang w:eastAsia="zh-CN"/>
        </w:rPr>
        <w:t>）</w:t>
      </w:r>
    </w:p>
    <w:p w14:paraId="0E75B131">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7A475A14">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p w14:paraId="6D62B13D">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2D85B4C4">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（附：法定代表人身份证正反面复印件</w:t>
      </w:r>
      <w:r>
        <w:rPr>
          <w:rFonts w:hint="eastAsia" w:asciiTheme="minorEastAsia" w:hAnsiTheme="minorEastAsia" w:eastAsiaTheme="minorEastAsia" w:cstheme="minorEastAsia"/>
          <w:color w:val="auto"/>
          <w:sz w:val="24"/>
          <w:highlight w:val="none"/>
          <w:lang w:eastAsia="zh-CN"/>
        </w:rPr>
        <w:t>）</w:t>
      </w:r>
    </w:p>
    <w:p w14:paraId="233DFA82">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63CAE129">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05B1B14D">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085BB888">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41B61A95">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227ABE0B">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2EEB5542">
      <w:pPr>
        <w:tabs>
          <w:tab w:val="left" w:pos="6300"/>
        </w:tabs>
        <w:snapToGrid w:val="0"/>
        <w:spacing w:line="500" w:lineRule="exact"/>
        <w:ind w:firstLine="57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br w:type="column"/>
      </w:r>
      <w:r>
        <w:rPr>
          <w:rFonts w:hint="eastAsia" w:asciiTheme="minorEastAsia" w:hAnsiTheme="minorEastAsia" w:eastAsiaTheme="minorEastAsia" w:cstheme="minorEastAsia"/>
          <w:color w:val="auto"/>
          <w:highlight w:val="none"/>
        </w:rPr>
        <w:t>（三</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法定代表人（负责人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授权委托书（格式</w:t>
      </w:r>
      <w:r>
        <w:rPr>
          <w:rFonts w:hint="eastAsia" w:asciiTheme="minorEastAsia" w:hAnsiTheme="minorEastAsia" w:eastAsiaTheme="minorEastAsia" w:cstheme="minorEastAsia"/>
          <w:color w:val="auto"/>
          <w:highlight w:val="none"/>
          <w:lang w:eastAsia="zh-CN"/>
        </w:rPr>
        <w:t>）</w:t>
      </w:r>
    </w:p>
    <w:p w14:paraId="22D7A260">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4729CD3D">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项目名称</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6EC75F6C">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5F1F1D17">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lang w:eastAsia="zh-CN"/>
        </w:rPr>
        <w:t>采购人名称</w:t>
      </w:r>
      <w:r>
        <w:rPr>
          <w:rFonts w:hint="eastAsia" w:asciiTheme="minorEastAsia" w:hAnsiTheme="minorEastAsia" w:eastAsiaTheme="minorEastAsia" w:cstheme="minorEastAsia"/>
          <w:color w:val="auto"/>
          <w:sz w:val="24"/>
          <w:highlight w:val="none"/>
          <w:lang w:eastAsia="zh-CN"/>
        </w:rPr>
        <w:t>）</w:t>
      </w:r>
    </w:p>
    <w:p w14:paraId="212B7ACD">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（供应商法定代表人（负责人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是</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的法定代表人（负责人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，特授权</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（被授权人姓名及身份证代码</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代表我单位全权办理上述项目的磋商、签约等具体工作，并签署全部有关文件、协议及合同。</w:t>
      </w:r>
    </w:p>
    <w:p w14:paraId="3789041E">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我单位对被授权人的签字负全部责任。</w:t>
      </w:r>
    </w:p>
    <w:p w14:paraId="14D70C4C">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在撤消授权的书面通知以前，本授权书一直有效。被授权人在授权书有效期内签署的所有文件不因授权的撤消而失效。</w:t>
      </w:r>
    </w:p>
    <w:p w14:paraId="0E9E51AF">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66F0B144">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756F0FD5">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被授权人：                                 供应商法定代表人（负责人</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w:t>
      </w:r>
    </w:p>
    <w:p w14:paraId="611C6687">
      <w:pPr>
        <w:tabs>
          <w:tab w:val="left" w:pos="6300"/>
        </w:tabs>
        <w:snapToGrid w:val="0"/>
        <w:spacing w:line="500" w:lineRule="exact"/>
        <w:ind w:firstLine="570"/>
        <w:rPr>
          <w:rFonts w:hint="eastAsia" w:asciiTheme="minorEastAsia" w:hAnsiTheme="minorEastAsia" w:eastAsiaTheme="minorEastAsia" w:cstheme="minorEastAsia"/>
          <w:color w:val="auto"/>
          <w:sz w:val="24"/>
          <w:szCs w:val="28"/>
          <w:highlight w:val="none"/>
          <w:lang w:eastAsia="zh-CN"/>
        </w:rPr>
      </w:pPr>
      <w:r>
        <w:rPr>
          <w:rFonts w:hint="eastAsia" w:asciiTheme="minorEastAsia" w:hAnsiTheme="minorEastAsia" w:eastAsiaTheme="minorEastAsia" w:cstheme="minorEastAsia"/>
          <w:color w:val="auto"/>
          <w:sz w:val="24"/>
          <w:szCs w:val="28"/>
          <w:highlight w:val="none"/>
        </w:rPr>
        <w:t>（签字或盖章</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 xml:space="preserve">                                （签字或盖章</w:t>
      </w:r>
      <w:r>
        <w:rPr>
          <w:rFonts w:hint="eastAsia" w:asciiTheme="minorEastAsia" w:hAnsiTheme="minorEastAsia" w:eastAsiaTheme="minorEastAsia" w:cstheme="minorEastAsia"/>
          <w:color w:val="auto"/>
          <w:sz w:val="24"/>
          <w:szCs w:val="28"/>
          <w:highlight w:val="none"/>
          <w:lang w:eastAsia="zh-CN"/>
        </w:rPr>
        <w:t>）</w:t>
      </w:r>
    </w:p>
    <w:p w14:paraId="2BEDAAE5">
      <w:pPr>
        <w:tabs>
          <w:tab w:val="left" w:pos="6300"/>
        </w:tabs>
        <w:snapToGrid w:val="0"/>
        <w:spacing w:line="500" w:lineRule="exact"/>
        <w:ind w:firstLine="570"/>
        <w:rPr>
          <w:rFonts w:hint="eastAsia" w:asciiTheme="minorEastAsia" w:hAnsiTheme="minorEastAsia" w:eastAsiaTheme="minorEastAsia" w:cstheme="minorEastAsia"/>
          <w:color w:val="auto"/>
          <w:sz w:val="24"/>
          <w:szCs w:val="28"/>
          <w:highlight w:val="none"/>
        </w:rPr>
      </w:pPr>
    </w:p>
    <w:p w14:paraId="28AA0871">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03CAE4D5">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（附：被授权人身份证正反面复印件</w:t>
      </w:r>
      <w:r>
        <w:rPr>
          <w:rFonts w:hint="eastAsia" w:asciiTheme="minorEastAsia" w:hAnsiTheme="minorEastAsia" w:eastAsiaTheme="minorEastAsia" w:cstheme="minorEastAsia"/>
          <w:color w:val="auto"/>
          <w:sz w:val="24"/>
          <w:highlight w:val="none"/>
          <w:lang w:eastAsia="zh-CN"/>
        </w:rPr>
        <w:t>）</w:t>
      </w:r>
    </w:p>
    <w:p w14:paraId="6CE48CC7">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E9D839E">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456A3B10">
      <w:pPr>
        <w:tabs>
          <w:tab w:val="left" w:pos="6300"/>
        </w:tabs>
        <w:snapToGrid w:val="0"/>
        <w:spacing w:line="500" w:lineRule="exact"/>
        <w:ind w:firstLine="570"/>
        <w:rPr>
          <w:rFonts w:hint="eastAsia" w:asciiTheme="minorEastAsia" w:hAnsiTheme="minorEastAsia" w:eastAsiaTheme="minorEastAsia" w:cstheme="minorEastAsia"/>
          <w:color w:val="auto"/>
          <w:sz w:val="24"/>
          <w:highlight w:val="none"/>
        </w:rPr>
      </w:pPr>
    </w:p>
    <w:p w14:paraId="1E3C5638">
      <w:pPr>
        <w:tabs>
          <w:tab w:val="left" w:pos="6300"/>
        </w:tabs>
        <w:snapToGrid w:val="0"/>
        <w:spacing w:line="500" w:lineRule="exact"/>
        <w:ind w:right="480" w:firstLine="570"/>
        <w:jc w:val="righ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lang w:eastAsia="zh-CN"/>
        </w:rPr>
        <w:t>）</w:t>
      </w:r>
    </w:p>
    <w:p w14:paraId="6CB33078">
      <w:pPr>
        <w:tabs>
          <w:tab w:val="left" w:pos="6300"/>
        </w:tabs>
        <w:snapToGrid w:val="0"/>
        <w:spacing w:line="500" w:lineRule="exact"/>
        <w:ind w:right="480" w:firstLine="57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2E7B80E0">
      <w:pPr>
        <w:spacing w:line="400" w:lineRule="exact"/>
        <w:ind w:firstLine="56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br w:type="column"/>
      </w:r>
      <w:r>
        <w:rPr>
          <w:rFonts w:hint="eastAsia" w:asciiTheme="minorEastAsia" w:hAnsiTheme="minorEastAsia" w:eastAsiaTheme="minorEastAsia" w:cstheme="minorEastAsia"/>
          <w:color w:val="auto"/>
          <w:sz w:val="24"/>
          <w:szCs w:val="28"/>
          <w:highlight w:val="none"/>
        </w:rPr>
        <w:t>（四</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基本资格条件承诺函</w:t>
      </w:r>
    </w:p>
    <w:p w14:paraId="25B4F44B">
      <w:pPr>
        <w:tabs>
          <w:tab w:val="left" w:pos="6300"/>
        </w:tabs>
        <w:snapToGrid w:val="0"/>
        <w:spacing w:line="500" w:lineRule="exact"/>
        <w:ind w:firstLine="643" w:firstLineChars="200"/>
        <w:jc w:val="center"/>
        <w:outlineLvl w:val="0"/>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基本资格条件承诺函</w:t>
      </w:r>
    </w:p>
    <w:p w14:paraId="5B8E56AE">
      <w:pPr>
        <w:tabs>
          <w:tab w:val="left" w:pos="6300"/>
        </w:tabs>
        <w:snapToGrid w:val="0"/>
        <w:spacing w:line="530" w:lineRule="exact"/>
        <w:rPr>
          <w:rFonts w:hint="eastAsia" w:asciiTheme="minorEastAsia" w:hAnsiTheme="minorEastAsia" w:eastAsiaTheme="minorEastAsia" w:cstheme="minorEastAsia"/>
          <w:color w:val="auto"/>
          <w:sz w:val="24"/>
          <w:highlight w:val="none"/>
        </w:rPr>
      </w:pPr>
    </w:p>
    <w:p w14:paraId="2684F217">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lang w:eastAsia="zh-CN"/>
        </w:rPr>
        <w:t>采购人名称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w:t>
      </w:r>
    </w:p>
    <w:p w14:paraId="68508B38">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供应商</w:t>
      </w:r>
      <w:r>
        <w:rPr>
          <w:rFonts w:hint="eastAsia" w:asciiTheme="minorEastAsia" w:hAnsiTheme="minorEastAsia" w:eastAsiaTheme="minorEastAsia" w:cstheme="minorEastAsia"/>
          <w:color w:val="auto"/>
          <w:sz w:val="24"/>
          <w:highlight w:val="none"/>
        </w:rPr>
        <w:t>名称</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郑重承诺：</w:t>
      </w:r>
    </w:p>
    <w:p w14:paraId="12CF2402">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1.我方具有良好的商业信誉和健全的财务会计制度，具有履行合同所必需的设备和专业技术能力，具</w:t>
      </w:r>
      <w:r>
        <w:rPr>
          <w:rFonts w:hint="eastAsia" w:asciiTheme="minorEastAsia" w:hAnsiTheme="minorEastAsia" w:eastAsiaTheme="minorEastAsia" w:cstheme="minorEastAsia"/>
          <w:color w:val="auto"/>
          <w:sz w:val="24"/>
          <w:highlight w:val="none"/>
          <w:lang w:val="zh-CN"/>
        </w:rPr>
        <w:t>有依法缴纳税收和社会保障金的良好记录</w:t>
      </w:r>
      <w:r>
        <w:rPr>
          <w:rFonts w:hint="eastAsia" w:asciiTheme="minorEastAsia" w:hAnsiTheme="minorEastAsia" w:eastAsiaTheme="minorEastAsia" w:cstheme="minorEastAsia"/>
          <w:color w:val="auto"/>
          <w:sz w:val="24"/>
          <w:highlight w:val="none"/>
        </w:rPr>
        <w:t>，参加本项目采购活动前三年内无重大违法活动记录。</w:t>
      </w:r>
    </w:p>
    <w:p w14:paraId="61FBB4B6">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2.我方未列入在信用中国网站（www.creditchina.gov.cn</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“失信被执行人”、“重大税收违法案件当事人名单”中，也未列入中国政府采购网（www.ccgp.gov.cn</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“政府采购严重违法失信行为记录名单”中。</w:t>
      </w:r>
    </w:p>
    <w:p w14:paraId="454B6887">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3.我方在采购项目评审（评标</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环节结束后，随时接受采购人、采购代理机构的检查验证，配合提供相关证明材料，证明符合《中华人民共和国政府采购法》规定的</w:t>
      </w:r>
      <w:r>
        <w:rPr>
          <w:rFonts w:hint="eastAsia" w:asciiTheme="minorEastAsia" w:hAnsiTheme="minorEastAsia" w:eastAsiaTheme="minorEastAsia" w:cstheme="minorEastAsia"/>
          <w:color w:val="auto"/>
          <w:sz w:val="24"/>
          <w:highlight w:val="none"/>
          <w:lang w:eastAsia="zh-CN"/>
        </w:rPr>
        <w:t>供应商</w:t>
      </w:r>
      <w:r>
        <w:rPr>
          <w:rFonts w:hint="eastAsia" w:asciiTheme="minorEastAsia" w:hAnsiTheme="minorEastAsia" w:eastAsiaTheme="minorEastAsia" w:cstheme="minorEastAsia"/>
          <w:color w:val="auto"/>
          <w:sz w:val="24"/>
          <w:highlight w:val="none"/>
        </w:rPr>
        <w:t>基本资格条件。</w:t>
      </w:r>
    </w:p>
    <w:p w14:paraId="4A036F0B">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我方对以上承诺负全部法律责任。</w:t>
      </w:r>
    </w:p>
    <w:p w14:paraId="380F8168">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4CF17541">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highlight w:val="none"/>
        </w:rPr>
      </w:pPr>
    </w:p>
    <w:p w14:paraId="79E7FB52">
      <w:pPr>
        <w:tabs>
          <w:tab w:val="left" w:pos="6300"/>
        </w:tabs>
        <w:snapToGrid w:val="0"/>
        <w:spacing w:line="500" w:lineRule="exact"/>
        <w:ind w:firstLine="480" w:firstLineChars="200"/>
        <w:jc w:val="righ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lang w:eastAsia="zh-CN"/>
        </w:rPr>
        <w:t>）</w:t>
      </w:r>
    </w:p>
    <w:p w14:paraId="315C0468">
      <w:pPr>
        <w:tabs>
          <w:tab w:val="left" w:pos="6300"/>
        </w:tabs>
        <w:snapToGrid w:val="0"/>
        <w:spacing w:line="500" w:lineRule="exact"/>
        <w:ind w:firstLine="480" w:firstLineChars="20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08D42D6D">
      <w:pPr>
        <w:snapToGrid w:val="0"/>
        <w:spacing w:line="440" w:lineRule="exact"/>
        <w:ind w:firstLine="480" w:firstLineChars="200"/>
        <w:rPr>
          <w:rFonts w:hint="eastAsia" w:asciiTheme="minorEastAsia" w:hAnsiTheme="minorEastAsia" w:eastAsiaTheme="minorEastAsia" w:cstheme="minorEastAsia"/>
          <w:color w:val="auto"/>
          <w:sz w:val="24"/>
          <w:szCs w:val="24"/>
          <w:highlight w:val="none"/>
        </w:rPr>
      </w:pPr>
    </w:p>
    <w:p w14:paraId="6B51814C">
      <w:pPr>
        <w:spacing w:line="400" w:lineRule="exact"/>
        <w:rPr>
          <w:rFonts w:hint="eastAsia" w:asciiTheme="minorEastAsia" w:hAnsiTheme="minorEastAsia" w:eastAsiaTheme="minorEastAsia" w:cstheme="minorEastAsia"/>
          <w:color w:val="auto"/>
          <w:highlight w:val="none"/>
        </w:rPr>
      </w:pPr>
    </w:p>
    <w:p w14:paraId="580085EA">
      <w:pPr>
        <w:spacing w:line="400" w:lineRule="exact"/>
        <w:rPr>
          <w:rFonts w:hint="eastAsia" w:asciiTheme="minorEastAsia" w:hAnsiTheme="minorEastAsia" w:eastAsiaTheme="minorEastAsia" w:cstheme="minorEastAsia"/>
          <w:color w:val="auto"/>
          <w:highlight w:val="none"/>
        </w:rPr>
      </w:pPr>
    </w:p>
    <w:p w14:paraId="3A5BEB73">
      <w:pPr>
        <w:spacing w:line="400" w:lineRule="exact"/>
        <w:rPr>
          <w:rFonts w:hint="eastAsia" w:asciiTheme="minorEastAsia" w:hAnsiTheme="minorEastAsia" w:eastAsiaTheme="minorEastAsia" w:cstheme="minorEastAsia"/>
          <w:color w:val="auto"/>
          <w:highlight w:val="none"/>
        </w:rPr>
      </w:pPr>
    </w:p>
    <w:p w14:paraId="58164485">
      <w:pPr>
        <w:spacing w:line="400" w:lineRule="exact"/>
        <w:rPr>
          <w:rFonts w:hint="eastAsia" w:asciiTheme="minorEastAsia" w:hAnsiTheme="minorEastAsia" w:eastAsiaTheme="minorEastAsia" w:cstheme="minorEastAsia"/>
          <w:color w:val="auto"/>
          <w:highlight w:val="none"/>
        </w:rPr>
      </w:pPr>
    </w:p>
    <w:p w14:paraId="522850BB">
      <w:pPr>
        <w:spacing w:line="400" w:lineRule="exact"/>
        <w:rPr>
          <w:rFonts w:hint="eastAsia" w:asciiTheme="minorEastAsia" w:hAnsiTheme="minorEastAsia" w:eastAsiaTheme="minorEastAsia" w:cstheme="minorEastAsia"/>
          <w:color w:val="auto"/>
          <w:highlight w:val="none"/>
        </w:rPr>
      </w:pPr>
    </w:p>
    <w:p w14:paraId="37670054">
      <w:pPr>
        <w:spacing w:line="400" w:lineRule="exact"/>
        <w:rPr>
          <w:rFonts w:hint="eastAsia" w:asciiTheme="minorEastAsia" w:hAnsiTheme="minorEastAsia" w:eastAsiaTheme="minorEastAsia" w:cstheme="minorEastAsia"/>
          <w:color w:val="auto"/>
          <w:highlight w:val="none"/>
        </w:rPr>
      </w:pPr>
    </w:p>
    <w:p w14:paraId="032343A3">
      <w:pPr>
        <w:spacing w:line="400" w:lineRule="exact"/>
        <w:rPr>
          <w:rFonts w:hint="eastAsia" w:asciiTheme="minorEastAsia" w:hAnsiTheme="minorEastAsia" w:eastAsiaTheme="minorEastAsia" w:cstheme="minorEastAsia"/>
          <w:color w:val="auto"/>
          <w:highlight w:val="none"/>
        </w:rPr>
      </w:pPr>
    </w:p>
    <w:p w14:paraId="17068347">
      <w:pPr>
        <w:spacing w:line="400" w:lineRule="exact"/>
        <w:rPr>
          <w:rFonts w:hint="eastAsia" w:asciiTheme="minorEastAsia" w:hAnsiTheme="minorEastAsia" w:eastAsiaTheme="minorEastAsia" w:cstheme="minorEastAsia"/>
          <w:color w:val="auto"/>
          <w:highlight w:val="none"/>
        </w:rPr>
      </w:pPr>
    </w:p>
    <w:p w14:paraId="2235057A">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szCs w:val="28"/>
          <w:highlight w:val="none"/>
        </w:rPr>
      </w:pPr>
    </w:p>
    <w:p w14:paraId="61B3D7BC">
      <w:pPr>
        <w:tabs>
          <w:tab w:val="left" w:pos="6300"/>
        </w:tabs>
        <w:snapToGrid w:val="0"/>
        <w:spacing w:line="500" w:lineRule="exact"/>
        <w:ind w:firstLine="480" w:firstLineChars="200"/>
        <w:rPr>
          <w:rFonts w:hint="eastAsia" w:asciiTheme="minorEastAsia" w:hAnsiTheme="minorEastAsia" w:eastAsiaTheme="minorEastAsia" w:cstheme="minorEastAsia"/>
          <w:color w:val="auto"/>
          <w:sz w:val="24"/>
          <w:szCs w:val="28"/>
          <w:highlight w:val="none"/>
        </w:rPr>
      </w:pPr>
    </w:p>
    <w:p w14:paraId="581794EA">
      <w:pPr>
        <w:pStyle w:val="4"/>
        <w:spacing w:before="0" w:after="0" w:line="36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br w:type="page"/>
      </w:r>
      <w:bookmarkStart w:id="216" w:name="_Toc17528"/>
      <w:bookmarkStart w:id="217" w:name="_Toc14422"/>
      <w:r>
        <w:rPr>
          <w:rFonts w:hint="eastAsia" w:asciiTheme="minorEastAsia" w:hAnsiTheme="minorEastAsia" w:eastAsiaTheme="minorEastAsia" w:cstheme="minorEastAsia"/>
          <w:b w:val="0"/>
          <w:color w:val="auto"/>
          <w:sz w:val="28"/>
          <w:highlight w:val="none"/>
        </w:rPr>
        <w:t xml:space="preserve">    </w:t>
      </w:r>
      <w:bookmarkStart w:id="218" w:name="_Toc20014"/>
      <w:bookmarkStart w:id="219" w:name="_Toc13993"/>
      <w:bookmarkStart w:id="220" w:name="_Toc24649"/>
      <w:r>
        <w:rPr>
          <w:rStyle w:val="76"/>
          <w:rFonts w:hint="eastAsia" w:asciiTheme="minorEastAsia" w:hAnsiTheme="minorEastAsia" w:eastAsiaTheme="minorEastAsia" w:cstheme="minorEastAsia"/>
          <w:color w:val="auto"/>
          <w:highlight w:val="none"/>
        </w:rPr>
        <w:t>五、其他应提供的资料</w:t>
      </w:r>
      <w:bookmarkEnd w:id="216"/>
      <w:bookmarkEnd w:id="217"/>
      <w:bookmarkEnd w:id="218"/>
      <w:bookmarkEnd w:id="219"/>
      <w:bookmarkEnd w:id="220"/>
    </w:p>
    <w:p w14:paraId="0D38EC03">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其他与项目有关的资料（自附</w:t>
      </w:r>
      <w:r>
        <w:rPr>
          <w:rFonts w:hint="eastAsia" w:asciiTheme="minorEastAsia" w:hAnsiTheme="minorEastAsia" w:eastAsiaTheme="minorEastAsia" w:cstheme="minorEastAsia"/>
          <w:color w:val="auto"/>
          <w:sz w:val="24"/>
          <w:szCs w:val="24"/>
          <w:highlight w:val="none"/>
          <w:lang w:eastAsia="zh-CN"/>
        </w:rPr>
        <w:t>）</w:t>
      </w:r>
    </w:p>
    <w:p w14:paraId="0D3126E3">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555836AC">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61BFE5C5">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205A0350">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61D9062A">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08DB6505">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5B38AEB0">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5A26D864">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7B407FEA">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1FB67ADB">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65614633">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79753D7E">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6D88E810">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7649079B">
      <w:pPr>
        <w:spacing w:line="360" w:lineRule="auto"/>
        <w:ind w:firstLine="480" w:firstLineChars="200"/>
        <w:jc w:val="center"/>
        <w:rPr>
          <w:rFonts w:hint="eastAsia" w:asciiTheme="minorEastAsia" w:hAnsiTheme="minorEastAsia" w:eastAsiaTheme="minorEastAsia" w:cstheme="minorEastAsia"/>
          <w:color w:val="auto"/>
          <w:sz w:val="24"/>
          <w:szCs w:val="24"/>
          <w:highlight w:val="none"/>
        </w:rPr>
      </w:pPr>
    </w:p>
    <w:p w14:paraId="2744A86E">
      <w:pPr>
        <w:spacing w:line="360" w:lineRule="auto"/>
        <w:ind w:firstLine="480" w:firstLineChars="20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（结束</w:t>
      </w:r>
      <w:r>
        <w:rPr>
          <w:rFonts w:hint="eastAsia" w:asciiTheme="minorEastAsia" w:hAnsiTheme="minorEastAsia" w:eastAsiaTheme="minorEastAsia" w:cstheme="minorEastAsia"/>
          <w:color w:val="auto"/>
          <w:sz w:val="24"/>
          <w:szCs w:val="24"/>
          <w:highlight w:val="none"/>
          <w:lang w:eastAsia="zh-CN"/>
        </w:rPr>
        <w:t>）</w:t>
      </w:r>
    </w:p>
    <w:p w14:paraId="6535A69C">
      <w:pPr>
        <w:pStyle w:val="15"/>
        <w:rPr>
          <w:rFonts w:hint="eastAsia" w:asciiTheme="minorEastAsia" w:hAnsiTheme="minorEastAsia" w:eastAsiaTheme="minorEastAsia" w:cstheme="minorEastAsia"/>
          <w:color w:val="auto"/>
          <w:sz w:val="24"/>
          <w:szCs w:val="24"/>
          <w:highlight w:val="none"/>
        </w:rPr>
      </w:pPr>
    </w:p>
    <w:p w14:paraId="22796150">
      <w:pPr>
        <w:pStyle w:val="15"/>
        <w:rPr>
          <w:rFonts w:hint="eastAsia" w:asciiTheme="minorEastAsia" w:hAnsiTheme="minorEastAsia" w:eastAsiaTheme="minorEastAsia" w:cstheme="minorEastAsia"/>
          <w:color w:val="auto"/>
          <w:sz w:val="24"/>
          <w:szCs w:val="24"/>
          <w:highlight w:val="none"/>
        </w:rPr>
      </w:pPr>
    </w:p>
    <w:p w14:paraId="6878B007">
      <w:pPr>
        <w:pStyle w:val="15"/>
        <w:rPr>
          <w:rFonts w:hint="eastAsia" w:asciiTheme="minorEastAsia" w:hAnsiTheme="minorEastAsia" w:eastAsiaTheme="minorEastAsia" w:cstheme="minorEastAsia"/>
          <w:color w:val="auto"/>
          <w:sz w:val="24"/>
          <w:szCs w:val="24"/>
          <w:highlight w:val="none"/>
        </w:rPr>
      </w:pPr>
    </w:p>
    <w:p w14:paraId="06D3A8F9">
      <w:pPr>
        <w:pStyle w:val="15"/>
        <w:rPr>
          <w:rFonts w:hint="eastAsia" w:asciiTheme="minorEastAsia" w:hAnsiTheme="minorEastAsia" w:eastAsiaTheme="minorEastAsia" w:cstheme="minorEastAsia"/>
          <w:color w:val="auto"/>
          <w:sz w:val="24"/>
          <w:szCs w:val="24"/>
          <w:highlight w:val="none"/>
        </w:rPr>
      </w:pPr>
    </w:p>
    <w:p w14:paraId="709CD625">
      <w:pPr>
        <w:pStyle w:val="15"/>
        <w:rPr>
          <w:rFonts w:hint="eastAsia" w:asciiTheme="minorEastAsia" w:hAnsiTheme="minorEastAsia" w:eastAsiaTheme="minorEastAsia" w:cstheme="minorEastAsia"/>
          <w:color w:val="auto"/>
          <w:sz w:val="24"/>
          <w:szCs w:val="24"/>
          <w:highlight w:val="none"/>
        </w:rPr>
      </w:pPr>
    </w:p>
    <w:p w14:paraId="7340BA92">
      <w:pPr>
        <w:pStyle w:val="15"/>
        <w:rPr>
          <w:rFonts w:hint="eastAsia" w:asciiTheme="minorEastAsia" w:hAnsiTheme="minorEastAsia" w:eastAsiaTheme="minorEastAsia" w:cstheme="minorEastAsia"/>
          <w:color w:val="auto"/>
          <w:sz w:val="24"/>
          <w:szCs w:val="24"/>
          <w:highlight w:val="none"/>
        </w:rPr>
      </w:pPr>
    </w:p>
    <w:p w14:paraId="20E9AB10">
      <w:pPr>
        <w:pStyle w:val="15"/>
        <w:rPr>
          <w:rFonts w:hint="eastAsia" w:asciiTheme="minorEastAsia" w:hAnsiTheme="minorEastAsia" w:eastAsiaTheme="minorEastAsia" w:cstheme="minorEastAsia"/>
          <w:color w:val="auto"/>
          <w:sz w:val="24"/>
          <w:szCs w:val="24"/>
          <w:highlight w:val="none"/>
        </w:rPr>
      </w:pPr>
    </w:p>
    <w:p w14:paraId="74FD6344">
      <w:pPr>
        <w:pStyle w:val="15"/>
        <w:rPr>
          <w:rFonts w:hint="eastAsia" w:asciiTheme="minorEastAsia" w:hAnsiTheme="minorEastAsia" w:eastAsiaTheme="minorEastAsia" w:cstheme="minorEastAsia"/>
          <w:color w:val="auto"/>
          <w:sz w:val="24"/>
          <w:szCs w:val="24"/>
          <w:highlight w:val="none"/>
        </w:rPr>
      </w:pPr>
    </w:p>
    <w:p w14:paraId="228558BE">
      <w:pPr>
        <w:pStyle w:val="15"/>
        <w:rPr>
          <w:rFonts w:hint="eastAsia" w:asciiTheme="minorEastAsia" w:hAnsiTheme="minorEastAsia" w:eastAsiaTheme="minorEastAsia" w:cstheme="minorEastAsia"/>
          <w:color w:val="auto"/>
          <w:sz w:val="24"/>
          <w:szCs w:val="24"/>
          <w:highlight w:val="none"/>
        </w:rPr>
      </w:pPr>
    </w:p>
    <w:p w14:paraId="5B18F989">
      <w:pPr>
        <w:pStyle w:val="15"/>
        <w:rPr>
          <w:rFonts w:hint="eastAsia" w:asciiTheme="minorEastAsia" w:hAnsiTheme="minorEastAsia" w:eastAsiaTheme="minorEastAsia" w:cstheme="minorEastAsia"/>
          <w:color w:val="auto"/>
          <w:sz w:val="24"/>
          <w:szCs w:val="24"/>
          <w:highlight w:val="none"/>
        </w:rPr>
      </w:pPr>
    </w:p>
    <w:p w14:paraId="23791898">
      <w:pPr>
        <w:pStyle w:val="15"/>
        <w:rPr>
          <w:rFonts w:hint="eastAsia" w:asciiTheme="minorEastAsia" w:hAnsiTheme="minorEastAsia" w:eastAsiaTheme="minorEastAsia" w:cstheme="minorEastAsia"/>
          <w:color w:val="auto"/>
          <w:sz w:val="24"/>
          <w:szCs w:val="24"/>
          <w:highlight w:val="none"/>
        </w:rPr>
      </w:pPr>
    </w:p>
    <w:p w14:paraId="403EDD12">
      <w:pPr>
        <w:pStyle w:val="3"/>
        <w:spacing w:before="48" w:after="48" w:line="400" w:lineRule="exact"/>
        <w:ind w:firstLine="600" w:firstLineChars="200"/>
        <w:jc w:val="center"/>
        <w:rPr>
          <w:rFonts w:hint="eastAsia" w:asciiTheme="minorEastAsia" w:hAnsiTheme="minorEastAsia" w:eastAsiaTheme="minorEastAsia" w:cstheme="minorEastAsia"/>
          <w:color w:val="auto"/>
          <w:sz w:val="30"/>
          <w:szCs w:val="30"/>
          <w:highlight w:val="none"/>
          <w:lang w:eastAsia="zh-CN"/>
        </w:rPr>
      </w:pPr>
      <w:bookmarkStart w:id="221" w:name="_Toc29591"/>
      <w:r>
        <w:rPr>
          <w:rFonts w:hint="eastAsia" w:asciiTheme="minorEastAsia" w:hAnsiTheme="minorEastAsia" w:eastAsiaTheme="minorEastAsia" w:cstheme="minorEastAsia"/>
          <w:color w:val="auto"/>
          <w:sz w:val="30"/>
          <w:szCs w:val="30"/>
          <w:highlight w:val="none"/>
          <w:lang w:val="en-US" w:eastAsia="zh-CN"/>
        </w:rPr>
        <w:t>附件一：</w:t>
      </w:r>
      <w:r>
        <w:rPr>
          <w:rFonts w:hint="eastAsia" w:asciiTheme="minorEastAsia" w:hAnsiTheme="minorEastAsia" w:eastAsiaTheme="minorEastAsia" w:cstheme="minorEastAsia"/>
          <w:color w:val="auto"/>
          <w:sz w:val="30"/>
          <w:szCs w:val="30"/>
          <w:highlight w:val="none"/>
          <w:lang w:eastAsia="zh-CN"/>
        </w:rPr>
        <w:t>重庆翊博项目管理有限公司</w:t>
      </w:r>
      <w:r>
        <w:rPr>
          <w:rFonts w:hint="eastAsia" w:asciiTheme="minorEastAsia" w:hAnsiTheme="minorEastAsia" w:eastAsiaTheme="minorEastAsia" w:cstheme="minorEastAsia"/>
          <w:color w:val="auto"/>
          <w:highlight w:val="none"/>
          <w:lang w:eastAsia="zh-CN"/>
        </w:rPr>
        <w:t>竞争性磋商文件</w:t>
      </w:r>
      <w:bookmarkEnd w:id="221"/>
    </w:p>
    <w:p w14:paraId="2726C070">
      <w:pPr>
        <w:pStyle w:val="3"/>
        <w:spacing w:before="48" w:after="48" w:line="400" w:lineRule="exact"/>
        <w:ind w:firstLine="600" w:firstLineChars="200"/>
        <w:jc w:val="center"/>
        <w:rPr>
          <w:rFonts w:hint="eastAsia" w:asciiTheme="minorEastAsia" w:hAnsiTheme="minorEastAsia" w:eastAsiaTheme="minorEastAsia" w:cstheme="minorEastAsia"/>
          <w:color w:val="auto"/>
          <w:sz w:val="30"/>
          <w:szCs w:val="30"/>
          <w:highlight w:val="none"/>
          <w:lang w:eastAsia="zh-CN"/>
        </w:rPr>
      </w:pPr>
      <w:bookmarkStart w:id="222" w:name="_Toc16732"/>
      <w:bookmarkStart w:id="223" w:name="_Toc28742"/>
      <w:bookmarkStart w:id="224" w:name="_Toc22236"/>
      <w:bookmarkStart w:id="225" w:name="_Toc27162"/>
      <w:bookmarkStart w:id="226" w:name="_Toc6035"/>
      <w:r>
        <w:rPr>
          <w:rFonts w:hint="eastAsia" w:asciiTheme="minorEastAsia" w:hAnsiTheme="minorEastAsia" w:eastAsiaTheme="minorEastAsia" w:cstheme="minorEastAsia"/>
          <w:color w:val="auto"/>
          <w:sz w:val="30"/>
          <w:szCs w:val="30"/>
          <w:highlight w:val="none"/>
          <w:lang w:eastAsia="zh-CN"/>
        </w:rPr>
        <w:t>发售登记表</w:t>
      </w:r>
      <w:bookmarkEnd w:id="222"/>
      <w:bookmarkEnd w:id="223"/>
      <w:bookmarkEnd w:id="224"/>
      <w:bookmarkEnd w:id="225"/>
      <w:bookmarkEnd w:id="226"/>
    </w:p>
    <w:tbl>
      <w:tblPr>
        <w:tblStyle w:val="5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14:paraId="1E9F39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noWrap w:val="0"/>
            <w:vAlign w:val="center"/>
          </w:tcPr>
          <w:p w14:paraId="522E379E">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项目号</w:t>
            </w:r>
          </w:p>
        </w:tc>
        <w:tc>
          <w:tcPr>
            <w:tcW w:w="7407" w:type="dxa"/>
            <w:gridSpan w:val="3"/>
            <w:noWrap w:val="0"/>
            <w:vAlign w:val="center"/>
          </w:tcPr>
          <w:p w14:paraId="323DF077">
            <w:pPr>
              <w:ind w:firstLine="0" w:firstLineChars="0"/>
              <w:jc w:val="center"/>
              <w:rPr>
                <w:rFonts w:hint="eastAsia" w:asciiTheme="minorEastAsia" w:hAnsiTheme="minorEastAsia" w:eastAsiaTheme="minorEastAsia" w:cstheme="minorEastAsia"/>
                <w:color w:val="auto"/>
                <w:sz w:val="28"/>
                <w:szCs w:val="21"/>
                <w:highlight w:val="none"/>
              </w:rPr>
            </w:pPr>
          </w:p>
        </w:tc>
      </w:tr>
      <w:tr w14:paraId="6B3DDE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noWrap w:val="0"/>
            <w:vAlign w:val="center"/>
          </w:tcPr>
          <w:p w14:paraId="63A84091">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项目名称</w:t>
            </w:r>
          </w:p>
        </w:tc>
        <w:tc>
          <w:tcPr>
            <w:tcW w:w="7407" w:type="dxa"/>
            <w:gridSpan w:val="3"/>
            <w:noWrap w:val="0"/>
            <w:vAlign w:val="center"/>
          </w:tcPr>
          <w:p w14:paraId="57C69106">
            <w:pPr>
              <w:ind w:firstLine="0" w:firstLineChars="0"/>
              <w:jc w:val="center"/>
              <w:rPr>
                <w:rFonts w:hint="eastAsia" w:asciiTheme="minorEastAsia" w:hAnsiTheme="minorEastAsia" w:eastAsiaTheme="minorEastAsia" w:cstheme="minorEastAsia"/>
                <w:color w:val="auto"/>
                <w:sz w:val="28"/>
                <w:szCs w:val="21"/>
                <w:highlight w:val="none"/>
              </w:rPr>
            </w:pPr>
          </w:p>
        </w:tc>
      </w:tr>
      <w:tr w14:paraId="322F9C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noWrap w:val="0"/>
            <w:vAlign w:val="center"/>
          </w:tcPr>
          <w:p w14:paraId="541026BE">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供应商名称</w:t>
            </w:r>
          </w:p>
        </w:tc>
        <w:tc>
          <w:tcPr>
            <w:tcW w:w="7407" w:type="dxa"/>
            <w:gridSpan w:val="3"/>
            <w:noWrap w:val="0"/>
            <w:vAlign w:val="center"/>
          </w:tcPr>
          <w:p w14:paraId="47D7E2ED">
            <w:pPr>
              <w:ind w:firstLine="0" w:firstLineChars="0"/>
              <w:jc w:val="center"/>
              <w:rPr>
                <w:rFonts w:hint="eastAsia" w:asciiTheme="minorEastAsia" w:hAnsiTheme="minorEastAsia" w:eastAsiaTheme="minorEastAsia" w:cstheme="minorEastAsia"/>
                <w:color w:val="auto"/>
                <w:sz w:val="28"/>
                <w:szCs w:val="21"/>
                <w:highlight w:val="none"/>
                <w:lang w:eastAsia="zh-CN"/>
              </w:rPr>
            </w:pPr>
            <w:r>
              <w:rPr>
                <w:rFonts w:hint="eastAsia" w:asciiTheme="minorEastAsia" w:hAnsiTheme="minorEastAsia" w:eastAsiaTheme="minorEastAsia" w:cstheme="minorEastAsia"/>
                <w:color w:val="auto"/>
                <w:sz w:val="28"/>
                <w:szCs w:val="21"/>
                <w:highlight w:val="none"/>
              </w:rPr>
              <w:t>（供应商公章</w:t>
            </w:r>
            <w:r>
              <w:rPr>
                <w:rFonts w:hint="eastAsia" w:asciiTheme="minorEastAsia" w:hAnsiTheme="minorEastAsia" w:eastAsiaTheme="minorEastAsia" w:cstheme="minorEastAsia"/>
                <w:color w:val="auto"/>
                <w:sz w:val="28"/>
                <w:szCs w:val="21"/>
                <w:highlight w:val="none"/>
                <w:lang w:eastAsia="zh-CN"/>
              </w:rPr>
              <w:t>）</w:t>
            </w:r>
          </w:p>
        </w:tc>
      </w:tr>
      <w:tr w14:paraId="4D52CE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noWrap w:val="0"/>
            <w:vAlign w:val="center"/>
          </w:tcPr>
          <w:p w14:paraId="63732EB4">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联系人</w:t>
            </w:r>
          </w:p>
        </w:tc>
        <w:tc>
          <w:tcPr>
            <w:tcW w:w="2391" w:type="dxa"/>
            <w:noWrap w:val="0"/>
            <w:vAlign w:val="center"/>
          </w:tcPr>
          <w:p w14:paraId="7879E308">
            <w:pPr>
              <w:ind w:firstLine="0" w:firstLineChars="0"/>
              <w:jc w:val="center"/>
              <w:rPr>
                <w:rFonts w:hint="eastAsia" w:asciiTheme="minorEastAsia" w:hAnsiTheme="minorEastAsia" w:eastAsiaTheme="minorEastAsia" w:cstheme="minorEastAsia"/>
                <w:color w:val="auto"/>
                <w:sz w:val="28"/>
                <w:szCs w:val="21"/>
                <w:highlight w:val="none"/>
              </w:rPr>
            </w:pPr>
          </w:p>
        </w:tc>
        <w:tc>
          <w:tcPr>
            <w:tcW w:w="1051" w:type="dxa"/>
            <w:noWrap w:val="0"/>
            <w:vAlign w:val="center"/>
          </w:tcPr>
          <w:p w14:paraId="17EA1BDA">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手机</w:t>
            </w:r>
          </w:p>
        </w:tc>
        <w:tc>
          <w:tcPr>
            <w:tcW w:w="3965" w:type="dxa"/>
            <w:noWrap w:val="0"/>
            <w:vAlign w:val="center"/>
          </w:tcPr>
          <w:p w14:paraId="10365156">
            <w:pPr>
              <w:ind w:firstLine="0" w:firstLineChars="0"/>
              <w:jc w:val="center"/>
              <w:rPr>
                <w:rFonts w:hint="eastAsia" w:asciiTheme="minorEastAsia" w:hAnsiTheme="minorEastAsia" w:eastAsiaTheme="minorEastAsia" w:cstheme="minorEastAsia"/>
                <w:color w:val="auto"/>
                <w:sz w:val="28"/>
                <w:szCs w:val="21"/>
                <w:highlight w:val="none"/>
              </w:rPr>
            </w:pPr>
          </w:p>
        </w:tc>
      </w:tr>
      <w:tr w14:paraId="4B14CE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noWrap w:val="0"/>
            <w:vAlign w:val="center"/>
          </w:tcPr>
          <w:p w14:paraId="0A1D45E4">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办公电话</w:t>
            </w:r>
          </w:p>
        </w:tc>
        <w:tc>
          <w:tcPr>
            <w:tcW w:w="2391" w:type="dxa"/>
            <w:noWrap w:val="0"/>
            <w:vAlign w:val="center"/>
          </w:tcPr>
          <w:p w14:paraId="37D89AC6">
            <w:pPr>
              <w:ind w:firstLine="0" w:firstLineChars="0"/>
              <w:jc w:val="center"/>
              <w:rPr>
                <w:rFonts w:hint="eastAsia" w:asciiTheme="minorEastAsia" w:hAnsiTheme="minorEastAsia" w:eastAsiaTheme="minorEastAsia" w:cstheme="minorEastAsia"/>
                <w:color w:val="auto"/>
                <w:sz w:val="28"/>
                <w:szCs w:val="21"/>
                <w:highlight w:val="none"/>
              </w:rPr>
            </w:pPr>
          </w:p>
        </w:tc>
        <w:tc>
          <w:tcPr>
            <w:tcW w:w="1051" w:type="dxa"/>
            <w:noWrap w:val="0"/>
            <w:vAlign w:val="center"/>
          </w:tcPr>
          <w:p w14:paraId="676EF1B6">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传真</w:t>
            </w:r>
          </w:p>
        </w:tc>
        <w:tc>
          <w:tcPr>
            <w:tcW w:w="3965" w:type="dxa"/>
            <w:noWrap w:val="0"/>
            <w:vAlign w:val="center"/>
          </w:tcPr>
          <w:p w14:paraId="0E78A33C">
            <w:pPr>
              <w:ind w:firstLine="0" w:firstLineChars="0"/>
              <w:jc w:val="center"/>
              <w:rPr>
                <w:rFonts w:hint="eastAsia" w:asciiTheme="minorEastAsia" w:hAnsiTheme="minorEastAsia" w:eastAsiaTheme="minorEastAsia" w:cstheme="minorEastAsia"/>
                <w:color w:val="auto"/>
                <w:sz w:val="28"/>
                <w:szCs w:val="21"/>
                <w:highlight w:val="none"/>
              </w:rPr>
            </w:pPr>
          </w:p>
        </w:tc>
      </w:tr>
      <w:tr w14:paraId="5EBB19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noWrap w:val="0"/>
            <w:vAlign w:val="center"/>
          </w:tcPr>
          <w:p w14:paraId="3E612900">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E-mail</w:t>
            </w:r>
          </w:p>
        </w:tc>
        <w:tc>
          <w:tcPr>
            <w:tcW w:w="7407" w:type="dxa"/>
            <w:gridSpan w:val="3"/>
            <w:noWrap w:val="0"/>
            <w:vAlign w:val="center"/>
          </w:tcPr>
          <w:p w14:paraId="77909F03">
            <w:pPr>
              <w:ind w:firstLine="0" w:firstLineChars="0"/>
              <w:jc w:val="center"/>
              <w:rPr>
                <w:rFonts w:hint="eastAsia" w:asciiTheme="minorEastAsia" w:hAnsiTheme="minorEastAsia" w:eastAsiaTheme="minorEastAsia" w:cstheme="minorEastAsia"/>
                <w:color w:val="auto"/>
                <w:sz w:val="28"/>
                <w:szCs w:val="21"/>
                <w:highlight w:val="none"/>
              </w:rPr>
            </w:pPr>
          </w:p>
        </w:tc>
      </w:tr>
      <w:tr w14:paraId="6CCFD4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noWrap w:val="0"/>
            <w:vAlign w:val="center"/>
          </w:tcPr>
          <w:p w14:paraId="4F7A5D01">
            <w:pPr>
              <w:ind w:firstLine="0" w:firstLineChars="0"/>
              <w:jc w:val="center"/>
              <w:rPr>
                <w:rFonts w:hint="eastAsia" w:asciiTheme="minorEastAsia" w:hAnsiTheme="minorEastAsia" w:eastAsiaTheme="minorEastAsia" w:cstheme="minorEastAsia"/>
                <w:color w:val="auto"/>
                <w:sz w:val="28"/>
                <w:szCs w:val="21"/>
                <w:highlight w:val="none"/>
              </w:rPr>
            </w:pPr>
            <w:r>
              <w:rPr>
                <w:rFonts w:hint="eastAsia" w:asciiTheme="minorEastAsia" w:hAnsiTheme="minorEastAsia" w:eastAsiaTheme="minorEastAsia" w:cstheme="minorEastAsia"/>
                <w:color w:val="auto"/>
                <w:sz w:val="28"/>
                <w:szCs w:val="21"/>
                <w:highlight w:val="none"/>
              </w:rPr>
              <w:t>单位地址</w:t>
            </w:r>
          </w:p>
        </w:tc>
        <w:tc>
          <w:tcPr>
            <w:tcW w:w="7407" w:type="dxa"/>
            <w:gridSpan w:val="3"/>
            <w:noWrap w:val="0"/>
            <w:vAlign w:val="center"/>
          </w:tcPr>
          <w:p w14:paraId="06C5A119">
            <w:pPr>
              <w:ind w:firstLine="0" w:firstLineChars="0"/>
              <w:jc w:val="center"/>
              <w:rPr>
                <w:rFonts w:hint="eastAsia" w:asciiTheme="minorEastAsia" w:hAnsiTheme="minorEastAsia" w:eastAsiaTheme="minorEastAsia" w:cstheme="minorEastAsia"/>
                <w:color w:val="auto"/>
                <w:sz w:val="28"/>
                <w:szCs w:val="21"/>
                <w:highlight w:val="none"/>
              </w:rPr>
            </w:pPr>
          </w:p>
        </w:tc>
      </w:tr>
    </w:tbl>
    <w:p w14:paraId="170F21F7">
      <w:pPr>
        <w:spacing w:line="600" w:lineRule="exact"/>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采购文件售价：</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 xml:space="preserve">00元/份      </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 xml:space="preserve"> 发售人：</w:t>
      </w:r>
      <w:r>
        <w:rPr>
          <w:rFonts w:hint="eastAsia" w:asciiTheme="minorEastAsia" w:hAnsiTheme="minorEastAsia" w:eastAsiaTheme="minorEastAsia" w:cstheme="minorEastAsia"/>
          <w:color w:val="auto"/>
          <w:highlight w:val="none"/>
          <w:lang w:eastAsia="zh-CN"/>
        </w:rPr>
        <w:t>重庆翊博项目管理有限公司</w:t>
      </w:r>
      <w:r>
        <w:rPr>
          <w:rFonts w:hint="eastAsia" w:asciiTheme="minorEastAsia" w:hAnsiTheme="minorEastAsia" w:eastAsiaTheme="minorEastAsia" w:cstheme="minorEastAsia"/>
          <w:color w:val="auto"/>
          <w:highlight w:val="none"/>
        </w:rPr>
        <w:t xml:space="preserve">   </w:t>
      </w:r>
    </w:p>
    <w:p w14:paraId="678D9F53">
      <w:pPr>
        <w:spacing w:line="600" w:lineRule="exact"/>
        <w:ind w:firstLine="480"/>
        <w:rPr>
          <w:rFonts w:hint="eastAsia" w:asciiTheme="minorEastAsia" w:hAnsiTheme="minorEastAsia" w:eastAsiaTheme="minorEastAsia" w:cstheme="minorEastAsia"/>
          <w:color w:val="auto"/>
          <w:highlight w:val="none"/>
        </w:rPr>
      </w:pPr>
    </w:p>
    <w:p w14:paraId="2D001576">
      <w:pPr>
        <w:spacing w:line="600" w:lineRule="exact"/>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相关说明：</w:t>
      </w:r>
    </w:p>
    <w:p w14:paraId="2B2C61F8">
      <w:pPr>
        <w:spacing w:line="600" w:lineRule="exact"/>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1.现金购买</w:t>
      </w:r>
    </w:p>
    <w:p w14:paraId="389E21E6">
      <w:pPr>
        <w:spacing w:line="600" w:lineRule="exact"/>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在采购文件发售期内（工作时间：工作日内每天上午9：00-12:00时，下午14：00-17：00时</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，供应商到</w:t>
      </w:r>
      <w:r>
        <w:rPr>
          <w:rFonts w:hint="eastAsia" w:asciiTheme="minorEastAsia" w:hAnsiTheme="minorEastAsia" w:eastAsiaTheme="minorEastAsia" w:cstheme="minorEastAsia"/>
          <w:color w:val="auto"/>
          <w:highlight w:val="none"/>
          <w:lang w:eastAsia="zh-CN"/>
        </w:rPr>
        <w:t>重庆翊博项目管理有限公司</w:t>
      </w:r>
      <w:r>
        <w:rPr>
          <w:rFonts w:hint="eastAsia" w:asciiTheme="minorEastAsia" w:hAnsiTheme="minorEastAsia" w:eastAsiaTheme="minorEastAsia" w:cstheme="minorEastAsia"/>
          <w:color w:val="auto"/>
          <w:highlight w:val="none"/>
        </w:rPr>
        <w:t>购买采购文件的，地址：同投标地点一致，供应商在缴纳购买采购文件费用后，请将《</w:t>
      </w:r>
      <w:r>
        <w:rPr>
          <w:rFonts w:hint="eastAsia" w:asciiTheme="minorEastAsia" w:hAnsiTheme="minorEastAsia" w:eastAsiaTheme="minorEastAsia" w:cstheme="minorEastAsia"/>
          <w:color w:val="auto"/>
          <w:highlight w:val="none"/>
          <w:lang w:eastAsia="zh-CN"/>
        </w:rPr>
        <w:t>重庆翊博项目管理有限公司竞争性磋商文件</w:t>
      </w:r>
      <w:r>
        <w:rPr>
          <w:rFonts w:hint="eastAsia" w:asciiTheme="minorEastAsia" w:hAnsiTheme="minorEastAsia" w:eastAsiaTheme="minorEastAsia" w:cstheme="minorEastAsia"/>
          <w:color w:val="auto"/>
          <w:highlight w:val="none"/>
        </w:rPr>
        <w:t>发售登记表》（加盖供应商公章</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递交至代理公司工作人员。</w:t>
      </w:r>
    </w:p>
    <w:p w14:paraId="09406720">
      <w:pPr>
        <w:pStyle w:val="3"/>
        <w:spacing w:before="48" w:after="48" w:line="400" w:lineRule="exact"/>
        <w:ind w:firstLine="600" w:firstLineChars="200"/>
        <w:jc w:val="center"/>
        <w:rPr>
          <w:rFonts w:hint="eastAsia" w:asciiTheme="minorEastAsia" w:hAnsiTheme="minorEastAsia" w:eastAsiaTheme="minorEastAsia" w:cstheme="minorEastAsia"/>
          <w:color w:val="auto"/>
          <w:sz w:val="30"/>
          <w:szCs w:val="30"/>
          <w:highlight w:val="none"/>
          <w:lang w:val="en-US" w:eastAsia="zh-CN"/>
        </w:rPr>
      </w:pPr>
    </w:p>
    <w:p w14:paraId="00F0820D">
      <w:pPr>
        <w:pStyle w:val="3"/>
        <w:spacing w:before="48" w:after="48" w:line="400" w:lineRule="exact"/>
        <w:ind w:firstLine="600" w:firstLineChars="200"/>
        <w:jc w:val="center"/>
        <w:rPr>
          <w:rFonts w:hint="eastAsia" w:asciiTheme="minorEastAsia" w:hAnsiTheme="minorEastAsia" w:eastAsiaTheme="minorEastAsia" w:cstheme="minorEastAsia"/>
          <w:color w:val="auto"/>
          <w:sz w:val="30"/>
          <w:szCs w:val="30"/>
          <w:highlight w:val="none"/>
          <w:lang w:val="en-US" w:eastAsia="zh-CN"/>
        </w:rPr>
      </w:pPr>
    </w:p>
    <w:p w14:paraId="13342F91">
      <w:pPr>
        <w:rPr>
          <w:rFonts w:hint="eastAsia" w:asciiTheme="minorEastAsia" w:hAnsiTheme="minorEastAsia" w:eastAsiaTheme="minorEastAsia" w:cstheme="minorEastAsia"/>
          <w:color w:val="auto"/>
          <w:sz w:val="30"/>
          <w:szCs w:val="30"/>
          <w:highlight w:val="none"/>
          <w:lang w:val="en-US" w:eastAsia="zh-CN"/>
        </w:rPr>
      </w:pPr>
    </w:p>
    <w:p w14:paraId="7676404E">
      <w:pPr>
        <w:pStyle w:val="77"/>
        <w:rPr>
          <w:rFonts w:hint="eastAsia" w:asciiTheme="minorEastAsia" w:hAnsiTheme="minorEastAsia" w:eastAsiaTheme="minorEastAsia" w:cstheme="minorEastAsia"/>
          <w:color w:val="auto"/>
          <w:sz w:val="30"/>
          <w:szCs w:val="30"/>
          <w:highlight w:val="none"/>
          <w:lang w:val="en-US" w:eastAsia="zh-CN"/>
        </w:rPr>
      </w:pPr>
    </w:p>
    <w:p w14:paraId="4C359BC2">
      <w:pPr>
        <w:pStyle w:val="77"/>
        <w:rPr>
          <w:rFonts w:hint="eastAsia" w:asciiTheme="minorEastAsia" w:hAnsiTheme="minorEastAsia" w:eastAsiaTheme="minorEastAsia" w:cstheme="minorEastAsia"/>
          <w:color w:val="auto"/>
          <w:sz w:val="30"/>
          <w:szCs w:val="30"/>
          <w:highlight w:val="none"/>
          <w:lang w:val="en-US" w:eastAsia="zh-CN"/>
        </w:rPr>
      </w:pPr>
    </w:p>
    <w:p w14:paraId="4B270B26">
      <w:pPr>
        <w:pStyle w:val="3"/>
        <w:spacing w:before="48" w:after="48" w:line="400" w:lineRule="exact"/>
        <w:jc w:val="center"/>
        <w:rPr>
          <w:rFonts w:hint="eastAsia" w:asciiTheme="minorEastAsia" w:hAnsiTheme="minorEastAsia" w:eastAsiaTheme="minorEastAsia" w:cstheme="minorEastAsia"/>
          <w:color w:val="auto"/>
          <w:sz w:val="30"/>
          <w:szCs w:val="30"/>
          <w:highlight w:val="none"/>
          <w:lang w:val="en-US" w:eastAsia="zh-CN"/>
        </w:rPr>
      </w:pPr>
      <w:bookmarkStart w:id="227" w:name="_Toc14748"/>
      <w:r>
        <w:rPr>
          <w:rFonts w:hint="eastAsia" w:asciiTheme="minorEastAsia" w:hAnsiTheme="minorEastAsia" w:eastAsiaTheme="minorEastAsia" w:cstheme="minorEastAsia"/>
          <w:color w:val="auto"/>
          <w:sz w:val="30"/>
          <w:szCs w:val="30"/>
          <w:highlight w:val="none"/>
          <w:lang w:val="en-US" w:eastAsia="zh-CN"/>
        </w:rPr>
        <w:t>附件二：磋商最后报价表</w:t>
      </w:r>
      <w:bookmarkEnd w:id="227"/>
    </w:p>
    <w:p w14:paraId="046A89BC">
      <w:pPr>
        <w:pStyle w:val="77"/>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 xml:space="preserve">                               </w:t>
      </w:r>
    </w:p>
    <w:p w14:paraId="53DAAFD4">
      <w:pPr>
        <w:pStyle w:val="77"/>
        <w:ind w:firstLine="5320" w:firstLineChars="1900"/>
        <w:rPr>
          <w:rFonts w:hint="eastAsia" w:asciiTheme="minorEastAsia" w:hAnsiTheme="minorEastAsia" w:eastAsiaTheme="minorEastAsia" w:cstheme="minorEastAsia"/>
          <w:color w:val="auto"/>
          <w:highlight w:val="none"/>
        </w:rPr>
      </w:pPr>
    </w:p>
    <w:p w14:paraId="770B9D6B">
      <w:pPr>
        <w:pStyle w:val="77"/>
        <w:ind w:firstLine="5320" w:firstLineChars="19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时间：    年   月    日</w:t>
      </w:r>
    </w:p>
    <w:p w14:paraId="26E800F4">
      <w:pPr>
        <w:rPr>
          <w:rFonts w:hint="eastAsia"/>
          <w:color w:val="auto"/>
          <w:highlight w:val="none"/>
          <w:lang w:val="en-US" w:eastAsia="zh-CN"/>
        </w:rPr>
      </w:pPr>
      <w:r>
        <w:rPr>
          <w:rFonts w:hint="eastAsia"/>
          <w:color w:val="auto"/>
          <w:highlight w:val="none"/>
          <w:lang w:val="en-US" w:eastAsia="zh-CN"/>
        </w:rPr>
        <w:t>1、项目总价报价</w:t>
      </w:r>
    </w:p>
    <w:p w14:paraId="0587EFE5">
      <w:pPr>
        <w:rPr>
          <w:rFonts w:hint="eastAsia"/>
          <w:color w:val="auto"/>
          <w:highlight w:val="none"/>
        </w:rPr>
      </w:pPr>
    </w:p>
    <w:tbl>
      <w:tblPr>
        <w:tblStyle w:val="58"/>
        <w:tblpPr w:leftFromText="180" w:rightFromText="180" w:vertAnchor="text" w:horzAnchor="page" w:tblpX="1306" w:tblpY="3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0"/>
        <w:gridCol w:w="6451"/>
      </w:tblGrid>
      <w:tr w14:paraId="2CCB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95" w:hRule="atLeast"/>
        </w:trPr>
        <w:tc>
          <w:tcPr>
            <w:tcW w:w="2940" w:type="dxa"/>
            <w:noWrap w:val="0"/>
            <w:vAlign w:val="center"/>
          </w:tcPr>
          <w:p w14:paraId="66B946E6">
            <w:pPr>
              <w:jc w:val="center"/>
              <w:rPr>
                <w:rFonts w:hint="eastAsia"/>
                <w:color w:val="auto"/>
                <w:highlight w:val="none"/>
                <w:lang w:val="en-US" w:eastAsia="zh-CN"/>
              </w:rPr>
            </w:pPr>
            <w:r>
              <w:rPr>
                <w:rFonts w:hint="eastAsia"/>
                <w:color w:val="auto"/>
                <w:highlight w:val="none"/>
                <w:lang w:val="en-US" w:eastAsia="zh-CN"/>
              </w:rPr>
              <w:t>供应商</w:t>
            </w:r>
          </w:p>
        </w:tc>
        <w:tc>
          <w:tcPr>
            <w:tcW w:w="6451" w:type="dxa"/>
            <w:noWrap w:val="0"/>
            <w:vAlign w:val="center"/>
          </w:tcPr>
          <w:p w14:paraId="7AEA89F1">
            <w:pPr>
              <w:rPr>
                <w:rFonts w:hint="eastAsia"/>
                <w:color w:val="auto"/>
                <w:highlight w:val="none"/>
              </w:rPr>
            </w:pPr>
          </w:p>
        </w:tc>
      </w:tr>
      <w:tr w14:paraId="3731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trPr>
        <w:tc>
          <w:tcPr>
            <w:tcW w:w="2940" w:type="dxa"/>
            <w:noWrap w:val="0"/>
            <w:vAlign w:val="center"/>
          </w:tcPr>
          <w:p w14:paraId="0374A764">
            <w:pPr>
              <w:spacing w:line="500" w:lineRule="exact"/>
              <w:ind w:firstLine="0" w:firstLineChars="0"/>
              <w:jc w:val="center"/>
              <w:rPr>
                <w:rFonts w:hint="eastAsia"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项目名称</w:t>
            </w:r>
          </w:p>
        </w:tc>
        <w:tc>
          <w:tcPr>
            <w:tcW w:w="6451" w:type="dxa"/>
            <w:noWrap w:val="0"/>
            <w:vAlign w:val="center"/>
          </w:tcPr>
          <w:p w14:paraId="604154D8">
            <w:pPr>
              <w:spacing w:line="500" w:lineRule="exact"/>
              <w:ind w:firstLine="0" w:firstLineChars="0"/>
              <w:jc w:val="center"/>
              <w:rPr>
                <w:rFonts w:hint="eastAsia" w:asciiTheme="minorEastAsia" w:hAnsiTheme="minorEastAsia" w:eastAsiaTheme="minorEastAsia" w:cstheme="minorEastAsia"/>
                <w:color w:val="auto"/>
                <w:szCs w:val="28"/>
                <w:highlight w:val="none"/>
              </w:rPr>
            </w:pPr>
          </w:p>
        </w:tc>
      </w:tr>
      <w:tr w14:paraId="620C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exact"/>
        </w:trPr>
        <w:tc>
          <w:tcPr>
            <w:tcW w:w="2940" w:type="dxa"/>
            <w:noWrap w:val="0"/>
            <w:vAlign w:val="center"/>
          </w:tcPr>
          <w:p w14:paraId="176D9333">
            <w:pPr>
              <w:ind w:firstLine="0" w:firstLineChars="0"/>
              <w:jc w:val="center"/>
              <w:rPr>
                <w:rFonts w:hint="eastAsia"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总价报价</w:t>
            </w:r>
          </w:p>
        </w:tc>
        <w:tc>
          <w:tcPr>
            <w:tcW w:w="6451" w:type="dxa"/>
            <w:noWrap w:val="0"/>
            <w:vAlign w:val="center"/>
          </w:tcPr>
          <w:p w14:paraId="50713BBE">
            <w:pPr>
              <w:wordWrap w:val="0"/>
              <w:ind w:firstLine="0" w:firstLineChars="0"/>
              <w:jc w:val="both"/>
              <w:rPr>
                <w:rFonts w:hint="eastAsia" w:asciiTheme="minorEastAsia" w:hAnsiTheme="minorEastAsia" w:eastAsiaTheme="minorEastAsia" w:cstheme="minorEastAsia"/>
                <w:color w:val="auto"/>
                <w:szCs w:val="28"/>
                <w:highlight w:val="none"/>
                <w:lang w:eastAsia="zh-CN"/>
              </w:rPr>
            </w:pPr>
            <w:r>
              <w:rPr>
                <w:rFonts w:hint="eastAsia" w:asciiTheme="minorEastAsia" w:hAnsiTheme="minorEastAsia" w:eastAsiaTheme="minorEastAsia" w:cstheme="minorEastAsia"/>
                <w:color w:val="auto"/>
                <w:szCs w:val="28"/>
                <w:highlight w:val="none"/>
              </w:rPr>
              <w:t xml:space="preserve">小写￥            （大写：                  </w:t>
            </w:r>
            <w:r>
              <w:rPr>
                <w:rFonts w:hint="eastAsia" w:asciiTheme="minorEastAsia" w:hAnsiTheme="minorEastAsia" w:eastAsiaTheme="minorEastAsia" w:cstheme="minorEastAsia"/>
                <w:color w:val="auto"/>
                <w:szCs w:val="28"/>
                <w:highlight w:val="none"/>
                <w:lang w:eastAsia="zh-CN"/>
              </w:rPr>
              <w:t>）</w:t>
            </w:r>
          </w:p>
        </w:tc>
      </w:tr>
      <w:tr w14:paraId="50DE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8" w:hRule="atLeast"/>
        </w:trPr>
        <w:tc>
          <w:tcPr>
            <w:tcW w:w="9391" w:type="dxa"/>
            <w:gridSpan w:val="2"/>
            <w:noWrap w:val="0"/>
            <w:vAlign w:val="top"/>
          </w:tcPr>
          <w:p w14:paraId="7916F256">
            <w:pPr>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供应商</w:t>
            </w:r>
            <w:r>
              <w:rPr>
                <w:rFonts w:hint="eastAsia" w:asciiTheme="minorEastAsia" w:hAnsiTheme="minorEastAsia" w:eastAsiaTheme="minorEastAsia" w:cstheme="minorEastAsia"/>
                <w:color w:val="auto"/>
                <w:highlight w:val="none"/>
              </w:rPr>
              <w:t>其他承诺或需要澄清的内容：</w:t>
            </w:r>
          </w:p>
        </w:tc>
      </w:tr>
    </w:tbl>
    <w:p w14:paraId="0DD589DD">
      <w:pPr>
        <w:pStyle w:val="77"/>
        <w:ind w:firstLine="0" w:firstLineChars="0"/>
        <w:rPr>
          <w:rFonts w:hint="eastAsia" w:asciiTheme="minorEastAsia" w:hAnsiTheme="minorEastAsia" w:eastAsiaTheme="minorEastAsia" w:cstheme="minorEastAsia"/>
          <w:color w:val="auto"/>
          <w:highlight w:val="none"/>
        </w:rPr>
      </w:pPr>
    </w:p>
    <w:p w14:paraId="51B89965">
      <w:pPr>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供应商</w:t>
      </w:r>
      <w:r>
        <w:rPr>
          <w:rFonts w:hint="eastAsia" w:asciiTheme="minorEastAsia" w:hAnsiTheme="minorEastAsia" w:eastAsiaTheme="minorEastAsia" w:cstheme="minorEastAsia"/>
          <w:color w:val="auto"/>
          <w:highlight w:val="none"/>
        </w:rPr>
        <w:t>：               法定代表人（或其授权代表</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或自然人：</w:t>
      </w:r>
    </w:p>
    <w:p w14:paraId="463BEFB6">
      <w:pPr>
        <w:ind w:firstLine="48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供应商</w:t>
      </w:r>
      <w:r>
        <w:rPr>
          <w:rFonts w:hint="eastAsia" w:asciiTheme="minorEastAsia" w:hAnsiTheme="minorEastAsia" w:eastAsiaTheme="minorEastAsia" w:cstheme="minorEastAsia"/>
          <w:color w:val="auto"/>
          <w:highlight w:val="none"/>
        </w:rPr>
        <w:t>公章</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 xml:space="preserve">                            （签字或盖章</w:t>
      </w:r>
      <w:r>
        <w:rPr>
          <w:rFonts w:hint="eastAsia" w:asciiTheme="minorEastAsia" w:hAnsiTheme="minorEastAsia" w:eastAsiaTheme="minorEastAsia" w:cstheme="minorEastAsia"/>
          <w:color w:val="auto"/>
          <w:highlight w:val="none"/>
          <w:lang w:eastAsia="zh-CN"/>
        </w:rPr>
        <w:t>）</w:t>
      </w:r>
    </w:p>
    <w:p w14:paraId="5692B77C">
      <w:pPr>
        <w:ind w:firstLine="480"/>
        <w:rPr>
          <w:rFonts w:hint="eastAsia" w:asciiTheme="minorEastAsia" w:hAnsiTheme="minorEastAsia" w:eastAsiaTheme="minorEastAsia" w:cstheme="minorEastAsia"/>
          <w:color w:val="auto"/>
          <w:highlight w:val="none"/>
        </w:rPr>
      </w:pPr>
    </w:p>
    <w:p w14:paraId="61C7FAA9">
      <w:pPr>
        <w:ind w:firstLine="480"/>
        <w:rPr>
          <w:rFonts w:hint="eastAsia" w:asciiTheme="minorEastAsia" w:hAnsiTheme="minorEastAsia" w:eastAsiaTheme="minorEastAsia" w:cstheme="minorEastAsia"/>
          <w:color w:val="auto"/>
          <w:highlight w:val="none"/>
        </w:rPr>
      </w:pPr>
    </w:p>
    <w:p w14:paraId="14F68D71">
      <w:pPr>
        <w:ind w:firstLine="480"/>
        <w:rPr>
          <w:rFonts w:hint="eastAsia" w:asciiTheme="minorEastAsia" w:hAnsiTheme="minorEastAsia" w:eastAsiaTheme="minorEastAsia" w:cstheme="minorEastAsia"/>
          <w:color w:val="auto"/>
          <w:highlight w:val="none"/>
        </w:rPr>
      </w:pPr>
    </w:p>
    <w:p w14:paraId="75C50B69">
      <w:pPr>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6BD6F03E">
      <w:pPr>
        <w:pStyle w:val="77"/>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 xml:space="preserve">                                               年     月    </w:t>
      </w:r>
      <w:r>
        <w:rPr>
          <w:rFonts w:hint="eastAsia" w:asciiTheme="minorEastAsia" w:hAnsiTheme="minorEastAsia" w:eastAsiaTheme="minorEastAsia" w:cstheme="minorEastAsia"/>
          <w:color w:val="auto"/>
          <w:highlight w:val="none"/>
          <w:lang w:eastAsia="zh-CN"/>
        </w:rPr>
        <w:t>日</w:t>
      </w:r>
    </w:p>
    <w:p w14:paraId="096F3A25">
      <w:pPr>
        <w:pStyle w:val="77"/>
        <w:rPr>
          <w:rFonts w:hint="eastAsia" w:asciiTheme="minorEastAsia" w:hAnsiTheme="minorEastAsia" w:eastAsiaTheme="minorEastAsia" w:cstheme="minorEastAsia"/>
          <w:color w:val="auto"/>
          <w:highlight w:val="none"/>
          <w:lang w:eastAsia="zh-CN"/>
        </w:rPr>
      </w:pPr>
    </w:p>
    <w:p w14:paraId="66D03BC2">
      <w:pPr>
        <w:pStyle w:val="77"/>
        <w:rPr>
          <w:rFonts w:hint="eastAsia" w:asciiTheme="minorEastAsia" w:hAnsiTheme="minorEastAsia" w:eastAsiaTheme="minorEastAsia" w:cstheme="minorEastAsia"/>
          <w:color w:val="auto"/>
          <w:highlight w:val="none"/>
          <w:lang w:eastAsia="zh-CN"/>
        </w:rPr>
      </w:pPr>
    </w:p>
    <w:p w14:paraId="2198D36F">
      <w:pPr>
        <w:pStyle w:val="77"/>
        <w:rPr>
          <w:rFonts w:hint="eastAsia" w:asciiTheme="minorEastAsia" w:hAnsiTheme="minorEastAsia" w:eastAsiaTheme="minorEastAsia" w:cstheme="minorEastAsia"/>
          <w:color w:val="auto"/>
          <w:highlight w:val="none"/>
          <w:lang w:eastAsia="zh-CN"/>
        </w:rPr>
      </w:pPr>
    </w:p>
    <w:p w14:paraId="4F9F6EDD">
      <w:pPr>
        <w:pStyle w:val="77"/>
        <w:ind w:left="0" w:leftChars="0" w:firstLine="0" w:firstLineChars="0"/>
        <w:rPr>
          <w:rFonts w:hint="eastAsia" w:asciiTheme="minorEastAsia" w:hAnsiTheme="minorEastAsia" w:eastAsiaTheme="minorEastAsia" w:cstheme="minorEastAsia"/>
          <w:color w:val="auto"/>
          <w:highlight w:val="none"/>
          <w:lang w:eastAsia="zh-CN"/>
        </w:rPr>
      </w:pPr>
    </w:p>
    <w:sectPr>
      <w:headerReference r:id="rId10" w:type="default"/>
      <w:footerReference r:id="rId11" w:type="default"/>
      <w:type w:val="nextColumn"/>
      <w:pgSz w:w="11907" w:h="16840"/>
      <w:pgMar w:top="1134" w:right="1191" w:bottom="1134" w:left="1304" w:header="964"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9F6AC897-C3ED-416F-916B-42A68A69182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Verdana">
    <w:panose1 w:val="020B0604030504040204"/>
    <w:charset w:val="00"/>
    <w:family w:val="swiss"/>
    <w:pitch w:val="default"/>
    <w:sig w:usb0="A1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黑体"/>
    <w:panose1 w:val="00000000000000000000"/>
    <w:charset w:val="88"/>
    <w:family w:val="decorative"/>
    <w:pitch w:val="default"/>
    <w:sig w:usb0="00000000" w:usb1="00000000" w:usb2="00000010" w:usb3="00000000" w:csb0="00100000" w:csb1="00000000"/>
  </w:font>
  <w:font w:name="方正黑体_GBK">
    <w:altName w:val="微软雅黑"/>
    <w:panose1 w:val="02010600010101010101"/>
    <w:charset w:val="86"/>
    <w:family w:val="script"/>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79FD7">
    <w:pPr>
      <w:pStyle w:val="35"/>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4866D701">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D77C0">
    <w:pPr>
      <w:pStyle w:val="35"/>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605E">
    <w:pPr>
      <w:spacing w:line="176" w:lineRule="auto"/>
      <w:ind w:left="53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A5BF0">
                          <w:pPr>
                            <w:pStyle w:val="3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6A5BF0">
                    <w:pPr>
                      <w:pStyle w:val="3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B1ED">
    <w:pPr>
      <w:pStyle w:val="35"/>
      <w:tabs>
        <w:tab w:val="left" w:pos="1260"/>
      </w:tabs>
      <w:jc w:val="left"/>
      <w:rPr>
        <w:rFonts w:hint="eastAsia" w:ascii="宋体" w:hAnsi="宋体" w:eastAsia="宋体"/>
        <w:sz w:val="21"/>
        <w:szCs w:val="21"/>
        <w:lang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A6A96">
                          <w:pPr>
                            <w:pStyle w:val="3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14A6A96">
                    <w:pPr>
                      <w:pStyle w:val="35"/>
                    </w:pPr>
                    <w:r>
                      <w:fldChar w:fldCharType="begin"/>
                    </w:r>
                    <w:r>
                      <w:instrText xml:space="preserve"> PAGE  \* MERGEFORMAT </w:instrText>
                    </w:r>
                    <w:r>
                      <w:fldChar w:fldCharType="separate"/>
                    </w:r>
                    <w:r>
                      <w:t>30</w:t>
                    </w:r>
                    <w:r>
                      <w:fldChar w:fldCharType="end"/>
                    </w:r>
                  </w:p>
                </w:txbxContent>
              </v:textbox>
            </v:shape>
          </w:pict>
        </mc:Fallback>
      </mc:AlternateContent>
    </w:r>
    <w:r>
      <w:rPr>
        <w:rFonts w:hint="eastAsia"/>
        <w:sz w:val="21"/>
        <w:lang w:eastAsia="zh-CN"/>
      </w:rPr>
      <w:tab/>
    </w:r>
    <w:r>
      <w:rPr>
        <w:rFonts w:hint="eastAsia"/>
        <w:sz w:val="21"/>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3314A">
    <w:pPr>
      <w:pStyle w:val="35"/>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DBFB0">
                          <w:pPr>
                            <w:pStyle w:val="3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C4DBFB0">
                    <w:pPr>
                      <w:pStyle w:val="3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E326">
    <w:pPr>
      <w:pStyle w:val="3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54EFA">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461F4">
    <w:pPr>
      <w:pStyle w:val="3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22CF">
    <w:pPr>
      <w:pStyle w:val="3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pStyle w:val="13"/>
      <w:lvlText w:val="%1."/>
      <w:lvlJc w:val="left"/>
      <w:pPr>
        <w:tabs>
          <w:tab w:val="left" w:pos="780"/>
        </w:tabs>
        <w:ind w:left="780" w:hanging="360"/>
      </w:pPr>
    </w:lvl>
  </w:abstractNum>
  <w:abstractNum w:abstractNumId="1">
    <w:nsid w:val="00000005"/>
    <w:multiLevelType w:val="multilevel"/>
    <w:tmpl w:val="00000005"/>
    <w:lvl w:ilvl="0" w:tentative="0">
      <w:start w:val="1"/>
      <w:numFmt w:val="bullet"/>
      <w:pStyle w:val="209"/>
      <w:lvlText w:val=""/>
      <w:lvlJc w:val="left"/>
      <w:pPr>
        <w:tabs>
          <w:tab w:val="left" w:pos="980"/>
        </w:tabs>
        <w:ind w:left="980" w:hanging="36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2">
    <w:nsid w:val="00000006"/>
    <w:multiLevelType w:val="singleLevel"/>
    <w:tmpl w:val="00000006"/>
    <w:lvl w:ilvl="0" w:tentative="0">
      <w:start w:val="1"/>
      <w:numFmt w:val="bullet"/>
      <w:pStyle w:val="14"/>
      <w:lvlText w:val=""/>
      <w:lvlJc w:val="left"/>
      <w:pPr>
        <w:tabs>
          <w:tab w:val="left" w:pos="1620"/>
        </w:tabs>
        <w:ind w:left="1620" w:hanging="360"/>
      </w:pPr>
      <w:rPr>
        <w:rFonts w:hint="default" w:ascii="Wingdings" w:hAnsi="Wingdings"/>
      </w:rPr>
    </w:lvl>
  </w:abstractNum>
  <w:abstractNum w:abstractNumId="3">
    <w:nsid w:val="00000007"/>
    <w:multiLevelType w:val="multilevel"/>
    <w:tmpl w:val="00000007"/>
    <w:lvl w:ilvl="0" w:tentative="0">
      <w:start w:val="1"/>
      <w:numFmt w:val="bullet"/>
      <w:pStyle w:val="154"/>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chineseCountingThousand"/>
      <w:pStyle w:val="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9"/>
    <w:multiLevelType w:val="multilevel"/>
    <w:tmpl w:val="00000009"/>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0A"/>
    <w:multiLevelType w:val="multilevel"/>
    <w:tmpl w:val="0000000A"/>
    <w:lvl w:ilvl="0" w:tentative="0">
      <w:start w:val="8"/>
      <w:numFmt w:val="decimal"/>
      <w:pStyle w:val="140"/>
      <w:lvlText w:val="%1."/>
      <w:lvlJc w:val="left"/>
      <w:pPr>
        <w:tabs>
          <w:tab w:val="left" w:pos="425"/>
        </w:tabs>
        <w:ind w:left="425" w:hanging="425"/>
      </w:pPr>
      <w:rPr>
        <w:rFonts w:hint="eastAsia"/>
      </w:rPr>
    </w:lvl>
    <w:lvl w:ilvl="1" w:tentative="0">
      <w:start w:val="1"/>
      <w:numFmt w:val="decimal"/>
      <w:lvlText w:val="%1.%2."/>
      <w:lvlJc w:val="left"/>
      <w:pPr>
        <w:tabs>
          <w:tab w:val="left" w:pos="747"/>
        </w:tabs>
        <w:ind w:left="747" w:hanging="567"/>
      </w:pPr>
      <w:rPr>
        <w:rFonts w:hint="eastAsia"/>
      </w:rPr>
    </w:lvl>
    <w:lvl w:ilvl="2" w:tentative="0">
      <w:start w:val="1"/>
      <w:numFmt w:val="decimal"/>
      <w:pStyle w:val="181"/>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12"/>
    <w:multiLevelType w:val="singleLevel"/>
    <w:tmpl w:val="00000012"/>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8">
    <w:nsid w:val="00000013"/>
    <w:multiLevelType w:val="multilevel"/>
    <w:tmpl w:val="00000013"/>
    <w:lvl w:ilvl="0" w:tentative="0">
      <w:start w:val="1"/>
      <w:numFmt w:val="bullet"/>
      <w:pStyle w:val="144"/>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5"/>
    <w:multiLevelType w:val="multilevel"/>
    <w:tmpl w:val="00000015"/>
    <w:lvl w:ilvl="0" w:tentative="0">
      <w:start w:val="1"/>
      <w:numFmt w:val="decimal"/>
      <w:pStyle w:val="136"/>
      <w:lvlText w:val="(%1)"/>
      <w:lvlJc w:val="left"/>
      <w:pPr>
        <w:tabs>
          <w:tab w:val="left" w:pos="397"/>
        </w:tabs>
        <w:ind w:left="397" w:hanging="397"/>
      </w:pPr>
      <w:rPr>
        <w:rFonts w:hint="default" w:ascii="Arial" w:hAnsi="Arial" w:eastAsia="宋体"/>
        <w:b w:val="0"/>
        <w:i w:val="0"/>
        <w:color w:val="auto"/>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6"/>
    <w:multiLevelType w:val="singleLevel"/>
    <w:tmpl w:val="00000016"/>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11">
    <w:nsid w:val="00000017"/>
    <w:multiLevelType w:val="singleLevel"/>
    <w:tmpl w:val="00000017"/>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12">
    <w:nsid w:val="00000019"/>
    <w:multiLevelType w:val="singleLevel"/>
    <w:tmpl w:val="00000019"/>
    <w:lvl w:ilvl="0" w:tentative="0">
      <w:start w:val="1"/>
      <w:numFmt w:val="decimal"/>
      <w:pStyle w:val="166"/>
      <w:lvlText w:val="%1)"/>
      <w:lvlJc w:val="left"/>
      <w:pPr>
        <w:tabs>
          <w:tab w:val="left" w:pos="425"/>
        </w:tabs>
        <w:ind w:left="425" w:hanging="425"/>
      </w:pPr>
      <w:rPr>
        <w:rFonts w:hint="eastAsia"/>
      </w:rPr>
    </w:lvl>
  </w:abstractNum>
  <w:abstractNum w:abstractNumId="13">
    <w:nsid w:val="0000001A"/>
    <w:multiLevelType w:val="multilevel"/>
    <w:tmpl w:val="0000001A"/>
    <w:lvl w:ilvl="0" w:tentative="0">
      <w:start w:val="1"/>
      <w:numFmt w:val="decimal"/>
      <w:pStyle w:val="150"/>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D"/>
    <w:multiLevelType w:val="multilevel"/>
    <w:tmpl w:val="0000001D"/>
    <w:lvl w:ilvl="0" w:tentative="0">
      <w:start w:val="1"/>
      <w:numFmt w:val="chineseCountingThousand"/>
      <w:pStyle w:val="114"/>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0"/>
  </w:num>
  <w:num w:numId="3">
    <w:abstractNumId w:val="2"/>
  </w:num>
  <w:num w:numId="4">
    <w:abstractNumId w:val="11"/>
  </w:num>
  <w:num w:numId="5">
    <w:abstractNumId w:val="7"/>
  </w:num>
  <w:num w:numId="6">
    <w:abstractNumId w:val="14"/>
  </w:num>
  <w:num w:numId="7">
    <w:abstractNumId w:val="5"/>
  </w:num>
  <w:num w:numId="8">
    <w:abstractNumId w:val="10"/>
  </w:num>
  <w:num w:numId="9">
    <w:abstractNumId w:val="9"/>
  </w:num>
  <w:num w:numId="10">
    <w:abstractNumId w:val="6"/>
  </w:num>
  <w:num w:numId="11">
    <w:abstractNumId w:val="8"/>
  </w:num>
  <w:num w:numId="12">
    <w:abstractNumId w:val="13"/>
  </w:num>
  <w:num w:numId="13">
    <w:abstractNumId w:val="3"/>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8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hMzFmYzM5Yjg4ODhiZWVkMzlkOGI5YWE1NzdjNmIifQ=="/>
  </w:docVars>
  <w:rsids>
    <w:rsidRoot w:val="00172A27"/>
    <w:rsid w:val="0000222D"/>
    <w:rsid w:val="00003684"/>
    <w:rsid w:val="000072F0"/>
    <w:rsid w:val="00011AF1"/>
    <w:rsid w:val="000139CA"/>
    <w:rsid w:val="00021946"/>
    <w:rsid w:val="000232F5"/>
    <w:rsid w:val="000266A1"/>
    <w:rsid w:val="0003075E"/>
    <w:rsid w:val="00031F64"/>
    <w:rsid w:val="0003282A"/>
    <w:rsid w:val="00033494"/>
    <w:rsid w:val="00034A67"/>
    <w:rsid w:val="0003767C"/>
    <w:rsid w:val="000376BA"/>
    <w:rsid w:val="00037FAD"/>
    <w:rsid w:val="00042250"/>
    <w:rsid w:val="00043311"/>
    <w:rsid w:val="00047144"/>
    <w:rsid w:val="000477D1"/>
    <w:rsid w:val="00056058"/>
    <w:rsid w:val="00057356"/>
    <w:rsid w:val="00057565"/>
    <w:rsid w:val="00060807"/>
    <w:rsid w:val="00064EA7"/>
    <w:rsid w:val="0006572E"/>
    <w:rsid w:val="00075520"/>
    <w:rsid w:val="00077C89"/>
    <w:rsid w:val="0008272E"/>
    <w:rsid w:val="000908E7"/>
    <w:rsid w:val="0009136B"/>
    <w:rsid w:val="000946BD"/>
    <w:rsid w:val="00094D91"/>
    <w:rsid w:val="0009759E"/>
    <w:rsid w:val="000A2FB3"/>
    <w:rsid w:val="000A3ABD"/>
    <w:rsid w:val="000A5589"/>
    <w:rsid w:val="000A7D62"/>
    <w:rsid w:val="000B2716"/>
    <w:rsid w:val="000B279B"/>
    <w:rsid w:val="000B2953"/>
    <w:rsid w:val="000B4F50"/>
    <w:rsid w:val="000B71EF"/>
    <w:rsid w:val="000B7516"/>
    <w:rsid w:val="000C06D1"/>
    <w:rsid w:val="000C2017"/>
    <w:rsid w:val="000C211D"/>
    <w:rsid w:val="000C2606"/>
    <w:rsid w:val="000C2A90"/>
    <w:rsid w:val="000C47BC"/>
    <w:rsid w:val="000C5334"/>
    <w:rsid w:val="000C7237"/>
    <w:rsid w:val="000C7F1A"/>
    <w:rsid w:val="000D15E3"/>
    <w:rsid w:val="000D1CE8"/>
    <w:rsid w:val="000D568F"/>
    <w:rsid w:val="000E32C9"/>
    <w:rsid w:val="000E43DC"/>
    <w:rsid w:val="000E491B"/>
    <w:rsid w:val="000E52BD"/>
    <w:rsid w:val="000E6331"/>
    <w:rsid w:val="000E7B26"/>
    <w:rsid w:val="000F16AA"/>
    <w:rsid w:val="000F176A"/>
    <w:rsid w:val="000F2213"/>
    <w:rsid w:val="000F30CC"/>
    <w:rsid w:val="000F391C"/>
    <w:rsid w:val="000F482B"/>
    <w:rsid w:val="000F54DE"/>
    <w:rsid w:val="00101981"/>
    <w:rsid w:val="001035DF"/>
    <w:rsid w:val="001103D7"/>
    <w:rsid w:val="00110AA3"/>
    <w:rsid w:val="00111819"/>
    <w:rsid w:val="0011194D"/>
    <w:rsid w:val="001125BF"/>
    <w:rsid w:val="00115115"/>
    <w:rsid w:val="00115565"/>
    <w:rsid w:val="00120F7F"/>
    <w:rsid w:val="00121660"/>
    <w:rsid w:val="00121E47"/>
    <w:rsid w:val="001227CA"/>
    <w:rsid w:val="0012297F"/>
    <w:rsid w:val="00122FAE"/>
    <w:rsid w:val="00124FCD"/>
    <w:rsid w:val="001254D3"/>
    <w:rsid w:val="00125B25"/>
    <w:rsid w:val="00125E3E"/>
    <w:rsid w:val="001329C4"/>
    <w:rsid w:val="00135250"/>
    <w:rsid w:val="0014045A"/>
    <w:rsid w:val="001407F6"/>
    <w:rsid w:val="00140887"/>
    <w:rsid w:val="00144CFC"/>
    <w:rsid w:val="00145284"/>
    <w:rsid w:val="0015271E"/>
    <w:rsid w:val="001528E5"/>
    <w:rsid w:val="00161645"/>
    <w:rsid w:val="00164563"/>
    <w:rsid w:val="00172A27"/>
    <w:rsid w:val="00173AC9"/>
    <w:rsid w:val="001767A8"/>
    <w:rsid w:val="0018194D"/>
    <w:rsid w:val="0018361D"/>
    <w:rsid w:val="00185269"/>
    <w:rsid w:val="001864B0"/>
    <w:rsid w:val="00186A28"/>
    <w:rsid w:val="00187F68"/>
    <w:rsid w:val="0019129E"/>
    <w:rsid w:val="00191EDB"/>
    <w:rsid w:val="00194E17"/>
    <w:rsid w:val="00195FDD"/>
    <w:rsid w:val="001961B5"/>
    <w:rsid w:val="0019721E"/>
    <w:rsid w:val="00197352"/>
    <w:rsid w:val="00197B98"/>
    <w:rsid w:val="001A0940"/>
    <w:rsid w:val="001A11DC"/>
    <w:rsid w:val="001A264C"/>
    <w:rsid w:val="001A648A"/>
    <w:rsid w:val="001B18A7"/>
    <w:rsid w:val="001B4A20"/>
    <w:rsid w:val="001B539D"/>
    <w:rsid w:val="001C08B0"/>
    <w:rsid w:val="001C0EFC"/>
    <w:rsid w:val="001C2080"/>
    <w:rsid w:val="001C4398"/>
    <w:rsid w:val="001C54FE"/>
    <w:rsid w:val="001C6A1E"/>
    <w:rsid w:val="001D3224"/>
    <w:rsid w:val="001D3B7E"/>
    <w:rsid w:val="001D7E51"/>
    <w:rsid w:val="001E00AD"/>
    <w:rsid w:val="001E0A33"/>
    <w:rsid w:val="001E2993"/>
    <w:rsid w:val="001E2F12"/>
    <w:rsid w:val="001E4BE9"/>
    <w:rsid w:val="001E4F32"/>
    <w:rsid w:val="001E5383"/>
    <w:rsid w:val="001E5576"/>
    <w:rsid w:val="001F07F7"/>
    <w:rsid w:val="001F1597"/>
    <w:rsid w:val="001F2CAB"/>
    <w:rsid w:val="001F381D"/>
    <w:rsid w:val="001F4FBB"/>
    <w:rsid w:val="001F6C1F"/>
    <w:rsid w:val="001F707E"/>
    <w:rsid w:val="0020026E"/>
    <w:rsid w:val="00202354"/>
    <w:rsid w:val="002101B3"/>
    <w:rsid w:val="00210FCE"/>
    <w:rsid w:val="00211510"/>
    <w:rsid w:val="00217474"/>
    <w:rsid w:val="00217C0F"/>
    <w:rsid w:val="00220225"/>
    <w:rsid w:val="00223B03"/>
    <w:rsid w:val="0022640C"/>
    <w:rsid w:val="0022711C"/>
    <w:rsid w:val="00227651"/>
    <w:rsid w:val="00230CE6"/>
    <w:rsid w:val="00233AFE"/>
    <w:rsid w:val="0023537E"/>
    <w:rsid w:val="00236A54"/>
    <w:rsid w:val="00236E09"/>
    <w:rsid w:val="00237468"/>
    <w:rsid w:val="00237C42"/>
    <w:rsid w:val="002423C3"/>
    <w:rsid w:val="002435D0"/>
    <w:rsid w:val="00243F8F"/>
    <w:rsid w:val="002474A9"/>
    <w:rsid w:val="00251AB6"/>
    <w:rsid w:val="00251E45"/>
    <w:rsid w:val="00252691"/>
    <w:rsid w:val="00252999"/>
    <w:rsid w:val="0025308A"/>
    <w:rsid w:val="0025530F"/>
    <w:rsid w:val="0025601D"/>
    <w:rsid w:val="00257FF1"/>
    <w:rsid w:val="00261D69"/>
    <w:rsid w:val="00262267"/>
    <w:rsid w:val="00262F6F"/>
    <w:rsid w:val="00263F00"/>
    <w:rsid w:val="00264A68"/>
    <w:rsid w:val="00265244"/>
    <w:rsid w:val="002665A1"/>
    <w:rsid w:val="00266BCA"/>
    <w:rsid w:val="00267EDC"/>
    <w:rsid w:val="00270B2B"/>
    <w:rsid w:val="00275F04"/>
    <w:rsid w:val="0028038E"/>
    <w:rsid w:val="0028066C"/>
    <w:rsid w:val="00281077"/>
    <w:rsid w:val="00282E57"/>
    <w:rsid w:val="002833CF"/>
    <w:rsid w:val="00284574"/>
    <w:rsid w:val="00286D19"/>
    <w:rsid w:val="0029022C"/>
    <w:rsid w:val="002919F0"/>
    <w:rsid w:val="00293471"/>
    <w:rsid w:val="00297B69"/>
    <w:rsid w:val="002A0397"/>
    <w:rsid w:val="002A0576"/>
    <w:rsid w:val="002A3478"/>
    <w:rsid w:val="002A4174"/>
    <w:rsid w:val="002B02CF"/>
    <w:rsid w:val="002B12DD"/>
    <w:rsid w:val="002B1A88"/>
    <w:rsid w:val="002B26F0"/>
    <w:rsid w:val="002B31D4"/>
    <w:rsid w:val="002B6669"/>
    <w:rsid w:val="002C0253"/>
    <w:rsid w:val="002C1FF6"/>
    <w:rsid w:val="002C64CD"/>
    <w:rsid w:val="002C6836"/>
    <w:rsid w:val="002C7F2B"/>
    <w:rsid w:val="002D2F75"/>
    <w:rsid w:val="002E00AC"/>
    <w:rsid w:val="002E0FB6"/>
    <w:rsid w:val="002E1597"/>
    <w:rsid w:val="002E17D8"/>
    <w:rsid w:val="002E2816"/>
    <w:rsid w:val="002E3949"/>
    <w:rsid w:val="002E41DF"/>
    <w:rsid w:val="002E6DFA"/>
    <w:rsid w:val="002F1086"/>
    <w:rsid w:val="002F1557"/>
    <w:rsid w:val="002F35C1"/>
    <w:rsid w:val="002F5EEF"/>
    <w:rsid w:val="003008F8"/>
    <w:rsid w:val="003051FD"/>
    <w:rsid w:val="003055FB"/>
    <w:rsid w:val="00305F51"/>
    <w:rsid w:val="003075D9"/>
    <w:rsid w:val="003078AE"/>
    <w:rsid w:val="003131E0"/>
    <w:rsid w:val="00313530"/>
    <w:rsid w:val="0031481E"/>
    <w:rsid w:val="00316847"/>
    <w:rsid w:val="00316C9A"/>
    <w:rsid w:val="00317BBE"/>
    <w:rsid w:val="0032105F"/>
    <w:rsid w:val="00321104"/>
    <w:rsid w:val="003220FF"/>
    <w:rsid w:val="003228F3"/>
    <w:rsid w:val="003231A8"/>
    <w:rsid w:val="00324A70"/>
    <w:rsid w:val="00324EEF"/>
    <w:rsid w:val="00331597"/>
    <w:rsid w:val="00331AC1"/>
    <w:rsid w:val="003340BB"/>
    <w:rsid w:val="00337B7B"/>
    <w:rsid w:val="003431D8"/>
    <w:rsid w:val="00344FF3"/>
    <w:rsid w:val="00347CE1"/>
    <w:rsid w:val="00350F6A"/>
    <w:rsid w:val="00353630"/>
    <w:rsid w:val="00356617"/>
    <w:rsid w:val="00357DCC"/>
    <w:rsid w:val="00364602"/>
    <w:rsid w:val="003657B2"/>
    <w:rsid w:val="00367EEC"/>
    <w:rsid w:val="00370BF4"/>
    <w:rsid w:val="0037133A"/>
    <w:rsid w:val="0037169E"/>
    <w:rsid w:val="00372DC7"/>
    <w:rsid w:val="00373D11"/>
    <w:rsid w:val="0037479B"/>
    <w:rsid w:val="003754CD"/>
    <w:rsid w:val="00375B89"/>
    <w:rsid w:val="00381AAF"/>
    <w:rsid w:val="00381F76"/>
    <w:rsid w:val="00383322"/>
    <w:rsid w:val="003836F8"/>
    <w:rsid w:val="00383C9F"/>
    <w:rsid w:val="0038467E"/>
    <w:rsid w:val="003846F7"/>
    <w:rsid w:val="00385BDB"/>
    <w:rsid w:val="0038635F"/>
    <w:rsid w:val="00386B26"/>
    <w:rsid w:val="003902F6"/>
    <w:rsid w:val="003968A8"/>
    <w:rsid w:val="003A4636"/>
    <w:rsid w:val="003A4A63"/>
    <w:rsid w:val="003A6A32"/>
    <w:rsid w:val="003A7281"/>
    <w:rsid w:val="003B01D1"/>
    <w:rsid w:val="003B2994"/>
    <w:rsid w:val="003B35D0"/>
    <w:rsid w:val="003C30C4"/>
    <w:rsid w:val="003C3995"/>
    <w:rsid w:val="003D00D2"/>
    <w:rsid w:val="003D0992"/>
    <w:rsid w:val="003D1857"/>
    <w:rsid w:val="003D1F45"/>
    <w:rsid w:val="003D6FF0"/>
    <w:rsid w:val="003D7619"/>
    <w:rsid w:val="003E39B8"/>
    <w:rsid w:val="003E5E95"/>
    <w:rsid w:val="003E61EF"/>
    <w:rsid w:val="003E699F"/>
    <w:rsid w:val="003F0777"/>
    <w:rsid w:val="003F2CFF"/>
    <w:rsid w:val="003F5BC7"/>
    <w:rsid w:val="003F6A6B"/>
    <w:rsid w:val="0040154D"/>
    <w:rsid w:val="0040366C"/>
    <w:rsid w:val="00404747"/>
    <w:rsid w:val="0040799A"/>
    <w:rsid w:val="00410665"/>
    <w:rsid w:val="00410D92"/>
    <w:rsid w:val="00411390"/>
    <w:rsid w:val="00411686"/>
    <w:rsid w:val="00411C41"/>
    <w:rsid w:val="004157DD"/>
    <w:rsid w:val="00415899"/>
    <w:rsid w:val="00420FC9"/>
    <w:rsid w:val="00421FE4"/>
    <w:rsid w:val="00422693"/>
    <w:rsid w:val="00422860"/>
    <w:rsid w:val="00425B08"/>
    <w:rsid w:val="004333D4"/>
    <w:rsid w:val="004344E7"/>
    <w:rsid w:val="00435281"/>
    <w:rsid w:val="004376BB"/>
    <w:rsid w:val="00442474"/>
    <w:rsid w:val="0044361E"/>
    <w:rsid w:val="004437F7"/>
    <w:rsid w:val="0044637A"/>
    <w:rsid w:val="00446B28"/>
    <w:rsid w:val="0045181E"/>
    <w:rsid w:val="00454511"/>
    <w:rsid w:val="004558F5"/>
    <w:rsid w:val="0045590E"/>
    <w:rsid w:val="004610E1"/>
    <w:rsid w:val="00462D63"/>
    <w:rsid w:val="00464052"/>
    <w:rsid w:val="004658C3"/>
    <w:rsid w:val="00466D5A"/>
    <w:rsid w:val="00475385"/>
    <w:rsid w:val="0047562B"/>
    <w:rsid w:val="00476E7D"/>
    <w:rsid w:val="00477B69"/>
    <w:rsid w:val="00480379"/>
    <w:rsid w:val="00481478"/>
    <w:rsid w:val="00482023"/>
    <w:rsid w:val="0048396B"/>
    <w:rsid w:val="00485174"/>
    <w:rsid w:val="00485B6A"/>
    <w:rsid w:val="00486EC6"/>
    <w:rsid w:val="00487CDA"/>
    <w:rsid w:val="00490AF2"/>
    <w:rsid w:val="004915E3"/>
    <w:rsid w:val="00491AED"/>
    <w:rsid w:val="004978F0"/>
    <w:rsid w:val="0049799F"/>
    <w:rsid w:val="004A0052"/>
    <w:rsid w:val="004A2306"/>
    <w:rsid w:val="004A263F"/>
    <w:rsid w:val="004A3E70"/>
    <w:rsid w:val="004B144A"/>
    <w:rsid w:val="004B1497"/>
    <w:rsid w:val="004B159F"/>
    <w:rsid w:val="004B2038"/>
    <w:rsid w:val="004B2831"/>
    <w:rsid w:val="004B69BC"/>
    <w:rsid w:val="004B6CA6"/>
    <w:rsid w:val="004B7FE0"/>
    <w:rsid w:val="004C1FC5"/>
    <w:rsid w:val="004C2193"/>
    <w:rsid w:val="004C278B"/>
    <w:rsid w:val="004C2A6E"/>
    <w:rsid w:val="004C3A16"/>
    <w:rsid w:val="004D009E"/>
    <w:rsid w:val="004D2588"/>
    <w:rsid w:val="004D32AF"/>
    <w:rsid w:val="004D5994"/>
    <w:rsid w:val="004E0781"/>
    <w:rsid w:val="004E1A81"/>
    <w:rsid w:val="004E257E"/>
    <w:rsid w:val="004E2D07"/>
    <w:rsid w:val="004E7B9B"/>
    <w:rsid w:val="004F0D15"/>
    <w:rsid w:val="004F2721"/>
    <w:rsid w:val="004F2BA7"/>
    <w:rsid w:val="004F323B"/>
    <w:rsid w:val="004F6C76"/>
    <w:rsid w:val="004F73CF"/>
    <w:rsid w:val="00500E9B"/>
    <w:rsid w:val="005016D9"/>
    <w:rsid w:val="005017C1"/>
    <w:rsid w:val="00501938"/>
    <w:rsid w:val="0050253D"/>
    <w:rsid w:val="00502629"/>
    <w:rsid w:val="00503149"/>
    <w:rsid w:val="00504ACE"/>
    <w:rsid w:val="005102E2"/>
    <w:rsid w:val="00510FCB"/>
    <w:rsid w:val="00512491"/>
    <w:rsid w:val="00512C2F"/>
    <w:rsid w:val="00513CBD"/>
    <w:rsid w:val="0051425E"/>
    <w:rsid w:val="00515415"/>
    <w:rsid w:val="00517F73"/>
    <w:rsid w:val="00523546"/>
    <w:rsid w:val="0052411B"/>
    <w:rsid w:val="00525E4A"/>
    <w:rsid w:val="00526C0A"/>
    <w:rsid w:val="005310E4"/>
    <w:rsid w:val="0053343F"/>
    <w:rsid w:val="00533F51"/>
    <w:rsid w:val="00536251"/>
    <w:rsid w:val="005375CE"/>
    <w:rsid w:val="005378DE"/>
    <w:rsid w:val="00537C42"/>
    <w:rsid w:val="00541231"/>
    <w:rsid w:val="00543C27"/>
    <w:rsid w:val="00546C36"/>
    <w:rsid w:val="0055311C"/>
    <w:rsid w:val="00556C4B"/>
    <w:rsid w:val="00557AA1"/>
    <w:rsid w:val="00557E63"/>
    <w:rsid w:val="00563C00"/>
    <w:rsid w:val="005645D3"/>
    <w:rsid w:val="005663BA"/>
    <w:rsid w:val="00566CBB"/>
    <w:rsid w:val="005731EA"/>
    <w:rsid w:val="005756F3"/>
    <w:rsid w:val="00575ED9"/>
    <w:rsid w:val="00583A49"/>
    <w:rsid w:val="005870EE"/>
    <w:rsid w:val="00587496"/>
    <w:rsid w:val="005908C3"/>
    <w:rsid w:val="005943B0"/>
    <w:rsid w:val="005952C5"/>
    <w:rsid w:val="005963E8"/>
    <w:rsid w:val="005A18A4"/>
    <w:rsid w:val="005A4766"/>
    <w:rsid w:val="005A56F6"/>
    <w:rsid w:val="005A6846"/>
    <w:rsid w:val="005A7181"/>
    <w:rsid w:val="005A77D2"/>
    <w:rsid w:val="005B1105"/>
    <w:rsid w:val="005B1829"/>
    <w:rsid w:val="005B2466"/>
    <w:rsid w:val="005B2700"/>
    <w:rsid w:val="005B33FF"/>
    <w:rsid w:val="005B47B6"/>
    <w:rsid w:val="005B5D00"/>
    <w:rsid w:val="005C00AC"/>
    <w:rsid w:val="005C4345"/>
    <w:rsid w:val="005C466D"/>
    <w:rsid w:val="005C6486"/>
    <w:rsid w:val="005C789B"/>
    <w:rsid w:val="005D2F52"/>
    <w:rsid w:val="005D4D42"/>
    <w:rsid w:val="005D4E6B"/>
    <w:rsid w:val="005D6AC1"/>
    <w:rsid w:val="005E10AD"/>
    <w:rsid w:val="005E117E"/>
    <w:rsid w:val="005E12B4"/>
    <w:rsid w:val="005E1346"/>
    <w:rsid w:val="005E144F"/>
    <w:rsid w:val="005E150E"/>
    <w:rsid w:val="005E3225"/>
    <w:rsid w:val="005E7B12"/>
    <w:rsid w:val="005F1587"/>
    <w:rsid w:val="005F5262"/>
    <w:rsid w:val="005F65A7"/>
    <w:rsid w:val="00600B39"/>
    <w:rsid w:val="00600DF2"/>
    <w:rsid w:val="00601283"/>
    <w:rsid w:val="006016E0"/>
    <w:rsid w:val="0060469C"/>
    <w:rsid w:val="006048ED"/>
    <w:rsid w:val="00606612"/>
    <w:rsid w:val="006069DE"/>
    <w:rsid w:val="006165CD"/>
    <w:rsid w:val="00616EC6"/>
    <w:rsid w:val="006178FA"/>
    <w:rsid w:val="0062257C"/>
    <w:rsid w:val="00627A96"/>
    <w:rsid w:val="00633632"/>
    <w:rsid w:val="006341BD"/>
    <w:rsid w:val="006347BE"/>
    <w:rsid w:val="00634DCC"/>
    <w:rsid w:val="006356C4"/>
    <w:rsid w:val="00636C1F"/>
    <w:rsid w:val="006412F3"/>
    <w:rsid w:val="00641FD5"/>
    <w:rsid w:val="0064246C"/>
    <w:rsid w:val="0064263E"/>
    <w:rsid w:val="0064298F"/>
    <w:rsid w:val="00642DAF"/>
    <w:rsid w:val="006452D5"/>
    <w:rsid w:val="006456C7"/>
    <w:rsid w:val="0064587D"/>
    <w:rsid w:val="00653FC4"/>
    <w:rsid w:val="00655645"/>
    <w:rsid w:val="006558D7"/>
    <w:rsid w:val="00655CB3"/>
    <w:rsid w:val="00662357"/>
    <w:rsid w:val="00664D6E"/>
    <w:rsid w:val="006661A4"/>
    <w:rsid w:val="0066764A"/>
    <w:rsid w:val="00675735"/>
    <w:rsid w:val="00675E52"/>
    <w:rsid w:val="00676D6D"/>
    <w:rsid w:val="0067799C"/>
    <w:rsid w:val="00680072"/>
    <w:rsid w:val="006800A2"/>
    <w:rsid w:val="00680CC4"/>
    <w:rsid w:val="00680EEC"/>
    <w:rsid w:val="0068128E"/>
    <w:rsid w:val="0068367F"/>
    <w:rsid w:val="00683DDF"/>
    <w:rsid w:val="00687999"/>
    <w:rsid w:val="00692295"/>
    <w:rsid w:val="00696EEA"/>
    <w:rsid w:val="006A052E"/>
    <w:rsid w:val="006A0741"/>
    <w:rsid w:val="006A0B45"/>
    <w:rsid w:val="006A2E67"/>
    <w:rsid w:val="006A3DC1"/>
    <w:rsid w:val="006A5644"/>
    <w:rsid w:val="006A71EB"/>
    <w:rsid w:val="006B1D0E"/>
    <w:rsid w:val="006C2CA6"/>
    <w:rsid w:val="006C32BC"/>
    <w:rsid w:val="006C4663"/>
    <w:rsid w:val="006C4830"/>
    <w:rsid w:val="006C4988"/>
    <w:rsid w:val="006C4D2A"/>
    <w:rsid w:val="006C53C9"/>
    <w:rsid w:val="006C790A"/>
    <w:rsid w:val="006D2E18"/>
    <w:rsid w:val="006D3608"/>
    <w:rsid w:val="006D560A"/>
    <w:rsid w:val="006D7125"/>
    <w:rsid w:val="006E016E"/>
    <w:rsid w:val="006E11B4"/>
    <w:rsid w:val="006E1550"/>
    <w:rsid w:val="006E2F2B"/>
    <w:rsid w:val="006E54AA"/>
    <w:rsid w:val="006F1A60"/>
    <w:rsid w:val="006F2F80"/>
    <w:rsid w:val="006F7B0F"/>
    <w:rsid w:val="00701C96"/>
    <w:rsid w:val="00701E8B"/>
    <w:rsid w:val="00704DC4"/>
    <w:rsid w:val="007070E3"/>
    <w:rsid w:val="007101F0"/>
    <w:rsid w:val="00711349"/>
    <w:rsid w:val="00714F15"/>
    <w:rsid w:val="007201FE"/>
    <w:rsid w:val="00721A8E"/>
    <w:rsid w:val="00726CCC"/>
    <w:rsid w:val="00727554"/>
    <w:rsid w:val="007306D2"/>
    <w:rsid w:val="00730AB1"/>
    <w:rsid w:val="00731E6E"/>
    <w:rsid w:val="0073357F"/>
    <w:rsid w:val="00733B6B"/>
    <w:rsid w:val="00735BA5"/>
    <w:rsid w:val="007430D5"/>
    <w:rsid w:val="007440E6"/>
    <w:rsid w:val="007445DB"/>
    <w:rsid w:val="00746361"/>
    <w:rsid w:val="00751B58"/>
    <w:rsid w:val="007570BB"/>
    <w:rsid w:val="00757139"/>
    <w:rsid w:val="00757B02"/>
    <w:rsid w:val="007613AA"/>
    <w:rsid w:val="0076140A"/>
    <w:rsid w:val="007615A8"/>
    <w:rsid w:val="00761E7F"/>
    <w:rsid w:val="007629D1"/>
    <w:rsid w:val="007641FC"/>
    <w:rsid w:val="0077350A"/>
    <w:rsid w:val="0077586D"/>
    <w:rsid w:val="00781400"/>
    <w:rsid w:val="00781E90"/>
    <w:rsid w:val="007842E8"/>
    <w:rsid w:val="007843B7"/>
    <w:rsid w:val="007849C7"/>
    <w:rsid w:val="007856C6"/>
    <w:rsid w:val="007859FF"/>
    <w:rsid w:val="0079150F"/>
    <w:rsid w:val="007916F0"/>
    <w:rsid w:val="00793B9D"/>
    <w:rsid w:val="007953B5"/>
    <w:rsid w:val="00795641"/>
    <w:rsid w:val="00795A90"/>
    <w:rsid w:val="007977A7"/>
    <w:rsid w:val="007A1958"/>
    <w:rsid w:val="007A1D16"/>
    <w:rsid w:val="007A4884"/>
    <w:rsid w:val="007A4D8F"/>
    <w:rsid w:val="007A7855"/>
    <w:rsid w:val="007B08DC"/>
    <w:rsid w:val="007B12C5"/>
    <w:rsid w:val="007B346A"/>
    <w:rsid w:val="007B6CDF"/>
    <w:rsid w:val="007C15B0"/>
    <w:rsid w:val="007C2699"/>
    <w:rsid w:val="007C7FA8"/>
    <w:rsid w:val="007D0A31"/>
    <w:rsid w:val="007D5328"/>
    <w:rsid w:val="007E0353"/>
    <w:rsid w:val="007E0FF7"/>
    <w:rsid w:val="007E2F17"/>
    <w:rsid w:val="007E34AB"/>
    <w:rsid w:val="007E7604"/>
    <w:rsid w:val="007F13DC"/>
    <w:rsid w:val="007F396F"/>
    <w:rsid w:val="007F3ED7"/>
    <w:rsid w:val="007F4318"/>
    <w:rsid w:val="007F5D9A"/>
    <w:rsid w:val="00800A7E"/>
    <w:rsid w:val="00803C27"/>
    <w:rsid w:val="00805E84"/>
    <w:rsid w:val="00806E3E"/>
    <w:rsid w:val="00810596"/>
    <w:rsid w:val="00810E4A"/>
    <w:rsid w:val="00813DCB"/>
    <w:rsid w:val="0081529E"/>
    <w:rsid w:val="008178D5"/>
    <w:rsid w:val="00823323"/>
    <w:rsid w:val="00824EEF"/>
    <w:rsid w:val="00825E3B"/>
    <w:rsid w:val="0082654D"/>
    <w:rsid w:val="00830B2D"/>
    <w:rsid w:val="00830EE4"/>
    <w:rsid w:val="00831A50"/>
    <w:rsid w:val="00831D38"/>
    <w:rsid w:val="00831DEF"/>
    <w:rsid w:val="00832498"/>
    <w:rsid w:val="00836907"/>
    <w:rsid w:val="00837572"/>
    <w:rsid w:val="00841A10"/>
    <w:rsid w:val="0084235F"/>
    <w:rsid w:val="00843954"/>
    <w:rsid w:val="00846749"/>
    <w:rsid w:val="00846FC1"/>
    <w:rsid w:val="008471DF"/>
    <w:rsid w:val="00847436"/>
    <w:rsid w:val="008478C8"/>
    <w:rsid w:val="00850495"/>
    <w:rsid w:val="0085174E"/>
    <w:rsid w:val="00851796"/>
    <w:rsid w:val="00852CCF"/>
    <w:rsid w:val="0085341E"/>
    <w:rsid w:val="00860B96"/>
    <w:rsid w:val="00860FA0"/>
    <w:rsid w:val="00865EDF"/>
    <w:rsid w:val="00867FDE"/>
    <w:rsid w:val="00872CE0"/>
    <w:rsid w:val="008805E7"/>
    <w:rsid w:val="00882D14"/>
    <w:rsid w:val="00884834"/>
    <w:rsid w:val="00885CBF"/>
    <w:rsid w:val="00887EA4"/>
    <w:rsid w:val="00887F44"/>
    <w:rsid w:val="00890905"/>
    <w:rsid w:val="008922A1"/>
    <w:rsid w:val="0089374B"/>
    <w:rsid w:val="008A056B"/>
    <w:rsid w:val="008A0CEB"/>
    <w:rsid w:val="008A1349"/>
    <w:rsid w:val="008A6DB1"/>
    <w:rsid w:val="008C0317"/>
    <w:rsid w:val="008C4238"/>
    <w:rsid w:val="008C54D0"/>
    <w:rsid w:val="008C5917"/>
    <w:rsid w:val="008D29B0"/>
    <w:rsid w:val="008D2FB6"/>
    <w:rsid w:val="008D4BC1"/>
    <w:rsid w:val="008D5D99"/>
    <w:rsid w:val="008E19F1"/>
    <w:rsid w:val="008E4A4A"/>
    <w:rsid w:val="008E5FD0"/>
    <w:rsid w:val="008F0CB3"/>
    <w:rsid w:val="008F10AC"/>
    <w:rsid w:val="008F38EA"/>
    <w:rsid w:val="008F6849"/>
    <w:rsid w:val="008F6B0B"/>
    <w:rsid w:val="008F7FC7"/>
    <w:rsid w:val="0090086A"/>
    <w:rsid w:val="0090406B"/>
    <w:rsid w:val="009060B1"/>
    <w:rsid w:val="00906A06"/>
    <w:rsid w:val="00906CF9"/>
    <w:rsid w:val="00907D95"/>
    <w:rsid w:val="009111F7"/>
    <w:rsid w:val="00914050"/>
    <w:rsid w:val="00915F0F"/>
    <w:rsid w:val="009162DC"/>
    <w:rsid w:val="009170B2"/>
    <w:rsid w:val="00917A39"/>
    <w:rsid w:val="0092098F"/>
    <w:rsid w:val="00923C4C"/>
    <w:rsid w:val="00926208"/>
    <w:rsid w:val="0092759C"/>
    <w:rsid w:val="00927881"/>
    <w:rsid w:val="00932194"/>
    <w:rsid w:val="00932299"/>
    <w:rsid w:val="00935773"/>
    <w:rsid w:val="00937DD4"/>
    <w:rsid w:val="0094262A"/>
    <w:rsid w:val="00942E09"/>
    <w:rsid w:val="009431CE"/>
    <w:rsid w:val="00946D18"/>
    <w:rsid w:val="00946ECC"/>
    <w:rsid w:val="0094736A"/>
    <w:rsid w:val="00947BBF"/>
    <w:rsid w:val="00952A37"/>
    <w:rsid w:val="00953375"/>
    <w:rsid w:val="0095360A"/>
    <w:rsid w:val="00954627"/>
    <w:rsid w:val="00955FF1"/>
    <w:rsid w:val="0096296D"/>
    <w:rsid w:val="00962C9F"/>
    <w:rsid w:val="00964F91"/>
    <w:rsid w:val="00965D3C"/>
    <w:rsid w:val="009704E8"/>
    <w:rsid w:val="00972165"/>
    <w:rsid w:val="0097237A"/>
    <w:rsid w:val="00977025"/>
    <w:rsid w:val="00977404"/>
    <w:rsid w:val="00977EA2"/>
    <w:rsid w:val="009815D1"/>
    <w:rsid w:val="009847F2"/>
    <w:rsid w:val="00986FC8"/>
    <w:rsid w:val="0099180F"/>
    <w:rsid w:val="00991EEB"/>
    <w:rsid w:val="0099205D"/>
    <w:rsid w:val="009925D3"/>
    <w:rsid w:val="009931BD"/>
    <w:rsid w:val="0099391B"/>
    <w:rsid w:val="00993E75"/>
    <w:rsid w:val="009961AF"/>
    <w:rsid w:val="00997ED7"/>
    <w:rsid w:val="009A19B4"/>
    <w:rsid w:val="009A2F0C"/>
    <w:rsid w:val="009A559F"/>
    <w:rsid w:val="009A5995"/>
    <w:rsid w:val="009B01ED"/>
    <w:rsid w:val="009B075D"/>
    <w:rsid w:val="009B45E1"/>
    <w:rsid w:val="009B7144"/>
    <w:rsid w:val="009C254E"/>
    <w:rsid w:val="009C33FD"/>
    <w:rsid w:val="009C3582"/>
    <w:rsid w:val="009C6566"/>
    <w:rsid w:val="009C7E05"/>
    <w:rsid w:val="009D2DB8"/>
    <w:rsid w:val="009D3468"/>
    <w:rsid w:val="009D3B7C"/>
    <w:rsid w:val="009D3E23"/>
    <w:rsid w:val="009E310B"/>
    <w:rsid w:val="009E6755"/>
    <w:rsid w:val="009E7274"/>
    <w:rsid w:val="009F0877"/>
    <w:rsid w:val="009F0EF5"/>
    <w:rsid w:val="009F2029"/>
    <w:rsid w:val="009F2E9F"/>
    <w:rsid w:val="009F3F85"/>
    <w:rsid w:val="00A05776"/>
    <w:rsid w:val="00A10C2E"/>
    <w:rsid w:val="00A11F85"/>
    <w:rsid w:val="00A216BD"/>
    <w:rsid w:val="00A22FA7"/>
    <w:rsid w:val="00A23CA7"/>
    <w:rsid w:val="00A25D6E"/>
    <w:rsid w:val="00A2600F"/>
    <w:rsid w:val="00A26C9F"/>
    <w:rsid w:val="00A317F2"/>
    <w:rsid w:val="00A331D1"/>
    <w:rsid w:val="00A33344"/>
    <w:rsid w:val="00A336ED"/>
    <w:rsid w:val="00A33DAC"/>
    <w:rsid w:val="00A348D5"/>
    <w:rsid w:val="00A34F03"/>
    <w:rsid w:val="00A36EAF"/>
    <w:rsid w:val="00A42D9F"/>
    <w:rsid w:val="00A43B02"/>
    <w:rsid w:val="00A43BFA"/>
    <w:rsid w:val="00A44532"/>
    <w:rsid w:val="00A52466"/>
    <w:rsid w:val="00A52485"/>
    <w:rsid w:val="00A52858"/>
    <w:rsid w:val="00A55886"/>
    <w:rsid w:val="00A64025"/>
    <w:rsid w:val="00A64C89"/>
    <w:rsid w:val="00A70CFF"/>
    <w:rsid w:val="00A7491D"/>
    <w:rsid w:val="00A74A1A"/>
    <w:rsid w:val="00A7593E"/>
    <w:rsid w:val="00A80C44"/>
    <w:rsid w:val="00A82E6F"/>
    <w:rsid w:val="00A84CC4"/>
    <w:rsid w:val="00A85534"/>
    <w:rsid w:val="00A85AFE"/>
    <w:rsid w:val="00A87965"/>
    <w:rsid w:val="00A9187C"/>
    <w:rsid w:val="00A926AD"/>
    <w:rsid w:val="00A96FAC"/>
    <w:rsid w:val="00A97379"/>
    <w:rsid w:val="00A974D4"/>
    <w:rsid w:val="00AA135C"/>
    <w:rsid w:val="00AA1511"/>
    <w:rsid w:val="00AA178F"/>
    <w:rsid w:val="00AA29D5"/>
    <w:rsid w:val="00AA3559"/>
    <w:rsid w:val="00AA3A39"/>
    <w:rsid w:val="00AA3DB5"/>
    <w:rsid w:val="00AA3EA9"/>
    <w:rsid w:val="00AA5FAE"/>
    <w:rsid w:val="00AB2CBD"/>
    <w:rsid w:val="00AB3539"/>
    <w:rsid w:val="00AB43B6"/>
    <w:rsid w:val="00AB49FE"/>
    <w:rsid w:val="00AB5BF1"/>
    <w:rsid w:val="00AB65A4"/>
    <w:rsid w:val="00AB6BE9"/>
    <w:rsid w:val="00AC0D4B"/>
    <w:rsid w:val="00AC34CB"/>
    <w:rsid w:val="00AC5DAD"/>
    <w:rsid w:val="00AC76E8"/>
    <w:rsid w:val="00AC7E13"/>
    <w:rsid w:val="00AD0665"/>
    <w:rsid w:val="00AD13BD"/>
    <w:rsid w:val="00AD345E"/>
    <w:rsid w:val="00AD5E85"/>
    <w:rsid w:val="00AE317A"/>
    <w:rsid w:val="00AE58B3"/>
    <w:rsid w:val="00AE6171"/>
    <w:rsid w:val="00AE66C3"/>
    <w:rsid w:val="00AE6D6B"/>
    <w:rsid w:val="00AE7E8A"/>
    <w:rsid w:val="00AF0317"/>
    <w:rsid w:val="00AF0EB0"/>
    <w:rsid w:val="00AF2AB1"/>
    <w:rsid w:val="00AF34DE"/>
    <w:rsid w:val="00AF3ADA"/>
    <w:rsid w:val="00AF54C3"/>
    <w:rsid w:val="00B0025D"/>
    <w:rsid w:val="00B00575"/>
    <w:rsid w:val="00B005FA"/>
    <w:rsid w:val="00B00DDD"/>
    <w:rsid w:val="00B018AA"/>
    <w:rsid w:val="00B01DC4"/>
    <w:rsid w:val="00B03427"/>
    <w:rsid w:val="00B06041"/>
    <w:rsid w:val="00B10447"/>
    <w:rsid w:val="00B1086D"/>
    <w:rsid w:val="00B124CC"/>
    <w:rsid w:val="00B14D67"/>
    <w:rsid w:val="00B15523"/>
    <w:rsid w:val="00B15773"/>
    <w:rsid w:val="00B20D2D"/>
    <w:rsid w:val="00B20DE3"/>
    <w:rsid w:val="00B31094"/>
    <w:rsid w:val="00B332F8"/>
    <w:rsid w:val="00B40E48"/>
    <w:rsid w:val="00B44B63"/>
    <w:rsid w:val="00B4651A"/>
    <w:rsid w:val="00B46AE5"/>
    <w:rsid w:val="00B47211"/>
    <w:rsid w:val="00B477F3"/>
    <w:rsid w:val="00B479A2"/>
    <w:rsid w:val="00B47EE6"/>
    <w:rsid w:val="00B50125"/>
    <w:rsid w:val="00B54C95"/>
    <w:rsid w:val="00B560A9"/>
    <w:rsid w:val="00B561EA"/>
    <w:rsid w:val="00B57186"/>
    <w:rsid w:val="00B5734D"/>
    <w:rsid w:val="00B61D5E"/>
    <w:rsid w:val="00B6252D"/>
    <w:rsid w:val="00B649BC"/>
    <w:rsid w:val="00B66F07"/>
    <w:rsid w:val="00B70BAA"/>
    <w:rsid w:val="00B7368D"/>
    <w:rsid w:val="00B744BA"/>
    <w:rsid w:val="00B74E30"/>
    <w:rsid w:val="00B81046"/>
    <w:rsid w:val="00B82429"/>
    <w:rsid w:val="00B82C14"/>
    <w:rsid w:val="00B83E7A"/>
    <w:rsid w:val="00B859EF"/>
    <w:rsid w:val="00B86553"/>
    <w:rsid w:val="00B9347F"/>
    <w:rsid w:val="00B935EF"/>
    <w:rsid w:val="00B94DDB"/>
    <w:rsid w:val="00B95CBD"/>
    <w:rsid w:val="00B964E1"/>
    <w:rsid w:val="00B966B5"/>
    <w:rsid w:val="00BA0493"/>
    <w:rsid w:val="00BA2364"/>
    <w:rsid w:val="00BA23A2"/>
    <w:rsid w:val="00BA33A9"/>
    <w:rsid w:val="00BA3864"/>
    <w:rsid w:val="00BA4C26"/>
    <w:rsid w:val="00BA4E65"/>
    <w:rsid w:val="00BB1C92"/>
    <w:rsid w:val="00BB33E0"/>
    <w:rsid w:val="00BB6C12"/>
    <w:rsid w:val="00BB7EE0"/>
    <w:rsid w:val="00BC1F99"/>
    <w:rsid w:val="00BC1FA6"/>
    <w:rsid w:val="00BC4027"/>
    <w:rsid w:val="00BC4871"/>
    <w:rsid w:val="00BC4D5D"/>
    <w:rsid w:val="00BC6E56"/>
    <w:rsid w:val="00BC7CD5"/>
    <w:rsid w:val="00BD5761"/>
    <w:rsid w:val="00BD6D76"/>
    <w:rsid w:val="00BD7D77"/>
    <w:rsid w:val="00BE1321"/>
    <w:rsid w:val="00BE200A"/>
    <w:rsid w:val="00BE4B8F"/>
    <w:rsid w:val="00BE5CA2"/>
    <w:rsid w:val="00BF16D0"/>
    <w:rsid w:val="00BF312A"/>
    <w:rsid w:val="00BF391A"/>
    <w:rsid w:val="00BF4212"/>
    <w:rsid w:val="00BF4C43"/>
    <w:rsid w:val="00BF4DA0"/>
    <w:rsid w:val="00C06066"/>
    <w:rsid w:val="00C10BC3"/>
    <w:rsid w:val="00C11DF3"/>
    <w:rsid w:val="00C11EC1"/>
    <w:rsid w:val="00C15C6F"/>
    <w:rsid w:val="00C165A1"/>
    <w:rsid w:val="00C20A2F"/>
    <w:rsid w:val="00C20AF1"/>
    <w:rsid w:val="00C22FB5"/>
    <w:rsid w:val="00C23C59"/>
    <w:rsid w:val="00C2583F"/>
    <w:rsid w:val="00C25DFE"/>
    <w:rsid w:val="00C305F1"/>
    <w:rsid w:val="00C33173"/>
    <w:rsid w:val="00C33D5D"/>
    <w:rsid w:val="00C35F43"/>
    <w:rsid w:val="00C36A2F"/>
    <w:rsid w:val="00C36A5C"/>
    <w:rsid w:val="00C423BA"/>
    <w:rsid w:val="00C4289D"/>
    <w:rsid w:val="00C45ACD"/>
    <w:rsid w:val="00C50D1D"/>
    <w:rsid w:val="00C52BFC"/>
    <w:rsid w:val="00C53C69"/>
    <w:rsid w:val="00C54522"/>
    <w:rsid w:val="00C558E6"/>
    <w:rsid w:val="00C567BC"/>
    <w:rsid w:val="00C56A16"/>
    <w:rsid w:val="00C56F90"/>
    <w:rsid w:val="00C62071"/>
    <w:rsid w:val="00C62A1C"/>
    <w:rsid w:val="00C6671D"/>
    <w:rsid w:val="00C71166"/>
    <w:rsid w:val="00C71788"/>
    <w:rsid w:val="00C73510"/>
    <w:rsid w:val="00C74BE1"/>
    <w:rsid w:val="00C74BE4"/>
    <w:rsid w:val="00C75E3A"/>
    <w:rsid w:val="00C76777"/>
    <w:rsid w:val="00C778A3"/>
    <w:rsid w:val="00C7796A"/>
    <w:rsid w:val="00C815BF"/>
    <w:rsid w:val="00C826B3"/>
    <w:rsid w:val="00C83DBD"/>
    <w:rsid w:val="00C922B8"/>
    <w:rsid w:val="00C9307C"/>
    <w:rsid w:val="00C95622"/>
    <w:rsid w:val="00C95C6A"/>
    <w:rsid w:val="00C96695"/>
    <w:rsid w:val="00C96F69"/>
    <w:rsid w:val="00C972A0"/>
    <w:rsid w:val="00CA0384"/>
    <w:rsid w:val="00CA1E5E"/>
    <w:rsid w:val="00CA2BDE"/>
    <w:rsid w:val="00CA35F2"/>
    <w:rsid w:val="00CA3EC9"/>
    <w:rsid w:val="00CA4768"/>
    <w:rsid w:val="00CB0517"/>
    <w:rsid w:val="00CB1B17"/>
    <w:rsid w:val="00CB2295"/>
    <w:rsid w:val="00CB6218"/>
    <w:rsid w:val="00CC658E"/>
    <w:rsid w:val="00CD07B0"/>
    <w:rsid w:val="00CD0F11"/>
    <w:rsid w:val="00CD4831"/>
    <w:rsid w:val="00CD5E38"/>
    <w:rsid w:val="00CD77FD"/>
    <w:rsid w:val="00CE03A4"/>
    <w:rsid w:val="00CE0795"/>
    <w:rsid w:val="00CE2ECE"/>
    <w:rsid w:val="00CE69EB"/>
    <w:rsid w:val="00CE6A29"/>
    <w:rsid w:val="00CE7EBD"/>
    <w:rsid w:val="00CF1CD6"/>
    <w:rsid w:val="00CF468F"/>
    <w:rsid w:val="00CF7D09"/>
    <w:rsid w:val="00D00074"/>
    <w:rsid w:val="00D004DE"/>
    <w:rsid w:val="00D054B6"/>
    <w:rsid w:val="00D066E4"/>
    <w:rsid w:val="00D104E4"/>
    <w:rsid w:val="00D107E3"/>
    <w:rsid w:val="00D137E4"/>
    <w:rsid w:val="00D175E6"/>
    <w:rsid w:val="00D23720"/>
    <w:rsid w:val="00D2387A"/>
    <w:rsid w:val="00D31052"/>
    <w:rsid w:val="00D3144D"/>
    <w:rsid w:val="00D32C5F"/>
    <w:rsid w:val="00D32E09"/>
    <w:rsid w:val="00D33903"/>
    <w:rsid w:val="00D33981"/>
    <w:rsid w:val="00D40ED4"/>
    <w:rsid w:val="00D47599"/>
    <w:rsid w:val="00D50BA1"/>
    <w:rsid w:val="00D521D5"/>
    <w:rsid w:val="00D52469"/>
    <w:rsid w:val="00D532B0"/>
    <w:rsid w:val="00D5598F"/>
    <w:rsid w:val="00D56691"/>
    <w:rsid w:val="00D61D7B"/>
    <w:rsid w:val="00D629C4"/>
    <w:rsid w:val="00D70362"/>
    <w:rsid w:val="00D72A76"/>
    <w:rsid w:val="00D75720"/>
    <w:rsid w:val="00D771DD"/>
    <w:rsid w:val="00D805F6"/>
    <w:rsid w:val="00D81485"/>
    <w:rsid w:val="00D84383"/>
    <w:rsid w:val="00D93E8A"/>
    <w:rsid w:val="00D95EF5"/>
    <w:rsid w:val="00D96D4D"/>
    <w:rsid w:val="00D9797E"/>
    <w:rsid w:val="00DA233F"/>
    <w:rsid w:val="00DA255D"/>
    <w:rsid w:val="00DA46EA"/>
    <w:rsid w:val="00DA473D"/>
    <w:rsid w:val="00DA5311"/>
    <w:rsid w:val="00DA5EE0"/>
    <w:rsid w:val="00DA65E8"/>
    <w:rsid w:val="00DA7321"/>
    <w:rsid w:val="00DA76AA"/>
    <w:rsid w:val="00DA7BD8"/>
    <w:rsid w:val="00DB120C"/>
    <w:rsid w:val="00DB142F"/>
    <w:rsid w:val="00DB1DD6"/>
    <w:rsid w:val="00DB361F"/>
    <w:rsid w:val="00DB3662"/>
    <w:rsid w:val="00DB3F12"/>
    <w:rsid w:val="00DB4665"/>
    <w:rsid w:val="00DB5171"/>
    <w:rsid w:val="00DB54D4"/>
    <w:rsid w:val="00DB5600"/>
    <w:rsid w:val="00DB6F55"/>
    <w:rsid w:val="00DB7DF8"/>
    <w:rsid w:val="00DC1575"/>
    <w:rsid w:val="00DC16CA"/>
    <w:rsid w:val="00DC406F"/>
    <w:rsid w:val="00DC663A"/>
    <w:rsid w:val="00DC6F45"/>
    <w:rsid w:val="00DD0496"/>
    <w:rsid w:val="00DD10E8"/>
    <w:rsid w:val="00DD16EF"/>
    <w:rsid w:val="00DD3DE2"/>
    <w:rsid w:val="00DD58E5"/>
    <w:rsid w:val="00DE144F"/>
    <w:rsid w:val="00DE4196"/>
    <w:rsid w:val="00DE4E0A"/>
    <w:rsid w:val="00DE4F1C"/>
    <w:rsid w:val="00DE63D8"/>
    <w:rsid w:val="00DF1F97"/>
    <w:rsid w:val="00DF461B"/>
    <w:rsid w:val="00E0288B"/>
    <w:rsid w:val="00E0374D"/>
    <w:rsid w:val="00E03A0F"/>
    <w:rsid w:val="00E059BE"/>
    <w:rsid w:val="00E070B4"/>
    <w:rsid w:val="00E12C8D"/>
    <w:rsid w:val="00E15AE5"/>
    <w:rsid w:val="00E209E7"/>
    <w:rsid w:val="00E24264"/>
    <w:rsid w:val="00E25FA1"/>
    <w:rsid w:val="00E26D12"/>
    <w:rsid w:val="00E306E5"/>
    <w:rsid w:val="00E30B66"/>
    <w:rsid w:val="00E325DF"/>
    <w:rsid w:val="00E339AA"/>
    <w:rsid w:val="00E34FF3"/>
    <w:rsid w:val="00E35EB0"/>
    <w:rsid w:val="00E3738C"/>
    <w:rsid w:val="00E3751D"/>
    <w:rsid w:val="00E3776E"/>
    <w:rsid w:val="00E37AF0"/>
    <w:rsid w:val="00E44AC1"/>
    <w:rsid w:val="00E4796E"/>
    <w:rsid w:val="00E5347A"/>
    <w:rsid w:val="00E53A4C"/>
    <w:rsid w:val="00E53BC6"/>
    <w:rsid w:val="00E54008"/>
    <w:rsid w:val="00E5556A"/>
    <w:rsid w:val="00E6047F"/>
    <w:rsid w:val="00E60B6E"/>
    <w:rsid w:val="00E61A19"/>
    <w:rsid w:val="00E61E33"/>
    <w:rsid w:val="00E626F9"/>
    <w:rsid w:val="00E65143"/>
    <w:rsid w:val="00E663A1"/>
    <w:rsid w:val="00E74456"/>
    <w:rsid w:val="00E81948"/>
    <w:rsid w:val="00E81991"/>
    <w:rsid w:val="00E82AAD"/>
    <w:rsid w:val="00E835B7"/>
    <w:rsid w:val="00E8452C"/>
    <w:rsid w:val="00E91361"/>
    <w:rsid w:val="00E919FA"/>
    <w:rsid w:val="00E92712"/>
    <w:rsid w:val="00E92802"/>
    <w:rsid w:val="00E93790"/>
    <w:rsid w:val="00E952C0"/>
    <w:rsid w:val="00E9551F"/>
    <w:rsid w:val="00EA0998"/>
    <w:rsid w:val="00EA09A7"/>
    <w:rsid w:val="00EA229F"/>
    <w:rsid w:val="00EA5253"/>
    <w:rsid w:val="00EA7670"/>
    <w:rsid w:val="00EB0239"/>
    <w:rsid w:val="00EB0DCB"/>
    <w:rsid w:val="00EB4F06"/>
    <w:rsid w:val="00EB5698"/>
    <w:rsid w:val="00EB640D"/>
    <w:rsid w:val="00EB6C2D"/>
    <w:rsid w:val="00EC272E"/>
    <w:rsid w:val="00EC53CC"/>
    <w:rsid w:val="00EC6822"/>
    <w:rsid w:val="00ED4926"/>
    <w:rsid w:val="00ED4DE3"/>
    <w:rsid w:val="00ED516D"/>
    <w:rsid w:val="00ED51FD"/>
    <w:rsid w:val="00EE4B26"/>
    <w:rsid w:val="00EE50D3"/>
    <w:rsid w:val="00EE569C"/>
    <w:rsid w:val="00EE6FB0"/>
    <w:rsid w:val="00EE719A"/>
    <w:rsid w:val="00EF1FD9"/>
    <w:rsid w:val="00EF2B12"/>
    <w:rsid w:val="00EF7D65"/>
    <w:rsid w:val="00F008C9"/>
    <w:rsid w:val="00F028F2"/>
    <w:rsid w:val="00F02FD9"/>
    <w:rsid w:val="00F03B5D"/>
    <w:rsid w:val="00F05F9A"/>
    <w:rsid w:val="00F06FCC"/>
    <w:rsid w:val="00F07AB9"/>
    <w:rsid w:val="00F1115C"/>
    <w:rsid w:val="00F11682"/>
    <w:rsid w:val="00F121EA"/>
    <w:rsid w:val="00F13887"/>
    <w:rsid w:val="00F15581"/>
    <w:rsid w:val="00F15A69"/>
    <w:rsid w:val="00F15DD7"/>
    <w:rsid w:val="00F16232"/>
    <w:rsid w:val="00F170A4"/>
    <w:rsid w:val="00F24401"/>
    <w:rsid w:val="00F277B7"/>
    <w:rsid w:val="00F30D73"/>
    <w:rsid w:val="00F311D0"/>
    <w:rsid w:val="00F32D08"/>
    <w:rsid w:val="00F32D45"/>
    <w:rsid w:val="00F3718A"/>
    <w:rsid w:val="00F40CE1"/>
    <w:rsid w:val="00F419E7"/>
    <w:rsid w:val="00F47D12"/>
    <w:rsid w:val="00F5045C"/>
    <w:rsid w:val="00F5092F"/>
    <w:rsid w:val="00F52093"/>
    <w:rsid w:val="00F53286"/>
    <w:rsid w:val="00F53425"/>
    <w:rsid w:val="00F5378F"/>
    <w:rsid w:val="00F54177"/>
    <w:rsid w:val="00F553F2"/>
    <w:rsid w:val="00F626E3"/>
    <w:rsid w:val="00F65063"/>
    <w:rsid w:val="00F70285"/>
    <w:rsid w:val="00F70963"/>
    <w:rsid w:val="00F71A3D"/>
    <w:rsid w:val="00F753A8"/>
    <w:rsid w:val="00F76576"/>
    <w:rsid w:val="00F76CFF"/>
    <w:rsid w:val="00F76D1C"/>
    <w:rsid w:val="00F7735B"/>
    <w:rsid w:val="00F830A4"/>
    <w:rsid w:val="00F848A8"/>
    <w:rsid w:val="00F8738A"/>
    <w:rsid w:val="00F923B8"/>
    <w:rsid w:val="00FA3477"/>
    <w:rsid w:val="00FA422E"/>
    <w:rsid w:val="00FA63C9"/>
    <w:rsid w:val="00FA65AC"/>
    <w:rsid w:val="00FA72B1"/>
    <w:rsid w:val="00FB02D0"/>
    <w:rsid w:val="00FB26B3"/>
    <w:rsid w:val="00FB501D"/>
    <w:rsid w:val="00FB626A"/>
    <w:rsid w:val="00FB72A8"/>
    <w:rsid w:val="00FB7965"/>
    <w:rsid w:val="00FC059C"/>
    <w:rsid w:val="00FC10F7"/>
    <w:rsid w:val="00FC21FA"/>
    <w:rsid w:val="00FC6A7B"/>
    <w:rsid w:val="00FD07BB"/>
    <w:rsid w:val="00FD5C43"/>
    <w:rsid w:val="00FD5F25"/>
    <w:rsid w:val="00FD666D"/>
    <w:rsid w:val="00FE21C0"/>
    <w:rsid w:val="00FF19E5"/>
    <w:rsid w:val="00FF2D68"/>
    <w:rsid w:val="00FF4EB9"/>
    <w:rsid w:val="00FF6A3A"/>
    <w:rsid w:val="00FF7EB1"/>
    <w:rsid w:val="00FF7ECD"/>
    <w:rsid w:val="016A347B"/>
    <w:rsid w:val="01FA1124"/>
    <w:rsid w:val="02DF07F3"/>
    <w:rsid w:val="035E6A52"/>
    <w:rsid w:val="03983094"/>
    <w:rsid w:val="042E1AF3"/>
    <w:rsid w:val="047830BC"/>
    <w:rsid w:val="04AB3AC1"/>
    <w:rsid w:val="06072B18"/>
    <w:rsid w:val="0609566A"/>
    <w:rsid w:val="072E196D"/>
    <w:rsid w:val="07FF3D11"/>
    <w:rsid w:val="083E4D1A"/>
    <w:rsid w:val="08714EA8"/>
    <w:rsid w:val="094F5FAB"/>
    <w:rsid w:val="0A811A48"/>
    <w:rsid w:val="0AF90502"/>
    <w:rsid w:val="0C720D5E"/>
    <w:rsid w:val="0D4E3026"/>
    <w:rsid w:val="0D73782E"/>
    <w:rsid w:val="0DCE6D0B"/>
    <w:rsid w:val="0DEA55DF"/>
    <w:rsid w:val="0E102F74"/>
    <w:rsid w:val="0E6B7AC9"/>
    <w:rsid w:val="0E936C6D"/>
    <w:rsid w:val="0F02382C"/>
    <w:rsid w:val="11E27618"/>
    <w:rsid w:val="11EB4164"/>
    <w:rsid w:val="121D7D3A"/>
    <w:rsid w:val="12623816"/>
    <w:rsid w:val="1284469C"/>
    <w:rsid w:val="12AD4655"/>
    <w:rsid w:val="12EE4864"/>
    <w:rsid w:val="1339074D"/>
    <w:rsid w:val="1374783B"/>
    <w:rsid w:val="13F0456C"/>
    <w:rsid w:val="14357918"/>
    <w:rsid w:val="14E345AF"/>
    <w:rsid w:val="15680A42"/>
    <w:rsid w:val="159C22D0"/>
    <w:rsid w:val="15AF03E0"/>
    <w:rsid w:val="161E5492"/>
    <w:rsid w:val="162B5D51"/>
    <w:rsid w:val="167A51B5"/>
    <w:rsid w:val="16BA1058"/>
    <w:rsid w:val="16DA16A3"/>
    <w:rsid w:val="17765E9A"/>
    <w:rsid w:val="17802DD9"/>
    <w:rsid w:val="17BE19D3"/>
    <w:rsid w:val="18240558"/>
    <w:rsid w:val="189F1804"/>
    <w:rsid w:val="197F7DDF"/>
    <w:rsid w:val="1991386B"/>
    <w:rsid w:val="19C144DE"/>
    <w:rsid w:val="19FA107B"/>
    <w:rsid w:val="1A0316EF"/>
    <w:rsid w:val="1A443A2F"/>
    <w:rsid w:val="1A8A3DEE"/>
    <w:rsid w:val="1AF746E4"/>
    <w:rsid w:val="1B135668"/>
    <w:rsid w:val="1B346B75"/>
    <w:rsid w:val="1CAC6FEC"/>
    <w:rsid w:val="1CB20C70"/>
    <w:rsid w:val="1D1D0F4A"/>
    <w:rsid w:val="1D2C11F3"/>
    <w:rsid w:val="1EAC2360"/>
    <w:rsid w:val="20743988"/>
    <w:rsid w:val="20C27B66"/>
    <w:rsid w:val="21E77DF2"/>
    <w:rsid w:val="22042837"/>
    <w:rsid w:val="23F31EC7"/>
    <w:rsid w:val="24043C78"/>
    <w:rsid w:val="24FA5DCC"/>
    <w:rsid w:val="25034EC9"/>
    <w:rsid w:val="2599293D"/>
    <w:rsid w:val="25F16D70"/>
    <w:rsid w:val="26213C64"/>
    <w:rsid w:val="265216A0"/>
    <w:rsid w:val="26733F18"/>
    <w:rsid w:val="269D4C74"/>
    <w:rsid w:val="273E756F"/>
    <w:rsid w:val="275F3F6E"/>
    <w:rsid w:val="277F117F"/>
    <w:rsid w:val="27CF4F52"/>
    <w:rsid w:val="27F56BB6"/>
    <w:rsid w:val="28CC4D66"/>
    <w:rsid w:val="29C65BD1"/>
    <w:rsid w:val="29CE019B"/>
    <w:rsid w:val="29F54B92"/>
    <w:rsid w:val="2ABF7B67"/>
    <w:rsid w:val="2AEC2233"/>
    <w:rsid w:val="2CB00CEC"/>
    <w:rsid w:val="2CC871F5"/>
    <w:rsid w:val="2CEC6FF4"/>
    <w:rsid w:val="2E285986"/>
    <w:rsid w:val="2E415308"/>
    <w:rsid w:val="2E9530D0"/>
    <w:rsid w:val="2E98549A"/>
    <w:rsid w:val="2F0D469F"/>
    <w:rsid w:val="2F3C420A"/>
    <w:rsid w:val="2F57729C"/>
    <w:rsid w:val="2F5D1290"/>
    <w:rsid w:val="30377647"/>
    <w:rsid w:val="306D3573"/>
    <w:rsid w:val="30CE4B1A"/>
    <w:rsid w:val="30E3476C"/>
    <w:rsid w:val="3106021B"/>
    <w:rsid w:val="312A382C"/>
    <w:rsid w:val="315167A6"/>
    <w:rsid w:val="31ED7D79"/>
    <w:rsid w:val="31FD4325"/>
    <w:rsid w:val="324A2A66"/>
    <w:rsid w:val="32AF7C34"/>
    <w:rsid w:val="32E42AF3"/>
    <w:rsid w:val="33194BC2"/>
    <w:rsid w:val="33293C09"/>
    <w:rsid w:val="34412D74"/>
    <w:rsid w:val="348A49EA"/>
    <w:rsid w:val="3491662F"/>
    <w:rsid w:val="34957EFE"/>
    <w:rsid w:val="352E7D40"/>
    <w:rsid w:val="35465D1D"/>
    <w:rsid w:val="35784CBC"/>
    <w:rsid w:val="36FE207C"/>
    <w:rsid w:val="37FB4100"/>
    <w:rsid w:val="381D0841"/>
    <w:rsid w:val="385B64DE"/>
    <w:rsid w:val="3861462F"/>
    <w:rsid w:val="388600BA"/>
    <w:rsid w:val="3AAF526C"/>
    <w:rsid w:val="3AE05513"/>
    <w:rsid w:val="3AE24685"/>
    <w:rsid w:val="3B044EE0"/>
    <w:rsid w:val="3B347D4C"/>
    <w:rsid w:val="3D6C7017"/>
    <w:rsid w:val="3D842AB7"/>
    <w:rsid w:val="3D86121B"/>
    <w:rsid w:val="3EC8634C"/>
    <w:rsid w:val="3F90709B"/>
    <w:rsid w:val="3F934A6D"/>
    <w:rsid w:val="3FB6478B"/>
    <w:rsid w:val="3FEE25A6"/>
    <w:rsid w:val="3FF00B39"/>
    <w:rsid w:val="40085E15"/>
    <w:rsid w:val="40913756"/>
    <w:rsid w:val="4132438B"/>
    <w:rsid w:val="418C3EDC"/>
    <w:rsid w:val="41901AB8"/>
    <w:rsid w:val="424A506D"/>
    <w:rsid w:val="425B2020"/>
    <w:rsid w:val="427B454D"/>
    <w:rsid w:val="42F45A33"/>
    <w:rsid w:val="43710B54"/>
    <w:rsid w:val="43C162A3"/>
    <w:rsid w:val="44004F9E"/>
    <w:rsid w:val="44291C6F"/>
    <w:rsid w:val="443D44EA"/>
    <w:rsid w:val="445A3F93"/>
    <w:rsid w:val="45817AA4"/>
    <w:rsid w:val="46A46F82"/>
    <w:rsid w:val="46B97B68"/>
    <w:rsid w:val="46D528A9"/>
    <w:rsid w:val="48415C89"/>
    <w:rsid w:val="48543AF5"/>
    <w:rsid w:val="48AB0038"/>
    <w:rsid w:val="49855256"/>
    <w:rsid w:val="49C921F9"/>
    <w:rsid w:val="49E40445"/>
    <w:rsid w:val="49F96F0C"/>
    <w:rsid w:val="4AA93C99"/>
    <w:rsid w:val="4C237EF5"/>
    <w:rsid w:val="4C894B19"/>
    <w:rsid w:val="4CB6209F"/>
    <w:rsid w:val="4CE2572F"/>
    <w:rsid w:val="4D816CA5"/>
    <w:rsid w:val="4E7F603C"/>
    <w:rsid w:val="50AD2009"/>
    <w:rsid w:val="525831F6"/>
    <w:rsid w:val="52994560"/>
    <w:rsid w:val="52BD5936"/>
    <w:rsid w:val="533B4853"/>
    <w:rsid w:val="54647E83"/>
    <w:rsid w:val="54C01C62"/>
    <w:rsid w:val="551C112C"/>
    <w:rsid w:val="55861567"/>
    <w:rsid w:val="55997A45"/>
    <w:rsid w:val="560446E6"/>
    <w:rsid w:val="56065AB4"/>
    <w:rsid w:val="56372923"/>
    <w:rsid w:val="566A70E7"/>
    <w:rsid w:val="566A7211"/>
    <w:rsid w:val="573945B7"/>
    <w:rsid w:val="574A287F"/>
    <w:rsid w:val="57B55171"/>
    <w:rsid w:val="58710F7D"/>
    <w:rsid w:val="59395293"/>
    <w:rsid w:val="5A4F6F8C"/>
    <w:rsid w:val="5A532D2F"/>
    <w:rsid w:val="5A56214E"/>
    <w:rsid w:val="5A7A4BD4"/>
    <w:rsid w:val="5AB13C9A"/>
    <w:rsid w:val="5AE42149"/>
    <w:rsid w:val="5B261810"/>
    <w:rsid w:val="5B9E0A3E"/>
    <w:rsid w:val="5C0254B7"/>
    <w:rsid w:val="5D0D2749"/>
    <w:rsid w:val="5D326276"/>
    <w:rsid w:val="5DC454CC"/>
    <w:rsid w:val="5E050136"/>
    <w:rsid w:val="5E4B645D"/>
    <w:rsid w:val="5E65278E"/>
    <w:rsid w:val="5EE70704"/>
    <w:rsid w:val="5F7361AC"/>
    <w:rsid w:val="60060447"/>
    <w:rsid w:val="60106E78"/>
    <w:rsid w:val="60146585"/>
    <w:rsid w:val="60A3002C"/>
    <w:rsid w:val="60BC6422"/>
    <w:rsid w:val="60D87202"/>
    <w:rsid w:val="62005B4B"/>
    <w:rsid w:val="62800C2E"/>
    <w:rsid w:val="62861BA6"/>
    <w:rsid w:val="628A0704"/>
    <w:rsid w:val="62A7017D"/>
    <w:rsid w:val="62B254FB"/>
    <w:rsid w:val="62F41570"/>
    <w:rsid w:val="635271A2"/>
    <w:rsid w:val="64F81451"/>
    <w:rsid w:val="6581768D"/>
    <w:rsid w:val="65A8502C"/>
    <w:rsid w:val="66D36779"/>
    <w:rsid w:val="66D446C9"/>
    <w:rsid w:val="67226E55"/>
    <w:rsid w:val="67513297"/>
    <w:rsid w:val="67902E98"/>
    <w:rsid w:val="681131FE"/>
    <w:rsid w:val="68773C36"/>
    <w:rsid w:val="68982D8C"/>
    <w:rsid w:val="689A7CB6"/>
    <w:rsid w:val="689C72E4"/>
    <w:rsid w:val="68CB7079"/>
    <w:rsid w:val="6908631E"/>
    <w:rsid w:val="69521EC6"/>
    <w:rsid w:val="69BB0D2C"/>
    <w:rsid w:val="6AF6372D"/>
    <w:rsid w:val="6B3508E2"/>
    <w:rsid w:val="6BA34FE7"/>
    <w:rsid w:val="6C7246C2"/>
    <w:rsid w:val="6D020EC3"/>
    <w:rsid w:val="6D06571B"/>
    <w:rsid w:val="6ED8604B"/>
    <w:rsid w:val="6F327C3C"/>
    <w:rsid w:val="7079245F"/>
    <w:rsid w:val="709520F0"/>
    <w:rsid w:val="70C06A00"/>
    <w:rsid w:val="711D243B"/>
    <w:rsid w:val="719F2928"/>
    <w:rsid w:val="72B03567"/>
    <w:rsid w:val="73221D72"/>
    <w:rsid w:val="73373A8A"/>
    <w:rsid w:val="73CB26D8"/>
    <w:rsid w:val="74CE78E4"/>
    <w:rsid w:val="75952EE8"/>
    <w:rsid w:val="75B6775D"/>
    <w:rsid w:val="75B95C40"/>
    <w:rsid w:val="76101CA4"/>
    <w:rsid w:val="77152627"/>
    <w:rsid w:val="774964DF"/>
    <w:rsid w:val="78832727"/>
    <w:rsid w:val="78CA6CE5"/>
    <w:rsid w:val="78EE5AFA"/>
    <w:rsid w:val="79143938"/>
    <w:rsid w:val="797A357C"/>
    <w:rsid w:val="79E77C29"/>
    <w:rsid w:val="7A0976B1"/>
    <w:rsid w:val="7BBA2D22"/>
    <w:rsid w:val="7CA7384E"/>
    <w:rsid w:val="7CEB3849"/>
    <w:rsid w:val="7CED40DE"/>
    <w:rsid w:val="7D46402E"/>
    <w:rsid w:val="7E0D390E"/>
    <w:rsid w:val="7E336865"/>
    <w:rsid w:val="7E805187"/>
    <w:rsid w:val="7EC62364"/>
    <w:rsid w:val="7ED123E3"/>
    <w:rsid w:val="EFFED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3">
    <w:name w:val="heading 2"/>
    <w:basedOn w:val="1"/>
    <w:next w:val="1"/>
    <w:link w:val="76"/>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2"/>
      </w:numPr>
      <w:spacing w:line="360" w:lineRule="auto"/>
    </w:pPr>
    <w:rPr>
      <w:sz w:val="24"/>
    </w:rPr>
  </w:style>
  <w:style w:type="paragraph" w:styleId="14">
    <w:name w:val="List Bullet 4"/>
    <w:basedOn w:val="1"/>
    <w:qFormat/>
    <w:uiPriority w:val="0"/>
    <w:pPr>
      <w:widowControl/>
      <w:numPr>
        <w:ilvl w:val="0"/>
        <w:numId w:val="3"/>
      </w:numPr>
      <w:tabs>
        <w:tab w:val="left" w:pos="1134"/>
        <w:tab w:val="clear" w:pos="1620"/>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8"/>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4"/>
      </w:numPr>
      <w:adjustRightInd w:val="0"/>
      <w:snapToGrid w:val="0"/>
      <w:spacing w:line="360" w:lineRule="auto"/>
    </w:pPr>
    <w:rPr>
      <w:sz w:val="24"/>
    </w:rPr>
  </w:style>
  <w:style w:type="paragraph" w:styleId="22">
    <w:name w:val="Body Text"/>
    <w:basedOn w:val="1"/>
    <w:next w:val="23"/>
    <w:qFormat/>
    <w:uiPriority w:val="0"/>
    <w:rPr>
      <w:rFonts w:ascii="仿宋_GB2312" w:eastAsia="仿宋_GB2312"/>
      <w:sz w:val="32"/>
    </w:rPr>
  </w:style>
  <w:style w:type="paragraph" w:styleId="23">
    <w:name w:val="Body Text Indent"/>
    <w:basedOn w:val="1"/>
    <w:link w:val="79"/>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5"/>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0"/>
    <w:pPr>
      <w:ind w:left="840" w:leftChars="400"/>
    </w:pPr>
  </w:style>
  <w:style w:type="paragraph" w:styleId="30">
    <w:name w:val="Plain Text"/>
    <w:basedOn w:val="1"/>
    <w:link w:val="80"/>
    <w:qFormat/>
    <w:uiPriority w:val="0"/>
    <w:pPr>
      <w:adjustRightInd w:val="0"/>
      <w:snapToGrid w:val="0"/>
      <w:spacing w:line="360" w:lineRule="auto"/>
    </w:pPr>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81"/>
    <w:qFormat/>
    <w:uiPriority w:val="0"/>
  </w:style>
  <w:style w:type="paragraph" w:styleId="33">
    <w:name w:val="Body Text Indent 2"/>
    <w:basedOn w:val="1"/>
    <w:qFormat/>
    <w:uiPriority w:val="0"/>
    <w:pPr>
      <w:snapToGrid w:val="0"/>
      <w:spacing w:line="440" w:lineRule="atLeast"/>
      <w:ind w:firstLine="570"/>
    </w:pPr>
    <w:rPr>
      <w:rFonts w:ascii="宋体"/>
    </w:rPr>
  </w:style>
  <w:style w:type="paragraph" w:styleId="34">
    <w:name w:val="Balloon Text"/>
    <w:basedOn w:val="1"/>
    <w:qFormat/>
    <w:uiPriority w:val="0"/>
    <w:rPr>
      <w:sz w:val="18"/>
    </w:rPr>
  </w:style>
  <w:style w:type="paragraph" w:styleId="35">
    <w:name w:val="footer"/>
    <w:basedOn w:val="1"/>
    <w:next w:val="36"/>
    <w:qFormat/>
    <w:uiPriority w:val="0"/>
    <w:pPr>
      <w:tabs>
        <w:tab w:val="center" w:pos="4153"/>
        <w:tab w:val="right" w:pos="8306"/>
      </w:tabs>
      <w:snapToGrid w:val="0"/>
      <w:jc w:val="left"/>
    </w:pPr>
    <w:rPr>
      <w:sz w:val="18"/>
    </w:rPr>
  </w:style>
  <w:style w:type="paragraph" w:customStyle="1" w:styleId="36">
    <w:name w:val="索引 5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tabs>
        <w:tab w:val="left" w:pos="1260"/>
        <w:tab w:val="left" w:pos="1685"/>
        <w:tab w:val="right" w:leader="dot" w:pos="8400"/>
      </w:tabs>
      <w:spacing w:line="320" w:lineRule="exact"/>
      <w:ind w:firstLine="280" w:firstLineChars="100"/>
    </w:p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440" w:lineRule="exact"/>
      <w:ind w:left="280" w:leftChars="100" w:right="-91" w:rightChars="-91"/>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19"/>
    <w:next w:val="19"/>
    <w:qFormat/>
    <w:uiPriority w:val="0"/>
    <w:pPr>
      <w:widowControl w:val="0"/>
      <w:tabs>
        <w:tab w:val="clear" w:pos="1134"/>
      </w:tabs>
      <w:adjustRightInd/>
      <w:snapToGrid/>
      <w:spacing w:line="240" w:lineRule="auto"/>
    </w:pPr>
    <w:rPr>
      <w:rFonts w:eastAsia="宋体"/>
      <w:b/>
      <w:kern w:val="2"/>
      <w:sz w:val="21"/>
      <w:lang w:eastAsia="zh-CN"/>
    </w:rPr>
  </w:style>
  <w:style w:type="paragraph" w:styleId="56">
    <w:name w:val="Body Text First Indent"/>
    <w:basedOn w:val="22"/>
    <w:qFormat/>
    <w:uiPriority w:val="0"/>
    <w:pPr>
      <w:spacing w:line="360" w:lineRule="auto"/>
      <w:ind w:firstLine="420"/>
    </w:pPr>
    <w:rPr>
      <w:rFonts w:ascii="宋体" w:hAnsi="宋体"/>
      <w:sz w:val="24"/>
    </w:rPr>
  </w:style>
  <w:style w:type="paragraph" w:styleId="57">
    <w:name w:val="Body Text First Indent 2"/>
    <w:basedOn w:val="23"/>
    <w:qFormat/>
    <w:uiPriority w:val="0"/>
    <w:pPr>
      <w:spacing w:after="120" w:line="240" w:lineRule="auto"/>
      <w:ind w:left="420" w:leftChars="200" w:firstLine="420" w:firstLineChars="200"/>
    </w:pPr>
    <w:rPr>
      <w:sz w:val="21"/>
    </w:rPr>
  </w:style>
  <w:style w:type="table" w:styleId="59">
    <w:name w:val="Table Grid"/>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basedOn w:val="60"/>
    <w:qFormat/>
    <w:uiPriority w:val="22"/>
  </w:style>
  <w:style w:type="character" w:styleId="62">
    <w:name w:val="page number"/>
    <w:qFormat/>
    <w:uiPriority w:val="0"/>
  </w:style>
  <w:style w:type="character" w:styleId="63">
    <w:name w:val="FollowedHyperlink"/>
    <w:qFormat/>
    <w:uiPriority w:val="0"/>
    <w:rPr>
      <w:color w:val="800080"/>
      <w:u w:val="single"/>
    </w:rPr>
  </w:style>
  <w:style w:type="character" w:styleId="64">
    <w:name w:val="Emphasis"/>
    <w:basedOn w:val="60"/>
    <w:qFormat/>
    <w:uiPriority w:val="0"/>
  </w:style>
  <w:style w:type="character" w:styleId="65">
    <w:name w:val="HTML Definition"/>
    <w:basedOn w:val="60"/>
    <w:semiHidden/>
    <w:unhideWhenUsed/>
    <w:qFormat/>
    <w:uiPriority w:val="99"/>
  </w:style>
  <w:style w:type="character" w:styleId="66">
    <w:name w:val="HTML Typewriter"/>
    <w:basedOn w:val="60"/>
    <w:semiHidden/>
    <w:unhideWhenUsed/>
    <w:qFormat/>
    <w:uiPriority w:val="99"/>
    <w:rPr>
      <w:rFonts w:ascii="monospace" w:hAnsi="monospace" w:eastAsia="monospace" w:cs="monospace"/>
      <w:sz w:val="20"/>
    </w:rPr>
  </w:style>
  <w:style w:type="character" w:styleId="67">
    <w:name w:val="HTML Acronym"/>
    <w:basedOn w:val="60"/>
    <w:semiHidden/>
    <w:unhideWhenUsed/>
    <w:qFormat/>
    <w:uiPriority w:val="99"/>
  </w:style>
  <w:style w:type="character" w:styleId="68">
    <w:name w:val="HTML Variable"/>
    <w:basedOn w:val="60"/>
    <w:semiHidden/>
    <w:unhideWhenUsed/>
    <w:qFormat/>
    <w:uiPriority w:val="99"/>
  </w:style>
  <w:style w:type="character" w:styleId="69">
    <w:name w:val="Hyperlink"/>
    <w:qFormat/>
    <w:uiPriority w:val="99"/>
    <w:rPr>
      <w:color w:val="0000FF"/>
      <w:u w:val="single"/>
    </w:rPr>
  </w:style>
  <w:style w:type="character" w:styleId="70">
    <w:name w:val="HTML Code"/>
    <w:basedOn w:val="60"/>
    <w:semiHidden/>
    <w:unhideWhenUsed/>
    <w:qFormat/>
    <w:uiPriority w:val="99"/>
    <w:rPr>
      <w:rFonts w:hint="default" w:ascii="monospace" w:hAnsi="monospace" w:eastAsia="monospace" w:cs="monospace"/>
      <w:sz w:val="20"/>
    </w:rPr>
  </w:style>
  <w:style w:type="character" w:styleId="71">
    <w:name w:val="annotation reference"/>
    <w:qFormat/>
    <w:uiPriority w:val="0"/>
    <w:rPr>
      <w:sz w:val="21"/>
    </w:rPr>
  </w:style>
  <w:style w:type="character" w:styleId="72">
    <w:name w:val="HTML Cite"/>
    <w:basedOn w:val="60"/>
    <w:semiHidden/>
    <w:unhideWhenUsed/>
    <w:qFormat/>
    <w:uiPriority w:val="99"/>
  </w:style>
  <w:style w:type="character" w:styleId="73">
    <w:name w:val="footnote reference"/>
    <w:qFormat/>
    <w:uiPriority w:val="0"/>
    <w:rPr>
      <w:position w:val="6"/>
      <w:sz w:val="14"/>
      <w:vertAlign w:val="superscript"/>
    </w:rPr>
  </w:style>
  <w:style w:type="character" w:styleId="74">
    <w:name w:val="HTML Keyboard"/>
    <w:basedOn w:val="60"/>
    <w:semiHidden/>
    <w:unhideWhenUsed/>
    <w:qFormat/>
    <w:uiPriority w:val="99"/>
    <w:rPr>
      <w:rFonts w:hint="default" w:ascii="monospace" w:hAnsi="monospace" w:eastAsia="monospace" w:cs="monospace"/>
      <w:sz w:val="20"/>
    </w:rPr>
  </w:style>
  <w:style w:type="character" w:styleId="75">
    <w:name w:val="HTML Sample"/>
    <w:basedOn w:val="60"/>
    <w:semiHidden/>
    <w:unhideWhenUsed/>
    <w:qFormat/>
    <w:uiPriority w:val="99"/>
    <w:rPr>
      <w:rFonts w:hint="default" w:ascii="monospace" w:hAnsi="monospace" w:eastAsia="monospace" w:cs="monospace"/>
    </w:rPr>
  </w:style>
  <w:style w:type="character" w:customStyle="1" w:styleId="76">
    <w:name w:val="标题 2 字符"/>
    <w:link w:val="3"/>
    <w:qFormat/>
    <w:uiPriority w:val="0"/>
    <w:rPr>
      <w:rFonts w:ascii="宋体" w:hAnsi="宋体"/>
      <w:kern w:val="2"/>
      <w:sz w:val="28"/>
    </w:rPr>
  </w:style>
  <w:style w:type="paragraph" w:customStyle="1" w:styleId="77">
    <w:name w:val="正文缩进1"/>
    <w:basedOn w:val="1"/>
    <w:qFormat/>
    <w:uiPriority w:val="0"/>
    <w:pPr>
      <w:ind w:firstLine="420" w:firstLineChars="200"/>
    </w:pPr>
    <w:rPr>
      <w:rFonts w:eastAsia="宋体"/>
      <w:szCs w:val="20"/>
    </w:rPr>
  </w:style>
  <w:style w:type="character" w:customStyle="1" w:styleId="78">
    <w:name w:val="批注文字 字符"/>
    <w:link w:val="19"/>
    <w:qFormat/>
    <w:uiPriority w:val="0"/>
    <w:rPr>
      <w:rFonts w:eastAsia="PMingLiU"/>
      <w:sz w:val="24"/>
      <w:lang w:eastAsia="zh-TW"/>
    </w:rPr>
  </w:style>
  <w:style w:type="character" w:customStyle="1" w:styleId="79">
    <w:name w:val="正文文本缩进 字符"/>
    <w:link w:val="23"/>
    <w:qFormat/>
    <w:uiPriority w:val="0"/>
    <w:rPr>
      <w:kern w:val="2"/>
      <w:sz w:val="44"/>
    </w:rPr>
  </w:style>
  <w:style w:type="character" w:customStyle="1" w:styleId="80">
    <w:name w:val="纯文本 字符"/>
    <w:link w:val="30"/>
    <w:qFormat/>
    <w:uiPriority w:val="0"/>
    <w:rPr>
      <w:rFonts w:ascii="宋体" w:hAnsi="Courier New"/>
      <w:kern w:val="2"/>
      <w:sz w:val="21"/>
    </w:rPr>
  </w:style>
  <w:style w:type="character" w:customStyle="1" w:styleId="81">
    <w:name w:val="日期 字符"/>
    <w:link w:val="32"/>
    <w:qFormat/>
    <w:uiPriority w:val="0"/>
    <w:rPr>
      <w:kern w:val="2"/>
      <w:sz w:val="28"/>
    </w:rPr>
  </w:style>
  <w:style w:type="character" w:customStyle="1" w:styleId="82">
    <w:name w:val="crowed11"/>
    <w:qFormat/>
    <w:uiPriority w:val="0"/>
    <w:rPr>
      <w:rFonts w:hint="default" w:ascii="_x000B__x000C_" w:hAnsi="_x000B__x000C_"/>
      <w:sz w:val="24"/>
    </w:rPr>
  </w:style>
  <w:style w:type="character" w:customStyle="1" w:styleId="83">
    <w:name w:val="v151"/>
    <w:qFormat/>
    <w:uiPriority w:val="0"/>
    <w:rPr>
      <w:sz w:val="18"/>
    </w:rPr>
  </w:style>
  <w:style w:type="character" w:customStyle="1" w:styleId="84">
    <w:name w:val="Char Char6"/>
    <w:qFormat/>
    <w:uiPriority w:val="0"/>
    <w:rPr>
      <w:rFonts w:ascii="仿宋_GB2312" w:eastAsia="仿宋_GB2312"/>
      <w:kern w:val="2"/>
      <w:sz w:val="32"/>
    </w:rPr>
  </w:style>
  <w:style w:type="character" w:customStyle="1" w:styleId="85">
    <w:name w:val="样式 宋体"/>
    <w:qFormat/>
    <w:uiPriority w:val="0"/>
    <w:rPr>
      <w:rFonts w:ascii="宋体" w:hAnsi="宋体" w:eastAsia="宋体"/>
      <w:sz w:val="28"/>
    </w:rPr>
  </w:style>
  <w:style w:type="character" w:customStyle="1" w:styleId="86">
    <w:name w:val="Table Heading Char Char"/>
    <w:qFormat/>
    <w:uiPriority w:val="0"/>
    <w:rPr>
      <w:rFonts w:ascii="Arial" w:hAnsi="Arial" w:eastAsia="黑体"/>
      <w:kern w:val="2"/>
      <w:sz w:val="18"/>
      <w:lang w:val="en-US" w:eastAsia="zh-CN"/>
    </w:rPr>
  </w:style>
  <w:style w:type="character" w:customStyle="1" w:styleId="87">
    <w:name w:val="content-white1"/>
    <w:qFormat/>
    <w:uiPriority w:val="0"/>
    <w:rPr>
      <w:rFonts w:ascii="_x000B__x000C_" w:hAnsi="_x000B__x000C_"/>
      <w:color w:val="auto"/>
      <w:sz w:val="18"/>
      <w:u w:val="none"/>
    </w:rPr>
  </w:style>
  <w:style w:type="character" w:customStyle="1" w:styleId="88">
    <w:name w:val="正文 + 三号 Char"/>
    <w:qFormat/>
    <w:uiPriority w:val="0"/>
    <w:rPr>
      <w:rFonts w:eastAsia="宋体"/>
      <w:kern w:val="2"/>
      <w:sz w:val="21"/>
      <w:lang w:val="en-US" w:eastAsia="zh-CN"/>
    </w:rPr>
  </w:style>
  <w:style w:type="character" w:customStyle="1" w:styleId="89">
    <w:name w:val="font1"/>
    <w:qFormat/>
    <w:uiPriority w:val="0"/>
    <w:rPr>
      <w:color w:val="000000"/>
      <w:sz w:val="18"/>
    </w:rPr>
  </w:style>
  <w:style w:type="character" w:customStyle="1" w:styleId="90">
    <w:name w:val="标题 2 Char"/>
    <w:qFormat/>
    <w:uiPriority w:val="0"/>
    <w:rPr>
      <w:rFonts w:ascii="宋体" w:hAnsi="宋体"/>
      <w:kern w:val="2"/>
      <w:sz w:val="28"/>
    </w:rPr>
  </w:style>
  <w:style w:type="character" w:customStyle="1" w:styleId="91">
    <w:name w:val="Table Text Char1 Char"/>
    <w:qFormat/>
    <w:uiPriority w:val="0"/>
    <w:rPr>
      <w:rFonts w:ascii="Arial" w:hAnsi="Arial"/>
      <w:kern w:val="2"/>
      <w:sz w:val="18"/>
      <w:lang w:val="en-US" w:eastAsia="zh-CN" w:bidi="ar-SA"/>
    </w:rPr>
  </w:style>
  <w:style w:type="character" w:customStyle="1" w:styleId="92">
    <w:name w:val="Table Text Char"/>
    <w:qFormat/>
    <w:uiPriority w:val="0"/>
    <w:rPr>
      <w:rFonts w:ascii="Arial" w:hAnsi="Arial"/>
      <w:kern w:val="2"/>
      <w:sz w:val="18"/>
      <w:lang w:val="en-US" w:eastAsia="zh-CN" w:bidi="ar-SA"/>
    </w:rPr>
  </w:style>
  <w:style w:type="character" w:customStyle="1" w:styleId="93">
    <w:name w:val="Char Char2"/>
    <w:qFormat/>
    <w:uiPriority w:val="0"/>
    <w:rPr>
      <w:rFonts w:eastAsia="宋体"/>
      <w:kern w:val="2"/>
      <w:sz w:val="18"/>
      <w:lang w:val="en-US" w:eastAsia="zh-CN"/>
    </w:rPr>
  </w:style>
  <w:style w:type="character" w:customStyle="1" w:styleId="94">
    <w:name w:val="标书正文:  0.74 厘米 Char1"/>
    <w:qFormat/>
    <w:uiPriority w:val="0"/>
    <w:rPr>
      <w:rFonts w:eastAsia="宋体"/>
      <w:kern w:val="2"/>
      <w:sz w:val="24"/>
      <w:lang w:val="en-US" w:eastAsia="zh-CN"/>
    </w:rPr>
  </w:style>
  <w:style w:type="character" w:customStyle="1" w:styleId="95">
    <w:name w:val="Table Text Char Char Char Char"/>
    <w:qFormat/>
    <w:uiPriority w:val="0"/>
    <w:rPr>
      <w:rFonts w:ascii="Arial" w:hAnsi="Arial"/>
      <w:kern w:val="2"/>
      <w:sz w:val="18"/>
      <w:lang w:val="en-US" w:eastAsia="zh-CN" w:bidi="ar-SA"/>
    </w:rPr>
  </w:style>
  <w:style w:type="character" w:customStyle="1" w:styleId="96">
    <w:name w:val="Char Char4"/>
    <w:qFormat/>
    <w:uiPriority w:val="0"/>
    <w:rPr>
      <w:rFonts w:eastAsia="宋体"/>
      <w:b/>
      <w:kern w:val="2"/>
      <w:sz w:val="21"/>
      <w:lang w:val="en-US" w:eastAsia="zh-CN"/>
    </w:rPr>
  </w:style>
  <w:style w:type="character" w:customStyle="1" w:styleId="97">
    <w:name w:val="小 Char"/>
    <w:qFormat/>
    <w:uiPriority w:val="0"/>
    <w:rPr>
      <w:rFonts w:ascii="宋体" w:hAnsi="Courier New" w:eastAsia="宋体"/>
      <w:kern w:val="2"/>
      <w:sz w:val="21"/>
      <w:lang w:val="en-US" w:eastAsia="zh-CN" w:bidi="ar-SA"/>
    </w:rPr>
  </w:style>
  <w:style w:type="character" w:customStyle="1" w:styleId="98">
    <w:name w:val="top-det1"/>
    <w:qFormat/>
    <w:uiPriority w:val="0"/>
    <w:rPr>
      <w:b/>
      <w:color w:val="000000"/>
    </w:rPr>
  </w:style>
  <w:style w:type="character" w:customStyle="1" w:styleId="99">
    <w:name w:val="未命名11"/>
    <w:qFormat/>
    <w:uiPriority w:val="0"/>
    <w:rPr>
      <w:color w:val="77FFFF"/>
      <w:sz w:val="24"/>
    </w:rPr>
  </w:style>
  <w:style w:type="character" w:customStyle="1" w:styleId="100">
    <w:name w:val="批注文字 Char"/>
    <w:qFormat/>
    <w:uiPriority w:val="0"/>
    <w:rPr>
      <w:rFonts w:eastAsia="PMingLiU"/>
      <w:sz w:val="24"/>
      <w:lang w:eastAsia="zh-TW"/>
    </w:rPr>
  </w:style>
  <w:style w:type="character" w:customStyle="1" w:styleId="101">
    <w:name w:val="文字 Char"/>
    <w:link w:val="102"/>
    <w:qFormat/>
    <w:uiPriority w:val="0"/>
    <w:rPr>
      <w:rFonts w:ascii="宋体" w:eastAsia="宋体"/>
      <w:kern w:val="2"/>
      <w:sz w:val="28"/>
      <w:lang w:val="en-US" w:eastAsia="zh-CN" w:bidi="ar-SA"/>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Char Char"/>
    <w:qFormat/>
    <w:uiPriority w:val="0"/>
    <w:rPr>
      <w:rFonts w:ascii="宋体" w:hAnsi="宋体" w:eastAsia="宋体"/>
      <w:kern w:val="2"/>
      <w:sz w:val="24"/>
      <w:lang w:val="en-US" w:eastAsia="zh-CN" w:bidi="ar-SA"/>
    </w:rPr>
  </w:style>
  <w:style w:type="character" w:customStyle="1" w:styleId="104">
    <w:name w:val="Char Char7"/>
    <w:qFormat/>
    <w:uiPriority w:val="0"/>
    <w:rPr>
      <w:rFonts w:ascii="宋体" w:hAnsi="宋体" w:eastAsia="宋体"/>
      <w:kern w:val="2"/>
      <w:sz w:val="28"/>
    </w:rPr>
  </w:style>
  <w:style w:type="character" w:customStyle="1" w:styleId="105">
    <w:name w:val="Char Char3"/>
    <w:qFormat/>
    <w:uiPriority w:val="0"/>
    <w:rPr>
      <w:rFonts w:eastAsia="宋体"/>
      <w:kern w:val="2"/>
      <w:sz w:val="18"/>
      <w:lang w:val="en-US" w:eastAsia="zh-CN"/>
    </w:rPr>
  </w:style>
  <w:style w:type="character" w:customStyle="1" w:styleId="106">
    <w:name w:val="Char Char5"/>
    <w:qFormat/>
    <w:uiPriority w:val="0"/>
    <w:rPr>
      <w:rFonts w:ascii="Arial" w:hAnsi="Arial" w:eastAsia="宋体"/>
      <w:b/>
      <w:smallCaps/>
      <w:kern w:val="28"/>
      <w:sz w:val="36"/>
      <w:lang w:val="en-US" w:eastAsia="en-US"/>
    </w:rPr>
  </w:style>
  <w:style w:type="paragraph" w:customStyle="1" w:styleId="107">
    <w:name w:val="Char Char Char"/>
    <w:basedOn w:val="1"/>
    <w:qFormat/>
    <w:uiPriority w:val="0"/>
    <w:rPr>
      <w:rFonts w:ascii="Tahoma" w:hAnsi="Tahoma"/>
      <w:sz w:val="24"/>
    </w:rPr>
  </w:style>
  <w:style w:type="paragraph" w:customStyle="1" w:styleId="10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09">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11">
    <w:name w:val="Char Char Char Char Char Char Char"/>
    <w:basedOn w:val="17"/>
    <w:qFormat/>
    <w:uiPriority w:val="0"/>
    <w:rPr>
      <w:rFonts w:ascii="宋体" w:hAnsi="Tahoma"/>
    </w:rPr>
  </w:style>
  <w:style w:type="paragraph" w:customStyle="1" w:styleId="112">
    <w:name w:val="首行缩进 1"/>
    <w:basedOn w:val="1"/>
    <w:qFormat/>
    <w:uiPriority w:val="0"/>
    <w:pPr>
      <w:spacing w:after="120" w:line="360" w:lineRule="auto"/>
      <w:ind w:firstLine="200" w:firstLineChars="200"/>
    </w:pPr>
    <w:rPr>
      <w:sz w:val="24"/>
    </w:rPr>
  </w:style>
  <w:style w:type="paragraph" w:customStyle="1" w:styleId="113">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14">
    <w:name w:val="样式2"/>
    <w:basedOn w:val="5"/>
    <w:qFormat/>
    <w:uiPriority w:val="0"/>
    <w:pPr>
      <w:numPr>
        <w:ilvl w:val="0"/>
        <w:numId w:val="6"/>
      </w:numPr>
      <w:spacing w:line="400" w:lineRule="exact"/>
      <w:jc w:val="center"/>
      <w:outlineLvl w:val="0"/>
    </w:pPr>
    <w:rPr>
      <w:b w:val="0"/>
      <w:sz w:val="44"/>
    </w:rPr>
  </w:style>
  <w:style w:type="paragraph" w:customStyle="1" w:styleId="115">
    <w:name w:val="章标题"/>
    <w:next w:val="1"/>
    <w:qFormat/>
    <w:uiPriority w:val="0"/>
    <w:pPr>
      <w:numPr>
        <w:ilvl w:val="1"/>
        <w:numId w:val="7"/>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1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1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18">
    <w:name w:val="正文文本缩进 21"/>
    <w:basedOn w:val="1"/>
    <w:qFormat/>
    <w:uiPriority w:val="0"/>
    <w:pPr>
      <w:adjustRightInd w:val="0"/>
      <w:spacing w:before="120"/>
      <w:ind w:firstLine="420"/>
      <w:textAlignment w:val="baseline"/>
    </w:pPr>
    <w:rPr>
      <w:sz w:val="24"/>
    </w:rPr>
  </w:style>
  <w:style w:type="paragraph" w:customStyle="1" w:styleId="119">
    <w:name w:val="Char1"/>
    <w:basedOn w:val="1"/>
    <w:qFormat/>
    <w:uiPriority w:val="0"/>
    <w:rPr>
      <w:sz w:val="21"/>
    </w:rPr>
  </w:style>
  <w:style w:type="paragraph" w:customStyle="1" w:styleId="12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21">
    <w:name w:val="默认段落字体 Para Char Char Char Char Char Char Char"/>
    <w:basedOn w:val="1"/>
    <w:qFormat/>
    <w:uiPriority w:val="0"/>
    <w:rPr>
      <w:rFonts w:ascii="Tahoma" w:hAnsi="Tahoma"/>
      <w:sz w:val="24"/>
    </w:rPr>
  </w:style>
  <w:style w:type="paragraph" w:customStyle="1" w:styleId="122">
    <w:name w:val="样式 宋体 五号 行距: 单倍行距"/>
    <w:basedOn w:val="1"/>
    <w:qFormat/>
    <w:uiPriority w:val="0"/>
    <w:pPr>
      <w:adjustRightInd w:val="0"/>
      <w:jc w:val="left"/>
    </w:pPr>
    <w:rPr>
      <w:rFonts w:ascii="宋体" w:hAnsi="宋体"/>
      <w:kern w:val="0"/>
      <w:sz w:val="21"/>
    </w:rPr>
  </w:style>
  <w:style w:type="paragraph" w:customStyle="1" w:styleId="123">
    <w:name w:val="表头样式"/>
    <w:basedOn w:val="1"/>
    <w:qFormat/>
    <w:uiPriority w:val="0"/>
    <w:pPr>
      <w:autoSpaceDE w:val="0"/>
      <w:autoSpaceDN w:val="0"/>
      <w:adjustRightInd w:val="0"/>
      <w:spacing w:line="360" w:lineRule="auto"/>
      <w:jc w:val="left"/>
    </w:pPr>
    <w:rPr>
      <w:b/>
      <w:kern w:val="0"/>
      <w:sz w:val="21"/>
    </w:rPr>
  </w:style>
  <w:style w:type="paragraph" w:customStyle="1" w:styleId="124">
    <w:name w:val="Char Char 字元 字元 字元 Char Char Char Char"/>
    <w:basedOn w:val="1"/>
    <w:qFormat/>
    <w:uiPriority w:val="0"/>
    <w:pPr>
      <w:adjustRightInd w:val="0"/>
      <w:spacing w:line="360" w:lineRule="auto"/>
    </w:pPr>
    <w:rPr>
      <w:kern w:val="0"/>
      <w:sz w:val="24"/>
    </w:rPr>
  </w:style>
  <w:style w:type="paragraph" w:customStyle="1" w:styleId="125">
    <w:name w:val="可研正文"/>
    <w:basedOn w:val="22"/>
    <w:qFormat/>
    <w:uiPriority w:val="0"/>
    <w:pPr>
      <w:adjustRightInd w:val="0"/>
      <w:snapToGrid w:val="0"/>
      <w:spacing w:line="440" w:lineRule="exact"/>
      <w:ind w:firstLine="567"/>
    </w:pPr>
    <w:rPr>
      <w:sz w:val="28"/>
    </w:rPr>
  </w:style>
  <w:style w:type="paragraph" w:customStyle="1" w:styleId="126">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27">
    <w:name w:val="Title - Revision"/>
    <w:basedOn w:val="54"/>
    <w:qFormat/>
    <w:uiPriority w:val="0"/>
    <w:pPr>
      <w:spacing w:before="720"/>
    </w:pPr>
  </w:style>
  <w:style w:type="paragraph" w:customStyle="1" w:styleId="128">
    <w:name w:val="表格文本"/>
    <w:qFormat/>
    <w:uiPriority w:val="0"/>
    <w:pPr>
      <w:tabs>
        <w:tab w:val="decimal" w:pos="0"/>
      </w:tabs>
    </w:pPr>
    <w:rPr>
      <w:rFonts w:ascii="Arial" w:hAnsi="Arial" w:eastAsia="宋体" w:cs="Times New Roman"/>
      <w:sz w:val="21"/>
      <w:lang w:val="en-US" w:eastAsia="zh-CN" w:bidi="ar-SA"/>
    </w:rPr>
  </w:style>
  <w:style w:type="paragraph" w:customStyle="1" w:styleId="129">
    <w:name w:val="关键词"/>
    <w:basedOn w:val="1"/>
    <w:next w:val="1"/>
    <w:qFormat/>
    <w:uiPriority w:val="0"/>
    <w:pPr>
      <w:spacing w:line="360" w:lineRule="auto"/>
    </w:pPr>
    <w:rPr>
      <w:rFonts w:eastAsia="黑体"/>
      <w:sz w:val="20"/>
    </w:rPr>
  </w:style>
  <w:style w:type="paragraph" w:customStyle="1" w:styleId="13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1">
    <w:name w:val="表文字"/>
    <w:qFormat/>
    <w:uiPriority w:val="0"/>
    <w:rPr>
      <w:rFonts w:ascii="宋体" w:hAnsi="Times New Roman" w:eastAsia="宋体" w:cs="Times New Roman"/>
      <w:kern w:val="2"/>
      <w:lang w:val="en-US" w:eastAsia="zh-CN" w:bidi="ar-SA"/>
    </w:rPr>
  </w:style>
  <w:style w:type="paragraph" w:customStyle="1" w:styleId="132">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3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34">
    <w:name w:val="没有缩进（为图形使用）"/>
    <w:basedOn w:val="1"/>
    <w:qFormat/>
    <w:uiPriority w:val="0"/>
    <w:pPr>
      <w:spacing w:before="120" w:after="120" w:line="360" w:lineRule="auto"/>
    </w:pPr>
    <w:rPr>
      <w:sz w:val="24"/>
    </w:rPr>
  </w:style>
  <w:style w:type="paragraph" w:customStyle="1" w:styleId="13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6">
    <w:name w:val="Item Step in Table"/>
    <w:qFormat/>
    <w:uiPriority w:val="0"/>
    <w:pPr>
      <w:numPr>
        <w:ilvl w:val="0"/>
        <w:numId w:val="9"/>
      </w:numPr>
      <w:spacing w:before="40" w:after="40"/>
      <w:jc w:val="both"/>
    </w:pPr>
    <w:rPr>
      <w:rFonts w:ascii="Arial" w:hAnsi="Arial" w:eastAsia="宋体" w:cs="Times New Roman"/>
      <w:sz w:val="18"/>
      <w:lang w:val="en-US" w:eastAsia="zh-CN" w:bidi="ar-SA"/>
    </w:rPr>
  </w:style>
  <w:style w:type="paragraph" w:customStyle="1" w:styleId="137">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38">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39">
    <w:name w:val="_Style 128"/>
    <w:qFormat/>
    <w:uiPriority w:val="0"/>
    <w:rPr>
      <w:rFonts w:ascii="Times New Roman" w:hAnsi="Times New Roman" w:eastAsia="宋体" w:cs="Times New Roman"/>
      <w:kern w:val="2"/>
      <w:sz w:val="21"/>
      <w:lang w:val="en-US" w:eastAsia="zh-CN" w:bidi="ar-SA"/>
    </w:rPr>
  </w:style>
  <w:style w:type="paragraph" w:customStyle="1" w:styleId="140">
    <w:name w:val="Char Char Char Char Char"/>
    <w:basedOn w:val="1"/>
    <w:qFormat/>
    <w:uiPriority w:val="0"/>
    <w:pPr>
      <w:numPr>
        <w:ilvl w:val="0"/>
        <w:numId w:val="10"/>
      </w:numPr>
    </w:pPr>
    <w:rPr>
      <w:rFonts w:ascii="Tahoma" w:hAnsi="Tahoma"/>
      <w:sz w:val="24"/>
    </w:rPr>
  </w:style>
  <w:style w:type="paragraph" w:customStyle="1" w:styleId="141">
    <w:name w:val="正文表格"/>
    <w:basedOn w:val="1"/>
    <w:qFormat/>
    <w:uiPriority w:val="0"/>
    <w:pPr>
      <w:adjustRightInd w:val="0"/>
      <w:spacing w:before="40" w:after="40"/>
    </w:pPr>
    <w:rPr>
      <w:sz w:val="24"/>
    </w:rPr>
  </w:style>
  <w:style w:type="paragraph" w:customStyle="1" w:styleId="142">
    <w:name w:val="正文文本 21"/>
    <w:basedOn w:val="1"/>
    <w:qFormat/>
    <w:uiPriority w:val="0"/>
    <w:pPr>
      <w:adjustRightInd w:val="0"/>
      <w:spacing w:before="120" w:line="360" w:lineRule="auto"/>
      <w:ind w:firstLine="480"/>
      <w:textAlignment w:val="baseline"/>
    </w:pPr>
    <w:rPr>
      <w:sz w:val="24"/>
    </w:rPr>
  </w:style>
  <w:style w:type="paragraph" w:customStyle="1" w:styleId="14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44">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14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46">
    <w:name w:val="默认段落字体 Para Char Char Char Char Char Char Char Char Char1 Char Char Char Char"/>
    <w:basedOn w:val="1"/>
    <w:qFormat/>
    <w:uiPriority w:val="0"/>
    <w:rPr>
      <w:rFonts w:ascii="Tahoma" w:hAnsi="Tahoma"/>
      <w:sz w:val="24"/>
    </w:rPr>
  </w:style>
  <w:style w:type="paragraph" w:customStyle="1" w:styleId="147">
    <w:name w:val="样式 正文缩进正文（首行缩进两字）表正文正文非缩进特点标题4段1 + 首行缩进:  2 字符"/>
    <w:basedOn w:val="15"/>
    <w:qFormat/>
    <w:uiPriority w:val="0"/>
    <w:pPr>
      <w:ind w:firstLine="480" w:firstLineChars="200"/>
    </w:pPr>
  </w:style>
  <w:style w:type="paragraph" w:customStyle="1" w:styleId="148">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149">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50">
    <w:name w:val="样式 样式 首行缩进:  2 字符 + 首行缩进:  2 字符"/>
    <w:basedOn w:val="1"/>
    <w:qFormat/>
    <w:uiPriority w:val="0"/>
    <w:pPr>
      <w:numPr>
        <w:ilvl w:val="0"/>
        <w:numId w:val="12"/>
      </w:numPr>
      <w:tabs>
        <w:tab w:val="clear" w:pos="1230"/>
      </w:tabs>
      <w:spacing w:line="360" w:lineRule="auto"/>
      <w:ind w:firstLine="480" w:firstLineChars="200"/>
    </w:pPr>
    <w:rPr>
      <w:sz w:val="24"/>
    </w:rPr>
  </w:style>
  <w:style w:type="paragraph" w:customStyle="1" w:styleId="151">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52">
    <w:name w:val="Char"/>
    <w:basedOn w:val="1"/>
    <w:qFormat/>
    <w:uiPriority w:val="0"/>
    <w:pPr>
      <w:spacing w:line="240" w:lineRule="atLeast"/>
      <w:ind w:left="420" w:firstLine="420"/>
    </w:pPr>
    <w:rPr>
      <w:kern w:val="0"/>
      <w:sz w:val="21"/>
    </w:rPr>
  </w:style>
  <w:style w:type="paragraph" w:customStyle="1" w:styleId="153">
    <w:name w:val="表格内文字"/>
    <w:basedOn w:val="30"/>
    <w:qFormat/>
    <w:uiPriority w:val="0"/>
    <w:pPr>
      <w:snapToGrid/>
      <w:spacing w:line="240" w:lineRule="auto"/>
    </w:pPr>
    <w:rPr>
      <w:color w:val="000000"/>
      <w:lang w:val="en-GB"/>
    </w:rPr>
  </w:style>
  <w:style w:type="paragraph" w:customStyle="1" w:styleId="154">
    <w:name w:val="样式 正文首行缩进 2 + 首行缩进:  2 字符"/>
    <w:basedOn w:val="1"/>
    <w:qFormat/>
    <w:uiPriority w:val="0"/>
    <w:pPr>
      <w:numPr>
        <w:ilvl w:val="0"/>
        <w:numId w:val="13"/>
      </w:numPr>
      <w:adjustRightInd w:val="0"/>
      <w:snapToGrid w:val="0"/>
      <w:spacing w:line="360" w:lineRule="auto"/>
    </w:pPr>
    <w:rPr>
      <w:rFonts w:ascii="Arial" w:hAnsi="Arial"/>
      <w:b/>
      <w:sz w:val="24"/>
    </w:rPr>
  </w:style>
  <w:style w:type="paragraph" w:customStyle="1" w:styleId="155">
    <w:name w:val="样式1xz"/>
    <w:basedOn w:val="1"/>
    <w:qFormat/>
    <w:uiPriority w:val="0"/>
    <w:pPr>
      <w:tabs>
        <w:tab w:val="left" w:pos="1050"/>
        <w:tab w:val="right" w:leader="dot" w:pos="8296"/>
      </w:tabs>
    </w:pPr>
    <w:rPr>
      <w:caps/>
      <w:spacing w:val="20"/>
      <w:sz w:val="24"/>
    </w:rPr>
  </w:style>
  <w:style w:type="paragraph" w:styleId="156">
    <w:name w:val="List Paragraph"/>
    <w:basedOn w:val="1"/>
    <w:qFormat/>
    <w:uiPriority w:val="34"/>
    <w:pPr>
      <w:ind w:firstLine="420" w:firstLineChars="200"/>
    </w:pPr>
    <w:rPr>
      <w:sz w:val="21"/>
      <w:szCs w:val="24"/>
    </w:rPr>
  </w:style>
  <w:style w:type="paragraph" w:customStyle="1" w:styleId="157">
    <w:name w:val="样式1"/>
    <w:basedOn w:val="5"/>
    <w:qFormat/>
    <w:uiPriority w:val="0"/>
    <w:pPr>
      <w:spacing w:before="500" w:after="260" w:line="560" w:lineRule="atLeast"/>
    </w:pPr>
  </w:style>
  <w:style w:type="paragraph" w:customStyle="1" w:styleId="15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59">
    <w:name w:val="表头文本"/>
    <w:qFormat/>
    <w:uiPriority w:val="0"/>
    <w:pPr>
      <w:jc w:val="center"/>
    </w:pPr>
    <w:rPr>
      <w:rFonts w:ascii="Arial" w:hAnsi="Arial" w:eastAsia="宋体" w:cs="Times New Roman"/>
      <w:b/>
      <w:sz w:val="21"/>
      <w:lang w:val="en-US" w:eastAsia="zh-CN" w:bidi="ar-SA"/>
    </w:rPr>
  </w:style>
  <w:style w:type="paragraph" w:customStyle="1" w:styleId="160">
    <w:name w:val="样式3"/>
    <w:basedOn w:val="2"/>
    <w:next w:val="2"/>
    <w:qFormat/>
    <w:uiPriority w:val="0"/>
    <w:pPr>
      <w:keepLines/>
      <w:tabs>
        <w:tab w:val="clear" w:pos="3360"/>
      </w:tabs>
      <w:adjustRightInd w:val="0"/>
      <w:spacing w:before="340" w:beforeLines="0" w:after="330" w:afterLines="0" w:line="576" w:lineRule="auto"/>
      <w:jc w:val="both"/>
    </w:pPr>
    <w:rPr>
      <w:b/>
      <w:kern w:val="44"/>
    </w:rPr>
  </w:style>
  <w:style w:type="paragraph" w:customStyle="1" w:styleId="161">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after="330" w:afterLines="0" w:line="578" w:lineRule="atLeast"/>
      <w:jc w:val="both"/>
      <w:textAlignment w:val="bottom"/>
    </w:pPr>
    <w:rPr>
      <w:rFonts w:ascii="宋体" w:hAnsi="宋体"/>
      <w:b/>
      <w:kern w:val="44"/>
      <w:sz w:val="36"/>
    </w:rPr>
  </w:style>
  <w:style w:type="paragraph" w:customStyle="1" w:styleId="162">
    <w:name w:val="标书正文:  0.74 厘米"/>
    <w:basedOn w:val="1"/>
    <w:qFormat/>
    <w:uiPriority w:val="0"/>
    <w:pPr>
      <w:snapToGrid w:val="0"/>
      <w:spacing w:line="360" w:lineRule="auto"/>
      <w:ind w:firstLine="420"/>
    </w:pPr>
    <w:rPr>
      <w:sz w:val="24"/>
    </w:rPr>
  </w:style>
  <w:style w:type="paragraph" w:customStyle="1" w:styleId="163">
    <w:name w:val="标题3——2"/>
    <w:basedOn w:val="4"/>
    <w:next w:val="56"/>
    <w:qFormat/>
    <w:uiPriority w:val="0"/>
    <w:pPr>
      <w:tabs>
        <w:tab w:val="left" w:pos="1280"/>
        <w:tab w:val="right" w:leader="dot" w:pos="8777"/>
      </w:tabs>
      <w:spacing w:before="312" w:beforeLines="100" w:after="0" w:line="240" w:lineRule="auto"/>
      <w:ind w:left="851" w:hanging="851"/>
      <w:jc w:val="both"/>
      <w:outlineLvl w:val="9"/>
    </w:pPr>
    <w:rPr>
      <w:rFonts w:ascii="黑体" w:hAnsi="宋体" w:eastAsia="黑体"/>
      <w:sz w:val="30"/>
    </w:rPr>
  </w:style>
  <w:style w:type="paragraph" w:customStyle="1" w:styleId="164">
    <w:name w:val="摘要"/>
    <w:basedOn w:val="1"/>
    <w:next w:val="3"/>
    <w:qFormat/>
    <w:uiPriority w:val="0"/>
    <w:pPr>
      <w:spacing w:line="360" w:lineRule="auto"/>
    </w:pPr>
    <w:rPr>
      <w:rFonts w:eastAsia="黑体"/>
      <w:sz w:val="20"/>
    </w:rPr>
  </w:style>
  <w:style w:type="paragraph" w:customStyle="1" w:styleId="165">
    <w:name w:val="附录3"/>
    <w:basedOn w:val="1"/>
    <w:next w:val="1"/>
    <w:qFormat/>
    <w:uiPriority w:val="0"/>
    <w:pPr>
      <w:tabs>
        <w:tab w:val="left" w:pos="851"/>
      </w:tabs>
      <w:ind w:left="425" w:hanging="425"/>
      <w:outlineLvl w:val="2"/>
    </w:pPr>
    <w:rPr>
      <w:rFonts w:eastAsia="黑体"/>
      <w:b/>
      <w:sz w:val="32"/>
    </w:rPr>
  </w:style>
  <w:style w:type="paragraph" w:customStyle="1" w:styleId="166">
    <w:name w:val="操作步骤"/>
    <w:basedOn w:val="1"/>
    <w:qFormat/>
    <w:uiPriority w:val="0"/>
    <w:pPr>
      <w:numPr>
        <w:ilvl w:val="0"/>
        <w:numId w:val="14"/>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67">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8">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9">
    <w:name w:val="正文1"/>
    <w:basedOn w:val="1"/>
    <w:qFormat/>
    <w:uiPriority w:val="0"/>
    <w:pPr>
      <w:spacing w:line="300" w:lineRule="auto"/>
      <w:ind w:firstLine="200" w:firstLineChars="200"/>
    </w:pPr>
    <w:rPr>
      <w:sz w:val="24"/>
    </w:rPr>
  </w:style>
  <w:style w:type="paragraph" w:customStyle="1" w:styleId="17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71">
    <w:name w:val="文章正文"/>
    <w:basedOn w:val="1"/>
    <w:qFormat/>
    <w:uiPriority w:val="0"/>
    <w:pPr>
      <w:ind w:firstLine="560" w:firstLineChars="200"/>
    </w:pPr>
    <w:rPr>
      <w:rFonts w:ascii="仿宋_GB2312" w:hAnsi="宋体" w:eastAsia="仿宋_GB2312"/>
      <w:color w:val="000000"/>
    </w:rPr>
  </w:style>
  <w:style w:type="paragraph" w:customStyle="1" w:styleId="17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Table Contents"/>
    <w:basedOn w:val="22"/>
    <w:qFormat/>
    <w:uiPriority w:val="0"/>
    <w:pPr>
      <w:suppressAutoHyphens/>
      <w:jc w:val="left"/>
    </w:pPr>
    <w:rPr>
      <w:rFonts w:ascii="Times New Roman" w:eastAsia="Times New Roman"/>
      <w:kern w:val="0"/>
      <w:sz w:val="24"/>
    </w:rPr>
  </w:style>
  <w:style w:type="paragraph" w:customStyle="1" w:styleId="174">
    <w:name w:val="内容标题"/>
    <w:basedOn w:val="17"/>
    <w:qFormat/>
    <w:uiPriority w:val="0"/>
    <w:rPr>
      <w:rFonts w:ascii="Tahoma" w:hAnsi="Tahoma"/>
      <w:sz w:val="24"/>
    </w:rPr>
  </w:style>
  <w:style w:type="paragraph" w:customStyle="1" w:styleId="175">
    <w:name w:val="正文（首行不缩进）"/>
    <w:basedOn w:val="1"/>
    <w:qFormat/>
    <w:uiPriority w:val="0"/>
    <w:pPr>
      <w:autoSpaceDE w:val="0"/>
      <w:autoSpaceDN w:val="0"/>
      <w:adjustRightInd w:val="0"/>
      <w:spacing w:line="360" w:lineRule="auto"/>
      <w:jc w:val="left"/>
    </w:pPr>
    <w:rPr>
      <w:kern w:val="0"/>
      <w:sz w:val="21"/>
    </w:rPr>
  </w:style>
  <w:style w:type="paragraph" w:customStyle="1" w:styleId="176">
    <w:name w:val="图例"/>
    <w:basedOn w:val="1"/>
    <w:qFormat/>
    <w:uiPriority w:val="0"/>
    <w:pPr>
      <w:spacing w:before="120" w:after="120" w:line="360" w:lineRule="auto"/>
      <w:jc w:val="center"/>
    </w:pPr>
    <w:rPr>
      <w:rFonts w:eastAsia="仿宋_GB2312"/>
      <w:b/>
      <w:sz w:val="24"/>
    </w:rPr>
  </w:style>
  <w:style w:type="paragraph" w:customStyle="1" w:styleId="177">
    <w:name w:val="Note"/>
    <w:basedOn w:val="1"/>
    <w:qFormat/>
    <w:uiPriority w:val="0"/>
    <w:pPr>
      <w:pBdr>
        <w:top w:val="single" w:color="auto" w:sz="12" w:space="3"/>
        <w:bottom w:val="single" w:color="auto" w:sz="12" w:space="3"/>
      </w:pBdr>
      <w:spacing w:line="360" w:lineRule="auto"/>
    </w:pPr>
    <w:rPr>
      <w:sz w:val="24"/>
    </w:rPr>
  </w:style>
  <w:style w:type="paragraph" w:customStyle="1" w:styleId="178">
    <w:name w:val="文本框样式1"/>
    <w:basedOn w:val="1"/>
    <w:qFormat/>
    <w:uiPriority w:val="0"/>
    <w:pPr>
      <w:adjustRightInd w:val="0"/>
      <w:snapToGrid w:val="0"/>
      <w:spacing w:before="60" w:line="180" w:lineRule="exact"/>
      <w:jc w:val="center"/>
    </w:pPr>
    <w:rPr>
      <w:sz w:val="21"/>
    </w:rPr>
  </w:style>
  <w:style w:type="paragraph" w:customStyle="1" w:styleId="179">
    <w:name w:val="正文4"/>
    <w:basedOn w:val="1"/>
    <w:qFormat/>
    <w:uiPriority w:val="0"/>
    <w:pPr>
      <w:tabs>
        <w:tab w:val="left" w:pos="1275"/>
      </w:tabs>
      <w:spacing w:before="60" w:after="60" w:line="360" w:lineRule="auto"/>
      <w:ind w:left="820" w:leftChars="400" w:hanging="705"/>
    </w:pPr>
    <w:rPr>
      <w:sz w:val="24"/>
    </w:rPr>
  </w:style>
  <w:style w:type="paragraph" w:customStyle="1" w:styleId="18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81">
    <w:name w:val="Style Heading 3h3Heading 3 - oldLevel 3 HeadH3level_3PIM 3se..."/>
    <w:basedOn w:val="4"/>
    <w:qFormat/>
    <w:uiPriority w:val="0"/>
    <w:pPr>
      <w:numPr>
        <w:ilvl w:val="2"/>
        <w:numId w:val="10"/>
      </w:numPr>
      <w:jc w:val="both"/>
    </w:pPr>
    <w:rPr>
      <w:sz w:val="32"/>
    </w:rPr>
  </w:style>
  <w:style w:type="paragraph" w:customStyle="1" w:styleId="182">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8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4">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85">
    <w:name w:val="简单回函地址"/>
    <w:basedOn w:val="1"/>
    <w:qFormat/>
    <w:uiPriority w:val="0"/>
    <w:pPr>
      <w:adjustRightInd w:val="0"/>
      <w:snapToGrid w:val="0"/>
      <w:spacing w:line="360" w:lineRule="auto"/>
    </w:pPr>
    <w:rPr>
      <w:sz w:val="24"/>
    </w:rPr>
  </w:style>
  <w:style w:type="paragraph" w:customStyle="1" w:styleId="186">
    <w:name w:val="标题2"/>
    <w:basedOn w:val="3"/>
    <w:qFormat/>
    <w:uiPriority w:val="0"/>
    <w:pPr>
      <w:keepNext w:val="0"/>
      <w:keepLines w:val="0"/>
      <w:ind w:firstLine="574" w:firstLineChars="196"/>
      <w:outlineLvl w:val="9"/>
    </w:pPr>
    <w:rPr>
      <w:b/>
      <w:spacing w:val="6"/>
      <w:u w:val="single"/>
    </w:rPr>
  </w:style>
  <w:style w:type="paragraph" w:customStyle="1" w:styleId="187">
    <w:name w:val="Char Char Char Char Char Char 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88">
    <w:name w:val="样式 标题 6第五层条 + 三号 段前: 0.5 行"/>
    <w:basedOn w:val="7"/>
    <w:qFormat/>
    <w:uiPriority w:val="0"/>
    <w:pPr>
      <w:widowControl/>
      <w:adjustRightInd/>
      <w:snapToGrid/>
      <w:spacing w:before="156" w:beforeLines="50"/>
      <w:ind w:left="1152" w:hanging="1152"/>
      <w:jc w:val="left"/>
    </w:pPr>
    <w:rPr>
      <w:snapToGrid w:val="0"/>
      <w:kern w:val="24"/>
      <w:sz w:val="28"/>
    </w:rPr>
  </w:style>
  <w:style w:type="paragraph" w:customStyle="1" w:styleId="189">
    <w:name w:val="样式 标题 1 + 居中 段前: 6 磅 段后: 6 磅 行距: 1.5 倍行距"/>
    <w:basedOn w:val="2"/>
    <w:qFormat/>
    <w:uiPriority w:val="0"/>
    <w:pPr>
      <w:keepLines/>
      <w:tabs>
        <w:tab w:val="clear" w:pos="3360"/>
      </w:tabs>
      <w:adjustRightInd w:val="0"/>
      <w:spacing w:before="120" w:beforeLines="0" w:line="360" w:lineRule="auto"/>
    </w:pPr>
    <w:rPr>
      <w:rFonts w:eastAsia="宋体"/>
      <w:b/>
      <w:kern w:val="44"/>
      <w:sz w:val="32"/>
    </w:rPr>
  </w:style>
  <w:style w:type="paragraph" w:customStyle="1" w:styleId="190">
    <w:name w:val="Char1 Char Char Char"/>
    <w:basedOn w:val="1"/>
    <w:qFormat/>
    <w:uiPriority w:val="0"/>
    <w:rPr>
      <w:rFonts w:ascii="Tahoma" w:hAnsi="Tahoma"/>
      <w:sz w:val="21"/>
    </w:rPr>
  </w:style>
  <w:style w:type="paragraph" w:customStyle="1" w:styleId="191">
    <w:name w:val="样式 首行缩进:  0.74 厘米"/>
    <w:basedOn w:val="1"/>
    <w:qFormat/>
    <w:uiPriority w:val="0"/>
    <w:pPr>
      <w:spacing w:line="360" w:lineRule="auto"/>
      <w:ind w:firstLine="420"/>
    </w:pPr>
    <w:rPr>
      <w:sz w:val="24"/>
    </w:rPr>
  </w:style>
  <w:style w:type="paragraph" w:customStyle="1" w:styleId="192">
    <w:name w:val="标题无"/>
    <w:basedOn w:val="1"/>
    <w:qFormat/>
    <w:uiPriority w:val="0"/>
    <w:pPr>
      <w:spacing w:line="360" w:lineRule="auto"/>
    </w:pPr>
    <w:rPr>
      <w:sz w:val="24"/>
    </w:rPr>
  </w:style>
  <w:style w:type="paragraph" w:customStyle="1" w:styleId="193">
    <w:name w:val="样式4"/>
    <w:basedOn w:val="5"/>
    <w:qFormat/>
    <w:uiPriority w:val="0"/>
    <w:pPr>
      <w:numPr>
        <w:numId w:val="0"/>
      </w:numPr>
      <w:adjustRightInd w:val="0"/>
      <w:snapToGrid w:val="0"/>
      <w:spacing w:before="280" w:line="372" w:lineRule="auto"/>
    </w:pPr>
  </w:style>
  <w:style w:type="paragraph" w:customStyle="1" w:styleId="19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95">
    <w:name w:val="正文 + 三号"/>
    <w:basedOn w:val="1"/>
    <w:qFormat/>
    <w:uiPriority w:val="0"/>
    <w:rPr>
      <w:sz w:val="21"/>
    </w:rPr>
  </w:style>
  <w:style w:type="paragraph" w:customStyle="1" w:styleId="196">
    <w:name w:val="00"/>
    <w:basedOn w:val="1"/>
    <w:qFormat/>
    <w:uiPriority w:val="0"/>
    <w:pPr>
      <w:autoSpaceDE w:val="0"/>
      <w:autoSpaceDN w:val="0"/>
      <w:adjustRightInd w:val="0"/>
      <w:jc w:val="left"/>
    </w:pPr>
    <w:rPr>
      <w:rFonts w:ascii="黑体" w:eastAsia="黑体"/>
      <w:b/>
      <w:kern w:val="0"/>
      <w:sz w:val="20"/>
    </w:rPr>
  </w:style>
  <w:style w:type="paragraph" w:customStyle="1" w:styleId="197">
    <w:name w:val="_"/>
    <w:basedOn w:val="1"/>
    <w:qFormat/>
    <w:uiPriority w:val="0"/>
    <w:pPr>
      <w:adjustRightInd w:val="0"/>
      <w:spacing w:line="360" w:lineRule="auto"/>
      <w:ind w:left="480" w:firstLine="200" w:firstLineChars="200"/>
      <w:textAlignment w:val="baseline"/>
    </w:pPr>
    <w:rPr>
      <w:kern w:val="0"/>
      <w:sz w:val="24"/>
    </w:rPr>
  </w:style>
  <w:style w:type="paragraph" w:customStyle="1" w:styleId="198">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99">
    <w:name w:val="首行缩进"/>
    <w:basedOn w:val="1"/>
    <w:qFormat/>
    <w:uiPriority w:val="0"/>
    <w:pPr>
      <w:spacing w:line="360" w:lineRule="auto"/>
      <w:ind w:firstLine="420" w:firstLineChars="200"/>
    </w:pPr>
    <w:rPr>
      <w:sz w:val="21"/>
    </w:rPr>
  </w:style>
  <w:style w:type="paragraph" w:customStyle="1" w:styleId="200">
    <w:name w:val="Char1 Char Char Char1"/>
    <w:basedOn w:val="1"/>
    <w:qFormat/>
    <w:uiPriority w:val="0"/>
    <w:rPr>
      <w:rFonts w:ascii="Tahoma" w:hAnsi="Tahoma"/>
      <w:sz w:val="24"/>
    </w:rPr>
  </w:style>
  <w:style w:type="paragraph" w:customStyle="1" w:styleId="201">
    <w:name w:val="Char2"/>
    <w:basedOn w:val="1"/>
    <w:qFormat/>
    <w:uiPriority w:val="0"/>
    <w:pPr>
      <w:widowControl/>
      <w:spacing w:line="400" w:lineRule="exact"/>
      <w:jc w:val="center"/>
    </w:pPr>
    <w:rPr>
      <w:sz w:val="24"/>
    </w:rPr>
  </w:style>
  <w:style w:type="paragraph" w:customStyle="1" w:styleId="202">
    <w:name w:val="正文字缩2字"/>
    <w:basedOn w:val="1"/>
    <w:qFormat/>
    <w:uiPriority w:val="0"/>
    <w:pPr>
      <w:spacing w:before="60" w:after="60" w:line="360" w:lineRule="auto"/>
      <w:ind w:left="200" w:leftChars="200" w:firstLine="200" w:firstLineChars="200"/>
    </w:pPr>
    <w:rPr>
      <w:sz w:val="24"/>
    </w:rPr>
  </w:style>
  <w:style w:type="paragraph" w:customStyle="1" w:styleId="20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0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05">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6">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07">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08">
    <w:name w:val="标准正文"/>
    <w:basedOn w:val="23"/>
    <w:qFormat/>
    <w:uiPriority w:val="0"/>
    <w:pPr>
      <w:spacing w:before="60" w:after="60" w:line="360" w:lineRule="auto"/>
      <w:ind w:left="0" w:firstLine="482"/>
    </w:pPr>
    <w:rPr>
      <w:rFonts w:ascii="Arial" w:hAnsi="Arial"/>
      <w:sz w:val="24"/>
    </w:rPr>
  </w:style>
  <w:style w:type="paragraph" w:customStyle="1" w:styleId="209">
    <w:name w:val="列表项目"/>
    <w:basedOn w:val="1"/>
    <w:qFormat/>
    <w:uiPriority w:val="0"/>
    <w:pPr>
      <w:numPr>
        <w:ilvl w:val="0"/>
        <w:numId w:val="15"/>
      </w:numPr>
      <w:tabs>
        <w:tab w:val="left" w:pos="420"/>
        <w:tab w:val="clear" w:pos="980"/>
      </w:tabs>
      <w:spacing w:line="288" w:lineRule="auto"/>
      <w:ind w:left="840" w:leftChars="200" w:hanging="420" w:hangingChars="200"/>
    </w:pPr>
    <w:rPr>
      <w:sz w:val="21"/>
    </w:rPr>
  </w:style>
  <w:style w:type="paragraph" w:customStyle="1" w:styleId="210">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1">
    <w:name w:val="编号正文"/>
    <w:basedOn w:val="108"/>
    <w:qFormat/>
    <w:uiPriority w:val="0"/>
    <w:pPr>
      <w:snapToGrid/>
      <w:spacing w:line="360" w:lineRule="auto"/>
      <w:ind w:left="1407" w:hanging="1047"/>
      <w:jc w:val="left"/>
    </w:pPr>
    <w:rPr>
      <w:rFonts w:eastAsia="仿宋_GB2312"/>
    </w:rPr>
  </w:style>
  <w:style w:type="paragraph" w:customStyle="1" w:styleId="21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13">
    <w:name w:val="Title - Date"/>
    <w:basedOn w:val="54"/>
    <w:next w:val="1"/>
    <w:qFormat/>
    <w:uiPriority w:val="0"/>
    <w:pPr>
      <w:spacing w:before="240" w:after="720"/>
    </w:pPr>
    <w:rPr>
      <w:sz w:val="28"/>
    </w:rPr>
  </w:style>
  <w:style w:type="paragraph" w:customStyle="1" w:styleId="214">
    <w:name w:val="IN Feature"/>
    <w:next w:val="215"/>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6">
    <w:name w:val="二级列表"/>
    <w:basedOn w:val="217"/>
    <w:next w:val="217"/>
    <w:qFormat/>
    <w:uiPriority w:val="0"/>
    <w:pPr>
      <w:tabs>
        <w:tab w:val="left" w:pos="2120"/>
      </w:tabs>
      <w:ind w:firstLine="0" w:firstLineChars="0"/>
    </w:pPr>
    <w:rPr>
      <w:b/>
    </w:rPr>
  </w:style>
  <w:style w:type="paragraph" w:customStyle="1" w:styleId="217">
    <w:name w:val="段落正文"/>
    <w:basedOn w:val="1"/>
    <w:qFormat/>
    <w:uiPriority w:val="0"/>
    <w:pPr>
      <w:spacing w:before="156" w:beforeLines="50" w:line="360" w:lineRule="auto"/>
      <w:ind w:firstLine="200" w:firstLineChars="200"/>
    </w:pPr>
    <w:rPr>
      <w:spacing w:val="2"/>
      <w:sz w:val="24"/>
    </w:rPr>
  </w:style>
  <w:style w:type="paragraph" w:customStyle="1" w:styleId="218">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9">
    <w:name w:val="1"/>
    <w:basedOn w:val="1"/>
    <w:qFormat/>
    <w:uiPriority w:val="0"/>
    <w:rPr>
      <w:rFonts w:ascii="Tahoma" w:hAnsi="Tahoma"/>
      <w:sz w:val="24"/>
    </w:rPr>
  </w:style>
  <w:style w:type="paragraph" w:customStyle="1" w:styleId="220">
    <w:name w:val="样式 行距: 1.5 倍行距1"/>
    <w:basedOn w:val="1"/>
    <w:qFormat/>
    <w:uiPriority w:val="0"/>
    <w:pPr>
      <w:snapToGrid w:val="0"/>
    </w:pPr>
    <w:rPr>
      <w:sz w:val="21"/>
    </w:rPr>
  </w:style>
  <w:style w:type="paragraph" w:customStyle="1" w:styleId="22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223">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2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225">
    <w:name w:val="1.正文"/>
    <w:basedOn w:val="1"/>
    <w:qFormat/>
    <w:uiPriority w:val="0"/>
    <w:pPr>
      <w:spacing w:line="360" w:lineRule="auto"/>
      <w:ind w:left="540" w:leftChars="225" w:firstLine="540" w:firstLineChars="225"/>
    </w:pPr>
    <w:rPr>
      <w:sz w:val="24"/>
    </w:rPr>
  </w:style>
  <w:style w:type="paragraph" w:customStyle="1" w:styleId="226">
    <w:name w:val="文本1"/>
    <w:basedOn w:val="1"/>
    <w:qFormat/>
    <w:uiPriority w:val="0"/>
    <w:pPr>
      <w:adjustRightInd w:val="0"/>
      <w:spacing w:line="312" w:lineRule="atLeast"/>
      <w:jc w:val="center"/>
      <w:textAlignment w:val="baseline"/>
    </w:pPr>
    <w:rPr>
      <w:kern w:val="0"/>
      <w:sz w:val="18"/>
    </w:rPr>
  </w:style>
  <w:style w:type="paragraph" w:customStyle="1" w:styleId="227">
    <w:name w:val="Char Char1 Char"/>
    <w:basedOn w:val="1"/>
    <w:qFormat/>
    <w:uiPriority w:val="0"/>
    <w:rPr>
      <w:rFonts w:ascii="Tahoma" w:hAnsi="Tahoma"/>
      <w:sz w:val="24"/>
      <w:szCs w:val="24"/>
    </w:rPr>
  </w:style>
  <w:style w:type="paragraph" w:customStyle="1" w:styleId="228">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229">
    <w:name w:val="图片文字"/>
    <w:basedOn w:val="1"/>
    <w:qFormat/>
    <w:uiPriority w:val="0"/>
    <w:pPr>
      <w:spacing w:line="240" w:lineRule="atLeast"/>
      <w:jc w:val="center"/>
    </w:pPr>
    <w:rPr>
      <w:sz w:val="21"/>
    </w:rPr>
  </w:style>
  <w:style w:type="paragraph" w:customStyle="1" w:styleId="230">
    <w:name w:val="无间隔2"/>
    <w:basedOn w:val="1"/>
    <w:qFormat/>
    <w:uiPriority w:val="0"/>
    <w:pPr>
      <w:spacing w:line="400" w:lineRule="exact"/>
    </w:pPr>
    <w:rPr>
      <w:sz w:val="24"/>
    </w:rPr>
  </w:style>
  <w:style w:type="character" w:customStyle="1" w:styleId="231">
    <w:name w:val="font11"/>
    <w:basedOn w:val="60"/>
    <w:qFormat/>
    <w:uiPriority w:val="0"/>
    <w:rPr>
      <w:rFonts w:hint="eastAsia" w:ascii="宋体" w:hAnsi="宋体" w:eastAsia="宋体" w:cs="宋体"/>
      <w:color w:val="000000"/>
      <w:sz w:val="21"/>
      <w:szCs w:val="21"/>
      <w:u w:val="none"/>
    </w:rPr>
  </w:style>
  <w:style w:type="paragraph" w:customStyle="1" w:styleId="232">
    <w:name w:val="授权书和信息卡行距"/>
    <w:qFormat/>
    <w:uiPriority w:val="0"/>
    <w:pPr>
      <w:spacing w:line="560" w:lineRule="exact"/>
    </w:pPr>
    <w:rPr>
      <w:rFonts w:ascii="Times New Roman" w:hAnsi="Times New Roman" w:eastAsia="仿宋_GB2312" w:cs="Times New Roman"/>
      <w:kern w:val="2"/>
      <w:sz w:val="24"/>
      <w:szCs w:val="24"/>
      <w:lang w:val="en-US" w:eastAsia="zh-CN" w:bidi="ar-SA"/>
    </w:rPr>
  </w:style>
  <w:style w:type="paragraph" w:customStyle="1" w:styleId="23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234">
    <w:name w:val="开评标用项目名称"/>
    <w:basedOn w:val="2"/>
    <w:semiHidden/>
    <w:qFormat/>
    <w:uiPriority w:val="0"/>
    <w:pPr>
      <w:outlineLvl w:val="9"/>
    </w:pPr>
    <w:rPr>
      <w:rFonts w:eastAsia="宋体"/>
      <w:kern w:val="0"/>
      <w:sz w:val="20"/>
      <w:szCs w:val="20"/>
    </w:rPr>
  </w:style>
  <w:style w:type="character" w:customStyle="1" w:styleId="235">
    <w:name w:val="font01"/>
    <w:basedOn w:val="60"/>
    <w:qFormat/>
    <w:uiPriority w:val="0"/>
    <w:rPr>
      <w:rFonts w:hint="eastAsia" w:ascii="宋体" w:hAnsi="宋体" w:eastAsia="宋体" w:cs="宋体"/>
      <w:color w:val="000000"/>
      <w:sz w:val="24"/>
      <w:szCs w:val="24"/>
      <w:u w:val="none"/>
    </w:rPr>
  </w:style>
  <w:style w:type="character" w:customStyle="1" w:styleId="236">
    <w:name w:val="font21"/>
    <w:basedOn w:val="60"/>
    <w:qFormat/>
    <w:uiPriority w:val="0"/>
    <w:rPr>
      <w:rFonts w:hint="eastAsia" w:ascii="宋体" w:hAnsi="宋体" w:eastAsia="宋体" w:cs="宋体"/>
      <w:b/>
      <w:bCs/>
      <w:color w:val="FF0000"/>
      <w:sz w:val="24"/>
      <w:szCs w:val="24"/>
      <w:u w:val="none"/>
    </w:rPr>
  </w:style>
  <w:style w:type="paragraph" w:customStyle="1" w:styleId="237">
    <w:name w:val="列表段落1"/>
    <w:basedOn w:val="1"/>
    <w:qFormat/>
    <w:uiPriority w:val="34"/>
    <w:pPr>
      <w:ind w:firstLine="420" w:firstLineChars="200"/>
    </w:pPr>
    <w:rPr>
      <w:szCs w:val="24"/>
    </w:rPr>
  </w:style>
  <w:style w:type="character" w:customStyle="1" w:styleId="238">
    <w:name w:val="font41"/>
    <w:basedOn w:val="60"/>
    <w:qFormat/>
    <w:uiPriority w:val="0"/>
    <w:rPr>
      <w:rFonts w:hint="eastAsia" w:ascii="方正仿宋_GB2312" w:hAnsi="方正仿宋_GB2312" w:eastAsia="方正仿宋_GB2312" w:cs="方正仿宋_GB2312"/>
      <w:color w:val="000000"/>
      <w:sz w:val="24"/>
      <w:szCs w:val="24"/>
      <w:u w:val="none"/>
    </w:rPr>
  </w:style>
  <w:style w:type="paragraph" w:customStyle="1" w:styleId="239">
    <w:name w:val="Default"/>
    <w:next w:val="35"/>
    <w:semiHidden/>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6392</Words>
  <Characters>6632</Characters>
  <Lines>145</Lines>
  <Paragraphs>40</Paragraphs>
  <TotalTime>0</TotalTime>
  <ScaleCrop>false</ScaleCrop>
  <LinksUpToDate>false</LinksUpToDate>
  <CharactersWithSpaces>6734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2024-07-25T11:03:00Z</dcterms:created>
  <dc:creator>admin</dc:creator>
  <cp:lastModifiedBy>.</cp:lastModifiedBy>
  <cp:lastPrinted>2025-09-22T01:35:00Z</cp:lastPrinted>
  <dcterms:modified xsi:type="dcterms:W3CDTF">2026-06-17T07:33:51Z</dcterms:modified>
  <dc:title>货物</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793056752_btnclosed</vt:lpwstr>
  </property>
  <property fmtid="{D5CDD505-2E9C-101B-9397-08002B2CF9AE}" pid="4" name="ICV">
    <vt:lpwstr>920AB8B4D4094A8BA5DB9DA06F06EE33_13</vt:lpwstr>
  </property>
  <property fmtid="{D5CDD505-2E9C-101B-9397-08002B2CF9AE}" pid="5" name="KSOTemplateDocerSaveRecord">
    <vt:lpwstr>eyJoZGlkIjoiNjJhMzFmYzM5Yjg4ODhiZWVkMzlkOGI5YWE1NzdjNmIiLCJ1c2VySWQiOiI0ODY0NjM2MTEifQ==</vt:lpwstr>
  </property>
</Properties>
</file>